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27D" w:rsidRPr="00AD49C5" w:rsidRDefault="009A4D80" w:rsidP="00AD49C5">
      <w:pPr>
        <w:pStyle w:val="Title"/>
        <w:rPr>
          <w:rFonts w:ascii="Arial" w:hAnsi="Arial" w:cs="Arial"/>
          <w:sz w:val="32"/>
          <w:szCs w:val="32"/>
        </w:rPr>
      </w:pPr>
      <w:r>
        <w:rPr>
          <w:rFonts w:ascii="Arial" w:hAnsi="Arial" w:cs="Arial"/>
          <w:sz w:val="32"/>
          <w:szCs w:val="32"/>
        </w:rPr>
        <w:t xml:space="preserve">Fact sheet - </w:t>
      </w:r>
      <w:r w:rsidR="00AD49C5" w:rsidRPr="00AD49C5">
        <w:rPr>
          <w:rFonts w:ascii="Arial" w:hAnsi="Arial" w:cs="Arial"/>
          <w:sz w:val="32"/>
          <w:szCs w:val="32"/>
        </w:rPr>
        <w:t xml:space="preserve">Comparison of </w:t>
      </w:r>
      <w:r>
        <w:rPr>
          <w:rFonts w:ascii="Arial" w:hAnsi="Arial" w:cs="Arial"/>
          <w:sz w:val="32"/>
          <w:szCs w:val="32"/>
        </w:rPr>
        <w:t>former and current</w:t>
      </w:r>
      <w:r w:rsidR="00250984">
        <w:rPr>
          <w:rFonts w:ascii="Arial" w:hAnsi="Arial" w:cs="Arial"/>
          <w:sz w:val="32"/>
          <w:szCs w:val="32"/>
        </w:rPr>
        <w:t xml:space="preserve"> </w:t>
      </w:r>
      <w:r w:rsidR="00AD49C5" w:rsidRPr="00AD49C5">
        <w:rPr>
          <w:rFonts w:ascii="Arial" w:hAnsi="Arial" w:cs="Arial"/>
          <w:sz w:val="32"/>
          <w:szCs w:val="32"/>
        </w:rPr>
        <w:t>Ministerial Directions for Public Construction</w:t>
      </w:r>
    </w:p>
    <w:p w:rsidR="00AD49C5" w:rsidRPr="00AD32F7" w:rsidRDefault="009A4D80" w:rsidP="00AD49C5">
      <w:pPr>
        <w:pStyle w:val="TertiaryTitle"/>
        <w:spacing w:line="240" w:lineRule="auto"/>
        <w:rPr>
          <w:rFonts w:ascii="Arial" w:hAnsi="Arial" w:cs="Arial"/>
          <w:b/>
        </w:rPr>
      </w:pPr>
      <w:r>
        <w:rPr>
          <w:rFonts w:ascii="Arial" w:hAnsi="Arial" w:cs="Arial"/>
          <w:b/>
        </w:rPr>
        <w:t>Effective date 1 July 2018</w:t>
      </w:r>
    </w:p>
    <w:p w:rsidR="00250984" w:rsidRDefault="00AD49C5" w:rsidP="00AD49C5">
      <w:pPr>
        <w:spacing w:before="160" w:after="100"/>
        <w:rPr>
          <w:rFonts w:ascii="Arial" w:eastAsiaTheme="minorEastAsia" w:hAnsi="Arial" w:cs="Arial"/>
          <w:spacing w:val="2"/>
          <w:sz w:val="20"/>
          <w:szCs w:val="20"/>
          <w:lang w:eastAsia="en-AU"/>
        </w:rPr>
      </w:pPr>
      <w:r>
        <w:rPr>
          <w:rFonts w:ascii="Arial" w:eastAsiaTheme="minorEastAsia" w:hAnsi="Arial" w:cs="Arial"/>
          <w:spacing w:val="2"/>
          <w:sz w:val="20"/>
          <w:szCs w:val="20"/>
          <w:lang w:eastAsia="en-AU"/>
        </w:rPr>
        <w:t xml:space="preserve">On 1 July 2018 the </w:t>
      </w:r>
      <w:hyperlink r:id="rId8" w:history="1">
        <w:r w:rsidRPr="009A4D80">
          <w:rPr>
            <w:rStyle w:val="Hyperlink"/>
            <w:rFonts w:ascii="Arial" w:eastAsiaTheme="minorEastAsia" w:hAnsi="Arial" w:cs="Arial"/>
            <w:b/>
            <w:spacing w:val="2"/>
            <w:sz w:val="20"/>
            <w:szCs w:val="20"/>
            <w:lang w:eastAsia="en-AU"/>
          </w:rPr>
          <w:t>Ministerial Directions for Public Construction Procurement in Victoria</w:t>
        </w:r>
      </w:hyperlink>
      <w:r>
        <w:rPr>
          <w:rFonts w:ascii="Arial" w:eastAsiaTheme="minorEastAsia" w:hAnsi="Arial" w:cs="Arial"/>
          <w:spacing w:val="2"/>
          <w:sz w:val="20"/>
          <w:szCs w:val="20"/>
          <w:lang w:eastAsia="en-AU"/>
        </w:rPr>
        <w:t xml:space="preserve"> </w:t>
      </w:r>
      <w:r w:rsidR="00AD32F7">
        <w:rPr>
          <w:rFonts w:ascii="Arial" w:eastAsiaTheme="minorEastAsia" w:hAnsi="Arial" w:cs="Arial"/>
          <w:spacing w:val="2"/>
          <w:sz w:val="20"/>
          <w:szCs w:val="20"/>
          <w:lang w:eastAsia="en-AU"/>
        </w:rPr>
        <w:t>(2018 Directions) replace</w:t>
      </w:r>
      <w:r w:rsidR="00CD7E9E">
        <w:rPr>
          <w:rFonts w:ascii="Arial" w:eastAsiaTheme="minorEastAsia" w:hAnsi="Arial" w:cs="Arial"/>
          <w:spacing w:val="2"/>
          <w:sz w:val="20"/>
          <w:szCs w:val="20"/>
          <w:lang w:eastAsia="en-AU"/>
        </w:rPr>
        <w:t>d</w:t>
      </w:r>
      <w:r w:rsidR="00AD32F7">
        <w:rPr>
          <w:rFonts w:ascii="Arial" w:eastAsiaTheme="minorEastAsia" w:hAnsi="Arial" w:cs="Arial"/>
          <w:spacing w:val="2"/>
          <w:sz w:val="20"/>
          <w:szCs w:val="20"/>
          <w:lang w:eastAsia="en-AU"/>
        </w:rPr>
        <w:t xml:space="preserve"> Ministerial Directions No 1, 2 and 4 for Public Construction Procurement (2016 Directions).</w:t>
      </w:r>
      <w:r w:rsidR="00751A85">
        <w:rPr>
          <w:rFonts w:ascii="Arial" w:eastAsiaTheme="minorEastAsia" w:hAnsi="Arial" w:cs="Arial"/>
          <w:spacing w:val="2"/>
          <w:sz w:val="20"/>
          <w:szCs w:val="20"/>
          <w:lang w:eastAsia="en-AU"/>
        </w:rPr>
        <w:t xml:space="preserve"> </w:t>
      </w:r>
      <w:r w:rsidRPr="00AD49C5">
        <w:rPr>
          <w:rFonts w:ascii="Arial" w:eastAsiaTheme="minorEastAsia" w:hAnsi="Arial" w:cs="Arial"/>
          <w:spacing w:val="2"/>
          <w:sz w:val="20"/>
          <w:szCs w:val="20"/>
          <w:lang w:eastAsia="en-AU"/>
        </w:rPr>
        <w:t xml:space="preserve">This fact sheet identifies </w:t>
      </w:r>
      <w:r>
        <w:rPr>
          <w:rFonts w:ascii="Arial" w:eastAsiaTheme="minorEastAsia" w:hAnsi="Arial" w:cs="Arial"/>
          <w:spacing w:val="2"/>
          <w:sz w:val="20"/>
          <w:szCs w:val="20"/>
          <w:lang w:eastAsia="en-AU"/>
        </w:rPr>
        <w:t>where the 2016 Directions have been incorporated into the 2018 Directions, and gives a summary of what has changed</w:t>
      </w:r>
      <w:r w:rsidRPr="00AD49C5">
        <w:rPr>
          <w:rFonts w:ascii="Arial" w:eastAsiaTheme="minorEastAsia" w:hAnsi="Arial" w:cs="Arial"/>
          <w:spacing w:val="2"/>
          <w:sz w:val="20"/>
          <w:szCs w:val="20"/>
          <w:lang w:eastAsia="en-AU"/>
        </w:rPr>
        <w:t>.</w:t>
      </w:r>
    </w:p>
    <w:p w:rsidR="00AD49C5" w:rsidRPr="00AD49C5" w:rsidRDefault="00AD49C5" w:rsidP="00AD49C5">
      <w:pPr>
        <w:spacing w:before="160" w:after="100"/>
        <w:rPr>
          <w:rFonts w:ascii="Arial" w:eastAsiaTheme="minorEastAsia" w:hAnsi="Arial" w:cs="Arial"/>
          <w:spacing w:val="2"/>
          <w:sz w:val="20"/>
          <w:szCs w:val="20"/>
          <w:lang w:eastAsia="en-AU"/>
        </w:rPr>
      </w:pPr>
      <w:r>
        <w:rPr>
          <w:rFonts w:ascii="Arial" w:eastAsiaTheme="minorEastAsia" w:hAnsi="Arial" w:cs="Arial"/>
          <w:spacing w:val="2"/>
          <w:sz w:val="20"/>
          <w:szCs w:val="20"/>
          <w:lang w:eastAsia="en-AU"/>
        </w:rPr>
        <w:t>This fact sheet does not comprehensively describe the 2018 Directions and should not be used as a substitute for reviewing them.</w:t>
      </w:r>
    </w:p>
    <w:p w:rsidR="009A4D80" w:rsidRPr="009A4D80" w:rsidRDefault="009A4D80" w:rsidP="00AD32F7">
      <w:pPr>
        <w:spacing w:before="160" w:after="0"/>
        <w:rPr>
          <w:rFonts w:ascii="Arial" w:eastAsiaTheme="minorEastAsia" w:hAnsi="Arial" w:cs="Arial"/>
          <w:spacing w:val="2"/>
          <w:sz w:val="20"/>
          <w:szCs w:val="20"/>
          <w:lang w:eastAsia="en-AU"/>
        </w:rPr>
      </w:pPr>
      <w:r w:rsidRPr="009A4D80">
        <w:rPr>
          <w:rFonts w:ascii="Arial" w:eastAsiaTheme="minorEastAsia" w:hAnsi="Arial" w:cs="Arial"/>
          <w:spacing w:val="2"/>
          <w:sz w:val="20"/>
          <w:szCs w:val="20"/>
          <w:lang w:eastAsia="en-AU"/>
        </w:rPr>
        <w:t>Abbreviations used in this fact sheet:</w:t>
      </w:r>
    </w:p>
    <w:p w:rsidR="00AD49C5" w:rsidRPr="009A4D80" w:rsidRDefault="00AD32F7" w:rsidP="00AD32F7">
      <w:pPr>
        <w:spacing w:before="160" w:after="0"/>
        <w:rPr>
          <w:rFonts w:ascii="Arial" w:eastAsiaTheme="minorEastAsia" w:hAnsi="Arial" w:cs="Arial"/>
          <w:spacing w:val="2"/>
          <w:sz w:val="20"/>
          <w:szCs w:val="20"/>
          <w:lang w:eastAsia="en-AU"/>
        </w:rPr>
      </w:pPr>
      <w:r w:rsidRPr="009A4D80">
        <w:rPr>
          <w:rFonts w:ascii="Arial" w:eastAsiaTheme="minorEastAsia" w:hAnsi="Arial" w:cs="Arial"/>
          <w:spacing w:val="2"/>
          <w:sz w:val="20"/>
          <w:szCs w:val="20"/>
          <w:lang w:eastAsia="en-AU"/>
        </w:rPr>
        <w:t>2016 Directions:</w:t>
      </w:r>
    </w:p>
    <w:p w:rsidR="00AD32F7" w:rsidRPr="009A4D80" w:rsidRDefault="00AD32F7" w:rsidP="00AD32F7">
      <w:pPr>
        <w:pStyle w:val="ListParagraph"/>
        <w:numPr>
          <w:ilvl w:val="0"/>
          <w:numId w:val="7"/>
        </w:numPr>
        <w:spacing w:after="100"/>
        <w:ind w:left="714" w:hanging="357"/>
        <w:rPr>
          <w:rFonts w:ascii="Arial" w:eastAsiaTheme="minorEastAsia" w:hAnsi="Arial" w:cs="Arial"/>
          <w:spacing w:val="2"/>
          <w:sz w:val="20"/>
          <w:szCs w:val="20"/>
          <w:lang w:eastAsia="en-AU"/>
        </w:rPr>
      </w:pPr>
      <w:r w:rsidRPr="009A4D80">
        <w:rPr>
          <w:rFonts w:ascii="Arial" w:eastAsiaTheme="minorEastAsia" w:hAnsi="Arial" w:cs="Arial"/>
          <w:spacing w:val="2"/>
          <w:sz w:val="20"/>
          <w:szCs w:val="20"/>
          <w:lang w:eastAsia="en-AU"/>
        </w:rPr>
        <w:t>MD[number] refers to Ministerial Directions No 1, 2 or 4 for Public Construction Procurement, as noted by the number.</w:t>
      </w:r>
    </w:p>
    <w:p w:rsidR="00AD32F7" w:rsidRPr="009A4D80" w:rsidRDefault="00AD32F7" w:rsidP="00AD32F7">
      <w:pPr>
        <w:pStyle w:val="ListParagraph"/>
        <w:numPr>
          <w:ilvl w:val="0"/>
          <w:numId w:val="7"/>
        </w:numPr>
        <w:spacing w:before="160" w:after="100"/>
        <w:rPr>
          <w:rFonts w:ascii="Arial" w:eastAsiaTheme="minorEastAsia" w:hAnsi="Arial" w:cs="Arial"/>
          <w:spacing w:val="2"/>
          <w:sz w:val="20"/>
          <w:szCs w:val="20"/>
          <w:lang w:eastAsia="en-AU"/>
        </w:rPr>
      </w:pPr>
      <w:r w:rsidRPr="009A4D80">
        <w:rPr>
          <w:rFonts w:ascii="Arial" w:eastAsiaTheme="minorEastAsia" w:hAnsi="Arial" w:cs="Arial"/>
          <w:spacing w:val="2"/>
          <w:sz w:val="20"/>
          <w:szCs w:val="20"/>
          <w:lang w:eastAsia="en-AU"/>
        </w:rPr>
        <w:t>GMD[number] refers to the Guide to Ministerial Directions No 1, 2 or 4 for Public Construction Procurement, as noted by the number.</w:t>
      </w:r>
    </w:p>
    <w:p w:rsidR="00AD32F7" w:rsidRPr="00250984" w:rsidRDefault="00AD32F7" w:rsidP="00AD32F7">
      <w:pPr>
        <w:spacing w:before="160" w:after="0"/>
        <w:rPr>
          <w:rFonts w:ascii="Arial" w:eastAsiaTheme="minorEastAsia" w:hAnsi="Arial" w:cs="Arial"/>
          <w:spacing w:val="2"/>
          <w:sz w:val="20"/>
          <w:szCs w:val="20"/>
          <w:lang w:eastAsia="en-AU"/>
        </w:rPr>
      </w:pPr>
      <w:r w:rsidRPr="00250984">
        <w:rPr>
          <w:rFonts w:ascii="Arial" w:eastAsiaTheme="minorEastAsia" w:hAnsi="Arial" w:cs="Arial"/>
          <w:spacing w:val="2"/>
          <w:sz w:val="20"/>
          <w:szCs w:val="20"/>
          <w:lang w:eastAsia="en-AU"/>
        </w:rPr>
        <w:t>2018 Directions:</w:t>
      </w:r>
    </w:p>
    <w:p w:rsidR="00AD49C5" w:rsidRPr="00250984" w:rsidRDefault="00AD32F7" w:rsidP="00AD32F7">
      <w:pPr>
        <w:pStyle w:val="ListParagraph"/>
        <w:numPr>
          <w:ilvl w:val="0"/>
          <w:numId w:val="7"/>
        </w:numPr>
        <w:spacing w:after="100"/>
        <w:ind w:left="714" w:hanging="357"/>
        <w:rPr>
          <w:rFonts w:ascii="Arial" w:eastAsiaTheme="minorEastAsia" w:hAnsi="Arial" w:cs="Arial"/>
          <w:spacing w:val="2"/>
          <w:sz w:val="20"/>
          <w:szCs w:val="20"/>
          <w:lang w:eastAsia="en-AU"/>
        </w:rPr>
      </w:pPr>
      <w:r w:rsidRPr="00250984">
        <w:rPr>
          <w:rFonts w:ascii="Arial" w:eastAsiaTheme="minorEastAsia" w:hAnsi="Arial" w:cs="Arial"/>
          <w:spacing w:val="2"/>
          <w:sz w:val="20"/>
          <w:szCs w:val="20"/>
          <w:lang w:eastAsia="en-AU"/>
        </w:rPr>
        <w:t xml:space="preserve">Dir refers to the </w:t>
      </w:r>
      <w:r w:rsidRPr="00250984">
        <w:rPr>
          <w:rFonts w:ascii="Arial" w:eastAsiaTheme="minorEastAsia" w:hAnsi="Arial" w:cs="Arial"/>
          <w:b/>
          <w:spacing w:val="2"/>
          <w:sz w:val="20"/>
          <w:szCs w:val="20"/>
          <w:lang w:eastAsia="en-AU"/>
        </w:rPr>
        <w:t>Ministerial Directions for Public Construction Procurement in Victoria</w:t>
      </w:r>
      <w:r w:rsidR="00AD49C5" w:rsidRPr="00250984">
        <w:rPr>
          <w:rFonts w:ascii="Arial" w:eastAsiaTheme="minorEastAsia" w:hAnsi="Arial" w:cs="Arial"/>
          <w:spacing w:val="2"/>
          <w:sz w:val="20"/>
          <w:szCs w:val="20"/>
          <w:lang w:eastAsia="en-AU"/>
        </w:rPr>
        <w:t>.</w:t>
      </w:r>
    </w:p>
    <w:p w:rsidR="00AD49C5" w:rsidRPr="00250984" w:rsidRDefault="00AD32F7" w:rsidP="0065104F">
      <w:pPr>
        <w:pStyle w:val="ListParagraph"/>
        <w:numPr>
          <w:ilvl w:val="0"/>
          <w:numId w:val="7"/>
        </w:numPr>
        <w:spacing w:before="240" w:after="100"/>
        <w:ind w:left="714" w:hanging="357"/>
        <w:rPr>
          <w:rFonts w:ascii="Arial" w:eastAsiaTheme="minorEastAsia" w:hAnsi="Arial" w:cs="Arial"/>
          <w:spacing w:val="2"/>
          <w:sz w:val="20"/>
          <w:szCs w:val="20"/>
          <w:lang w:eastAsia="en-AU"/>
        </w:rPr>
      </w:pPr>
      <w:r w:rsidRPr="00250984">
        <w:rPr>
          <w:rFonts w:ascii="Arial" w:eastAsiaTheme="minorEastAsia" w:hAnsi="Arial" w:cs="Arial"/>
          <w:spacing w:val="2"/>
          <w:sz w:val="20"/>
          <w:szCs w:val="20"/>
          <w:lang w:eastAsia="en-AU"/>
        </w:rPr>
        <w:t xml:space="preserve">Inst refers to the </w:t>
      </w:r>
      <w:r w:rsidRPr="00250984">
        <w:rPr>
          <w:rFonts w:ascii="Arial" w:eastAsiaTheme="minorEastAsia" w:hAnsi="Arial" w:cs="Arial"/>
          <w:b/>
          <w:spacing w:val="2"/>
          <w:sz w:val="20"/>
          <w:szCs w:val="20"/>
          <w:lang w:eastAsia="en-AU"/>
        </w:rPr>
        <w:t>Instructions for Public Construction Procurement in Victoria</w:t>
      </w:r>
      <w:r w:rsidRPr="00250984">
        <w:rPr>
          <w:rFonts w:ascii="Arial" w:eastAsiaTheme="minorEastAsia" w:hAnsi="Arial" w:cs="Arial"/>
          <w:spacing w:val="2"/>
          <w:sz w:val="20"/>
          <w:szCs w:val="20"/>
          <w:lang w:eastAsia="en-AU"/>
        </w:rPr>
        <w:t>.</w:t>
      </w:r>
    </w:p>
    <w:p w:rsidR="00847706" w:rsidRPr="00847706" w:rsidRDefault="00847706" w:rsidP="00847706">
      <w:pPr>
        <w:pStyle w:val="TertiaryTitle"/>
        <w:spacing w:before="160" w:after="100" w:line="276" w:lineRule="auto"/>
        <w:rPr>
          <w:rFonts w:ascii="Arial" w:hAnsi="Arial" w:cs="Arial"/>
          <w:b/>
        </w:rPr>
      </w:pPr>
      <w:r w:rsidRPr="00847706">
        <w:rPr>
          <w:rFonts w:ascii="Arial" w:hAnsi="Arial" w:cs="Arial"/>
          <w:b/>
        </w:rPr>
        <w:t>Help and support</w:t>
      </w:r>
    </w:p>
    <w:p w:rsidR="00847706" w:rsidRPr="00847706" w:rsidRDefault="00847706" w:rsidP="009A4D80">
      <w:pPr>
        <w:autoSpaceDE w:val="0"/>
        <w:autoSpaceDN w:val="0"/>
        <w:adjustRightInd w:val="0"/>
        <w:spacing w:before="160" w:after="100"/>
        <w:ind w:right="-359"/>
        <w:rPr>
          <w:rFonts w:ascii="Arial" w:hAnsi="Arial" w:cs="Arial"/>
          <w:color w:val="000000"/>
          <w:sz w:val="20"/>
          <w:szCs w:val="20"/>
        </w:rPr>
      </w:pPr>
      <w:r w:rsidRPr="00847706">
        <w:rPr>
          <w:rFonts w:ascii="Arial" w:hAnsi="Arial" w:cs="Arial"/>
          <w:color w:val="000000"/>
          <w:sz w:val="20"/>
          <w:szCs w:val="20"/>
        </w:rPr>
        <w:t>If you have any queries, please do not hesitate to contact the Construction Policy Team on 03 </w:t>
      </w:r>
      <w:r w:rsidR="00192AAC">
        <w:rPr>
          <w:rFonts w:ascii="Arial" w:hAnsi="Arial" w:cs="Arial"/>
          <w:color w:val="000000"/>
          <w:sz w:val="20"/>
          <w:szCs w:val="20"/>
        </w:rPr>
        <w:t>7005 9533</w:t>
      </w:r>
      <w:bookmarkStart w:id="0" w:name="_GoBack"/>
      <w:bookmarkEnd w:id="0"/>
      <w:r w:rsidRPr="00847706">
        <w:rPr>
          <w:rFonts w:ascii="Arial" w:hAnsi="Arial" w:cs="Arial"/>
          <w:color w:val="000000"/>
          <w:sz w:val="20"/>
          <w:szCs w:val="20"/>
        </w:rPr>
        <w:t xml:space="preserve"> or by email: </w:t>
      </w:r>
      <w:hyperlink r:id="rId9" w:history="1">
        <w:r w:rsidRPr="00847706">
          <w:rPr>
            <w:rStyle w:val="Hyperlink"/>
            <w:rFonts w:ascii="Arial" w:hAnsi="Arial" w:cs="Arial"/>
            <w:sz w:val="20"/>
            <w:szCs w:val="20"/>
          </w:rPr>
          <w:t>construction.procurement@dtf.vic.gov.au</w:t>
        </w:r>
      </w:hyperlink>
      <w:r w:rsidRPr="00847706">
        <w:rPr>
          <w:rFonts w:ascii="Arial" w:hAnsi="Arial" w:cs="Arial"/>
          <w:color w:val="000000"/>
          <w:sz w:val="20"/>
          <w:szCs w:val="20"/>
        </w:rPr>
        <w:t>.</w:t>
      </w:r>
    </w:p>
    <w:p w:rsidR="004C1ABA" w:rsidRPr="0065104F" w:rsidRDefault="004C1ABA" w:rsidP="0065104F">
      <w:pPr>
        <w:spacing w:after="0" w:line="240" w:lineRule="auto"/>
        <w:rPr>
          <w:rFonts w:ascii="Arial" w:eastAsiaTheme="minorEastAsia" w:hAnsi="Arial" w:cs="Arial"/>
          <w:spacing w:val="2"/>
          <w:sz w:val="20"/>
          <w:szCs w:val="20"/>
          <w:lang w:eastAsia="en-AU"/>
        </w:rPr>
      </w:pPr>
    </w:p>
    <w:tbl>
      <w:tblPr>
        <w:tblStyle w:val="TableGrid"/>
        <w:tblW w:w="0" w:type="auto"/>
        <w:tblLook w:val="04A0" w:firstRow="1" w:lastRow="0" w:firstColumn="1" w:lastColumn="0" w:noHBand="0" w:noVBand="1"/>
      </w:tblPr>
      <w:tblGrid>
        <w:gridCol w:w="1809"/>
        <w:gridCol w:w="1418"/>
        <w:gridCol w:w="1417"/>
        <w:gridCol w:w="9530"/>
      </w:tblGrid>
      <w:tr w:rsidR="00751A85" w:rsidRPr="00751A85" w:rsidTr="00092BEC">
        <w:trPr>
          <w:cantSplit/>
          <w:tblHeader/>
        </w:trPr>
        <w:tc>
          <w:tcPr>
            <w:tcW w:w="1809" w:type="dxa"/>
            <w:vMerge w:val="restart"/>
            <w:shd w:val="clear" w:color="auto" w:fill="0070C0"/>
          </w:tcPr>
          <w:p w:rsidR="00B97DEA" w:rsidRPr="00751A85" w:rsidRDefault="00B97DEA" w:rsidP="005E3920">
            <w:pPr>
              <w:spacing w:before="60" w:after="60"/>
              <w:rPr>
                <w:rFonts w:ascii="Arial" w:hAnsi="Arial" w:cs="Arial"/>
                <w:b/>
                <w:color w:val="FFFFFF" w:themeColor="background1"/>
                <w:sz w:val="16"/>
                <w:szCs w:val="16"/>
              </w:rPr>
            </w:pPr>
            <w:r w:rsidRPr="00751A85">
              <w:rPr>
                <w:rFonts w:ascii="Arial" w:hAnsi="Arial" w:cs="Arial"/>
                <w:b/>
                <w:color w:val="FFFFFF" w:themeColor="background1"/>
                <w:sz w:val="16"/>
                <w:szCs w:val="16"/>
              </w:rPr>
              <w:t>Subject</w:t>
            </w:r>
          </w:p>
        </w:tc>
        <w:tc>
          <w:tcPr>
            <w:tcW w:w="2835" w:type="dxa"/>
            <w:gridSpan w:val="2"/>
            <w:shd w:val="clear" w:color="auto" w:fill="0070C0"/>
          </w:tcPr>
          <w:p w:rsidR="00B97DEA" w:rsidRPr="00751A85" w:rsidRDefault="00B97DEA" w:rsidP="00B97DEA">
            <w:pPr>
              <w:spacing w:before="60" w:after="60"/>
              <w:jc w:val="center"/>
              <w:rPr>
                <w:rFonts w:ascii="Arial" w:hAnsi="Arial" w:cs="Arial"/>
                <w:b/>
                <w:color w:val="FFFFFF" w:themeColor="background1"/>
                <w:sz w:val="16"/>
                <w:szCs w:val="16"/>
              </w:rPr>
            </w:pPr>
            <w:r w:rsidRPr="00751A85">
              <w:rPr>
                <w:rFonts w:ascii="Arial" w:hAnsi="Arial" w:cs="Arial"/>
                <w:b/>
                <w:color w:val="FFFFFF" w:themeColor="background1"/>
                <w:sz w:val="16"/>
                <w:szCs w:val="16"/>
              </w:rPr>
              <w:t>Directions</w:t>
            </w:r>
          </w:p>
        </w:tc>
        <w:tc>
          <w:tcPr>
            <w:tcW w:w="9530" w:type="dxa"/>
            <w:vMerge w:val="restart"/>
            <w:shd w:val="clear" w:color="auto" w:fill="0070C0"/>
          </w:tcPr>
          <w:p w:rsidR="00B97DEA" w:rsidRPr="00751A85" w:rsidRDefault="00B97DEA" w:rsidP="00B97DEA">
            <w:pPr>
              <w:spacing w:before="60" w:after="60"/>
              <w:rPr>
                <w:rFonts w:ascii="Arial" w:hAnsi="Arial" w:cs="Arial"/>
                <w:b/>
                <w:color w:val="FFFFFF" w:themeColor="background1"/>
                <w:sz w:val="16"/>
                <w:szCs w:val="16"/>
              </w:rPr>
            </w:pPr>
            <w:r w:rsidRPr="00751A85">
              <w:rPr>
                <w:rFonts w:ascii="Arial" w:hAnsi="Arial" w:cs="Arial"/>
                <w:b/>
                <w:color w:val="FFFFFF" w:themeColor="background1"/>
                <w:sz w:val="16"/>
                <w:szCs w:val="16"/>
              </w:rPr>
              <w:t>What has changed</w:t>
            </w:r>
          </w:p>
        </w:tc>
      </w:tr>
      <w:tr w:rsidR="00751A85" w:rsidRPr="00751A85" w:rsidTr="00092BEC">
        <w:trPr>
          <w:cantSplit/>
          <w:tblHeader/>
        </w:trPr>
        <w:tc>
          <w:tcPr>
            <w:tcW w:w="1809" w:type="dxa"/>
            <w:vMerge/>
            <w:shd w:val="clear" w:color="auto" w:fill="0070C0"/>
          </w:tcPr>
          <w:p w:rsidR="00B97DEA" w:rsidRPr="00751A85" w:rsidRDefault="00B97DEA" w:rsidP="005E3920">
            <w:pPr>
              <w:spacing w:before="60" w:after="60"/>
              <w:rPr>
                <w:rFonts w:ascii="Arial" w:hAnsi="Arial" w:cs="Arial"/>
                <w:b/>
                <w:color w:val="FFFFFF" w:themeColor="background1"/>
                <w:sz w:val="20"/>
                <w:szCs w:val="20"/>
              </w:rPr>
            </w:pPr>
          </w:p>
        </w:tc>
        <w:tc>
          <w:tcPr>
            <w:tcW w:w="1418" w:type="dxa"/>
            <w:shd w:val="clear" w:color="auto" w:fill="0070C0"/>
          </w:tcPr>
          <w:p w:rsidR="00B97DEA" w:rsidRPr="00751A85" w:rsidRDefault="00B97DEA" w:rsidP="005E3920">
            <w:pPr>
              <w:spacing w:before="60" w:after="60"/>
              <w:rPr>
                <w:rFonts w:ascii="Arial" w:hAnsi="Arial" w:cs="Arial"/>
                <w:b/>
                <w:color w:val="FFFFFF" w:themeColor="background1"/>
                <w:sz w:val="16"/>
                <w:szCs w:val="16"/>
              </w:rPr>
            </w:pPr>
            <w:r w:rsidRPr="00751A85">
              <w:rPr>
                <w:rFonts w:ascii="Arial" w:hAnsi="Arial" w:cs="Arial"/>
                <w:b/>
                <w:color w:val="FFFFFF" w:themeColor="background1"/>
                <w:sz w:val="16"/>
                <w:szCs w:val="16"/>
              </w:rPr>
              <w:t>2016</w:t>
            </w:r>
          </w:p>
        </w:tc>
        <w:tc>
          <w:tcPr>
            <w:tcW w:w="1417" w:type="dxa"/>
            <w:shd w:val="clear" w:color="auto" w:fill="0070C0"/>
          </w:tcPr>
          <w:p w:rsidR="00B97DEA" w:rsidRPr="00751A85" w:rsidRDefault="00B97DEA" w:rsidP="005E3920">
            <w:pPr>
              <w:spacing w:before="60" w:after="60"/>
              <w:rPr>
                <w:rFonts w:ascii="Arial" w:hAnsi="Arial" w:cs="Arial"/>
                <w:b/>
                <w:color w:val="FFFFFF" w:themeColor="background1"/>
                <w:sz w:val="16"/>
                <w:szCs w:val="16"/>
              </w:rPr>
            </w:pPr>
            <w:r w:rsidRPr="00751A85">
              <w:rPr>
                <w:rFonts w:ascii="Arial" w:hAnsi="Arial" w:cs="Arial"/>
                <w:b/>
                <w:color w:val="FFFFFF" w:themeColor="background1"/>
                <w:sz w:val="16"/>
                <w:szCs w:val="16"/>
              </w:rPr>
              <w:t>2018</w:t>
            </w:r>
          </w:p>
        </w:tc>
        <w:tc>
          <w:tcPr>
            <w:tcW w:w="9530" w:type="dxa"/>
            <w:vMerge/>
            <w:shd w:val="clear" w:color="auto" w:fill="0070C0"/>
          </w:tcPr>
          <w:p w:rsidR="00B97DEA" w:rsidRPr="00751A85" w:rsidRDefault="00B97DEA" w:rsidP="00B97DEA">
            <w:pPr>
              <w:spacing w:before="60" w:after="60"/>
              <w:rPr>
                <w:rFonts w:ascii="Arial" w:hAnsi="Arial" w:cs="Arial"/>
                <w:b/>
                <w:color w:val="FFFFFF" w:themeColor="background1"/>
                <w:sz w:val="20"/>
                <w:szCs w:val="20"/>
              </w:rPr>
            </w:pPr>
          </w:p>
        </w:tc>
      </w:tr>
      <w:tr w:rsidR="00B97DEA" w:rsidRPr="00B97DEA" w:rsidTr="00092BEC">
        <w:trPr>
          <w:cantSplit/>
        </w:trPr>
        <w:tc>
          <w:tcPr>
            <w:tcW w:w="1809" w:type="dxa"/>
          </w:tcPr>
          <w:p w:rsidR="00B97DEA" w:rsidRPr="00B97DEA" w:rsidRDefault="00B97DEA" w:rsidP="00B97DEA">
            <w:pPr>
              <w:spacing w:before="60" w:after="60"/>
              <w:rPr>
                <w:rFonts w:ascii="Arial" w:hAnsi="Arial" w:cs="Arial"/>
                <w:sz w:val="16"/>
                <w:szCs w:val="16"/>
              </w:rPr>
            </w:pPr>
            <w:r>
              <w:rPr>
                <w:rFonts w:ascii="Arial" w:hAnsi="Arial" w:cs="Arial"/>
                <w:sz w:val="16"/>
                <w:szCs w:val="16"/>
              </w:rPr>
              <w:t>Format</w:t>
            </w:r>
            <w:r w:rsidR="001037B2">
              <w:rPr>
                <w:rFonts w:ascii="Arial" w:hAnsi="Arial" w:cs="Arial"/>
                <w:sz w:val="16"/>
                <w:szCs w:val="16"/>
              </w:rPr>
              <w:t xml:space="preserve"> generally</w:t>
            </w:r>
          </w:p>
        </w:tc>
        <w:tc>
          <w:tcPr>
            <w:tcW w:w="1418" w:type="dxa"/>
          </w:tcPr>
          <w:p w:rsidR="00B97DEA" w:rsidRDefault="00B97DEA" w:rsidP="00B97DEA">
            <w:pPr>
              <w:spacing w:before="60" w:after="60"/>
              <w:rPr>
                <w:rFonts w:ascii="Arial" w:hAnsi="Arial" w:cs="Arial"/>
                <w:sz w:val="16"/>
                <w:szCs w:val="16"/>
              </w:rPr>
            </w:pPr>
            <w:r>
              <w:rPr>
                <w:rFonts w:ascii="Arial" w:hAnsi="Arial" w:cs="Arial"/>
                <w:sz w:val="16"/>
                <w:szCs w:val="16"/>
              </w:rPr>
              <w:t>Ministerial Direction and related Guide</w:t>
            </w:r>
          </w:p>
        </w:tc>
        <w:tc>
          <w:tcPr>
            <w:tcW w:w="1417" w:type="dxa"/>
          </w:tcPr>
          <w:p w:rsidR="00B97DEA" w:rsidRDefault="00B97DEA" w:rsidP="00B97DEA">
            <w:pPr>
              <w:spacing w:before="60" w:after="60"/>
              <w:rPr>
                <w:rFonts w:ascii="Arial" w:hAnsi="Arial" w:cs="Arial"/>
                <w:sz w:val="16"/>
                <w:szCs w:val="16"/>
              </w:rPr>
            </w:pPr>
            <w:r>
              <w:rPr>
                <w:rFonts w:ascii="Arial" w:hAnsi="Arial" w:cs="Arial"/>
                <w:sz w:val="16"/>
                <w:szCs w:val="16"/>
              </w:rPr>
              <w:t>Ministerial Directions, Instruction and Guidance</w:t>
            </w:r>
          </w:p>
        </w:tc>
        <w:tc>
          <w:tcPr>
            <w:tcW w:w="9530" w:type="dxa"/>
          </w:tcPr>
          <w:p w:rsidR="00B97DEA" w:rsidRDefault="00F0434F" w:rsidP="00B97DEA">
            <w:pPr>
              <w:spacing w:before="60" w:after="60"/>
              <w:rPr>
                <w:rFonts w:ascii="Arial" w:hAnsi="Arial" w:cs="Arial"/>
                <w:sz w:val="16"/>
                <w:szCs w:val="16"/>
              </w:rPr>
            </w:pPr>
            <w:r>
              <w:rPr>
                <w:rFonts w:ascii="Arial" w:hAnsi="Arial" w:cs="Arial"/>
                <w:sz w:val="16"/>
                <w:szCs w:val="16"/>
              </w:rPr>
              <w:t xml:space="preserve">Replaces the </w:t>
            </w:r>
            <w:r w:rsidR="00B97DEA">
              <w:rPr>
                <w:rFonts w:ascii="Arial" w:hAnsi="Arial" w:cs="Arial"/>
                <w:sz w:val="16"/>
                <w:szCs w:val="16"/>
              </w:rPr>
              <w:t>mandatory 2016 Ministerial Directions and their related mandatory Guides with:</w:t>
            </w:r>
          </w:p>
          <w:p w:rsidR="00B97DEA" w:rsidRDefault="00B97DEA" w:rsidP="00B97DEA">
            <w:pPr>
              <w:pStyle w:val="ListParagraph"/>
              <w:numPr>
                <w:ilvl w:val="0"/>
                <w:numId w:val="2"/>
              </w:numPr>
              <w:spacing w:before="60" w:after="60"/>
              <w:rPr>
                <w:rFonts w:ascii="Arial" w:hAnsi="Arial" w:cs="Arial"/>
                <w:sz w:val="16"/>
                <w:szCs w:val="16"/>
              </w:rPr>
            </w:pPr>
            <w:r>
              <w:rPr>
                <w:rFonts w:ascii="Arial" w:hAnsi="Arial" w:cs="Arial"/>
                <w:sz w:val="16"/>
                <w:szCs w:val="16"/>
              </w:rPr>
              <w:t xml:space="preserve">Ministerial Directions – </w:t>
            </w:r>
            <w:r w:rsidR="002F7795">
              <w:rPr>
                <w:rFonts w:ascii="Arial" w:hAnsi="Arial" w:cs="Arial"/>
                <w:sz w:val="16"/>
                <w:szCs w:val="16"/>
              </w:rPr>
              <w:t xml:space="preserve">contains </w:t>
            </w:r>
            <w:r>
              <w:rPr>
                <w:rFonts w:ascii="Arial" w:hAnsi="Arial" w:cs="Arial"/>
                <w:sz w:val="16"/>
                <w:szCs w:val="16"/>
              </w:rPr>
              <w:t>mandatory</w:t>
            </w:r>
            <w:r w:rsidR="002F7795">
              <w:rPr>
                <w:rFonts w:ascii="Arial" w:hAnsi="Arial" w:cs="Arial"/>
                <w:sz w:val="16"/>
                <w:szCs w:val="16"/>
              </w:rPr>
              <w:t xml:space="preserve"> requirements.</w:t>
            </w:r>
          </w:p>
          <w:p w:rsidR="00B97DEA" w:rsidRDefault="00B97DEA" w:rsidP="00B97DEA">
            <w:pPr>
              <w:pStyle w:val="ListParagraph"/>
              <w:numPr>
                <w:ilvl w:val="0"/>
                <w:numId w:val="2"/>
              </w:numPr>
              <w:spacing w:before="60" w:after="60"/>
              <w:rPr>
                <w:rFonts w:ascii="Arial" w:hAnsi="Arial" w:cs="Arial"/>
                <w:sz w:val="16"/>
                <w:szCs w:val="16"/>
              </w:rPr>
            </w:pPr>
            <w:r>
              <w:rPr>
                <w:rFonts w:ascii="Arial" w:hAnsi="Arial" w:cs="Arial"/>
                <w:sz w:val="16"/>
                <w:szCs w:val="16"/>
              </w:rPr>
              <w:t xml:space="preserve">Instructions – </w:t>
            </w:r>
            <w:r w:rsidR="002F7795">
              <w:rPr>
                <w:rFonts w:ascii="Arial" w:hAnsi="Arial" w:cs="Arial"/>
                <w:sz w:val="16"/>
                <w:szCs w:val="16"/>
              </w:rPr>
              <w:t>contains mandatory requirements.</w:t>
            </w:r>
          </w:p>
          <w:p w:rsidR="00B97DEA" w:rsidRDefault="00B97DEA" w:rsidP="00B97DEA">
            <w:pPr>
              <w:pStyle w:val="ListParagraph"/>
              <w:numPr>
                <w:ilvl w:val="0"/>
                <w:numId w:val="2"/>
              </w:numPr>
              <w:spacing w:before="60" w:after="60"/>
              <w:rPr>
                <w:rFonts w:ascii="Arial" w:hAnsi="Arial" w:cs="Arial"/>
                <w:sz w:val="16"/>
                <w:szCs w:val="16"/>
              </w:rPr>
            </w:pPr>
            <w:r>
              <w:rPr>
                <w:rFonts w:ascii="Arial" w:hAnsi="Arial" w:cs="Arial"/>
                <w:sz w:val="16"/>
                <w:szCs w:val="16"/>
              </w:rPr>
              <w:t>Guidance – non mandatory</w:t>
            </w:r>
            <w:r w:rsidR="002F7795">
              <w:rPr>
                <w:rFonts w:ascii="Arial" w:hAnsi="Arial" w:cs="Arial"/>
                <w:sz w:val="16"/>
                <w:szCs w:val="16"/>
              </w:rPr>
              <w:t xml:space="preserve"> guidance that supports the Directions and Instructions.</w:t>
            </w:r>
          </w:p>
          <w:p w:rsidR="00B83718" w:rsidRPr="00B83718" w:rsidRDefault="00B83718" w:rsidP="00B83718">
            <w:pPr>
              <w:spacing w:before="60" w:after="60"/>
              <w:rPr>
                <w:rFonts w:ascii="Arial" w:hAnsi="Arial" w:cs="Arial"/>
                <w:sz w:val="16"/>
                <w:szCs w:val="16"/>
              </w:rPr>
            </w:pPr>
            <w:r>
              <w:rPr>
                <w:rFonts w:ascii="Arial" w:hAnsi="Arial" w:cs="Arial"/>
                <w:sz w:val="16"/>
                <w:szCs w:val="16"/>
              </w:rPr>
              <w:t>The Ministerial Directions and Instructions should be read and interpreted together, in a similar manner to the operation of the 2016 Ministerial Directions and their related Guides.</w:t>
            </w:r>
          </w:p>
        </w:tc>
      </w:tr>
      <w:tr w:rsidR="001037B2" w:rsidRPr="00B97DEA" w:rsidTr="00092BEC">
        <w:trPr>
          <w:cantSplit/>
        </w:trPr>
        <w:tc>
          <w:tcPr>
            <w:tcW w:w="1809" w:type="dxa"/>
          </w:tcPr>
          <w:p w:rsidR="00B97DEA" w:rsidRPr="00B97DEA" w:rsidRDefault="00B97DEA" w:rsidP="00B97DEA">
            <w:pPr>
              <w:spacing w:before="60" w:after="60"/>
              <w:rPr>
                <w:rFonts w:ascii="Arial" w:hAnsi="Arial" w:cs="Arial"/>
                <w:sz w:val="16"/>
                <w:szCs w:val="16"/>
              </w:rPr>
            </w:pPr>
            <w:r w:rsidRPr="00B97DEA">
              <w:rPr>
                <w:rFonts w:ascii="Arial" w:hAnsi="Arial" w:cs="Arial"/>
                <w:sz w:val="16"/>
                <w:szCs w:val="16"/>
              </w:rPr>
              <w:t>Authority</w:t>
            </w:r>
          </w:p>
        </w:tc>
        <w:tc>
          <w:tcPr>
            <w:tcW w:w="1418" w:type="dxa"/>
          </w:tcPr>
          <w:p w:rsidR="00B97DEA" w:rsidRDefault="00B97DEA" w:rsidP="00B97DEA">
            <w:pPr>
              <w:spacing w:before="60" w:after="60"/>
              <w:rPr>
                <w:rFonts w:ascii="Arial" w:hAnsi="Arial" w:cs="Arial"/>
                <w:sz w:val="16"/>
                <w:szCs w:val="16"/>
              </w:rPr>
            </w:pPr>
            <w:r>
              <w:rPr>
                <w:rFonts w:ascii="Arial" w:hAnsi="Arial" w:cs="Arial"/>
                <w:sz w:val="16"/>
                <w:szCs w:val="16"/>
              </w:rPr>
              <w:t>MD</w:t>
            </w:r>
            <w:r w:rsidRPr="00B97DEA">
              <w:rPr>
                <w:rFonts w:ascii="Arial" w:hAnsi="Arial" w:cs="Arial"/>
                <w:sz w:val="16"/>
                <w:szCs w:val="16"/>
              </w:rPr>
              <w:t>1 cl 1.1</w:t>
            </w:r>
          </w:p>
          <w:p w:rsidR="00B97DEA" w:rsidRDefault="00B97DEA" w:rsidP="00B97DEA">
            <w:pPr>
              <w:spacing w:before="60" w:after="60"/>
              <w:rPr>
                <w:rFonts w:ascii="Arial" w:hAnsi="Arial" w:cs="Arial"/>
                <w:sz w:val="16"/>
                <w:szCs w:val="16"/>
              </w:rPr>
            </w:pPr>
            <w:r>
              <w:rPr>
                <w:rFonts w:ascii="Arial" w:hAnsi="Arial" w:cs="Arial"/>
                <w:sz w:val="16"/>
                <w:szCs w:val="16"/>
              </w:rPr>
              <w:t>GMD1 cl 1.1</w:t>
            </w:r>
          </w:p>
          <w:p w:rsidR="00B97DEA" w:rsidRDefault="00B97DEA" w:rsidP="00B97DEA">
            <w:pPr>
              <w:spacing w:before="60" w:after="60"/>
              <w:rPr>
                <w:rFonts w:ascii="Arial" w:hAnsi="Arial" w:cs="Arial"/>
                <w:sz w:val="16"/>
                <w:szCs w:val="16"/>
              </w:rPr>
            </w:pPr>
            <w:r>
              <w:rPr>
                <w:rFonts w:ascii="Arial" w:hAnsi="Arial" w:cs="Arial"/>
                <w:sz w:val="16"/>
                <w:szCs w:val="16"/>
              </w:rPr>
              <w:t>MD2 cl 1.1</w:t>
            </w:r>
          </w:p>
          <w:p w:rsidR="00B97DEA" w:rsidRPr="00B97DEA" w:rsidRDefault="00B97DEA" w:rsidP="00B97DEA">
            <w:pPr>
              <w:spacing w:before="60" w:after="60"/>
              <w:rPr>
                <w:rFonts w:ascii="Arial" w:hAnsi="Arial" w:cs="Arial"/>
                <w:sz w:val="16"/>
                <w:szCs w:val="16"/>
              </w:rPr>
            </w:pPr>
            <w:r>
              <w:rPr>
                <w:rFonts w:ascii="Arial" w:hAnsi="Arial" w:cs="Arial"/>
                <w:sz w:val="16"/>
                <w:szCs w:val="16"/>
              </w:rPr>
              <w:t>GMD2 cl 1.1</w:t>
            </w:r>
          </w:p>
        </w:tc>
        <w:tc>
          <w:tcPr>
            <w:tcW w:w="1417" w:type="dxa"/>
          </w:tcPr>
          <w:p w:rsidR="00B97DEA" w:rsidRDefault="00B97DEA" w:rsidP="00B97DEA">
            <w:pPr>
              <w:spacing w:before="60" w:after="60"/>
              <w:rPr>
                <w:rFonts w:ascii="Arial" w:hAnsi="Arial" w:cs="Arial"/>
                <w:sz w:val="16"/>
                <w:szCs w:val="16"/>
              </w:rPr>
            </w:pPr>
            <w:r>
              <w:rPr>
                <w:rFonts w:ascii="Arial" w:hAnsi="Arial" w:cs="Arial"/>
                <w:sz w:val="16"/>
                <w:szCs w:val="16"/>
              </w:rPr>
              <w:t>Dir 11.1.1</w:t>
            </w:r>
          </w:p>
          <w:p w:rsidR="002F7795" w:rsidRDefault="002F7795" w:rsidP="00B97DEA">
            <w:pPr>
              <w:spacing w:before="60" w:after="60"/>
              <w:rPr>
                <w:rFonts w:ascii="Arial" w:hAnsi="Arial" w:cs="Arial"/>
                <w:sz w:val="16"/>
                <w:szCs w:val="16"/>
              </w:rPr>
            </w:pPr>
            <w:r>
              <w:rPr>
                <w:rFonts w:ascii="Arial" w:hAnsi="Arial" w:cs="Arial"/>
                <w:sz w:val="16"/>
                <w:szCs w:val="16"/>
              </w:rPr>
              <w:t>Dir 11.1.3</w:t>
            </w:r>
          </w:p>
          <w:p w:rsidR="008D66CC" w:rsidRPr="00B97DEA" w:rsidRDefault="002F7795" w:rsidP="00B97DEA">
            <w:pPr>
              <w:spacing w:before="60" w:after="60"/>
              <w:rPr>
                <w:rFonts w:ascii="Arial" w:hAnsi="Arial" w:cs="Arial"/>
                <w:sz w:val="16"/>
                <w:szCs w:val="16"/>
              </w:rPr>
            </w:pPr>
            <w:r>
              <w:rPr>
                <w:rFonts w:ascii="Arial" w:hAnsi="Arial" w:cs="Arial"/>
                <w:sz w:val="16"/>
                <w:szCs w:val="16"/>
              </w:rPr>
              <w:t>Dir 11.1.4</w:t>
            </w:r>
          </w:p>
        </w:tc>
        <w:tc>
          <w:tcPr>
            <w:tcW w:w="9530" w:type="dxa"/>
          </w:tcPr>
          <w:p w:rsidR="002F7795" w:rsidRPr="00B97DEA" w:rsidRDefault="00B97DEA" w:rsidP="00B97DEA">
            <w:pPr>
              <w:spacing w:before="60" w:after="60"/>
              <w:rPr>
                <w:rFonts w:ascii="Arial" w:hAnsi="Arial" w:cs="Arial"/>
                <w:sz w:val="16"/>
                <w:szCs w:val="16"/>
              </w:rPr>
            </w:pPr>
            <w:r>
              <w:rPr>
                <w:rFonts w:ascii="Arial" w:hAnsi="Arial" w:cs="Arial"/>
                <w:sz w:val="16"/>
                <w:szCs w:val="16"/>
              </w:rPr>
              <w:t>No change</w:t>
            </w:r>
            <w:r w:rsidR="002F7795">
              <w:rPr>
                <w:rFonts w:ascii="Arial" w:hAnsi="Arial" w:cs="Arial"/>
                <w:sz w:val="16"/>
                <w:szCs w:val="16"/>
              </w:rPr>
              <w:t>.</w:t>
            </w:r>
          </w:p>
        </w:tc>
      </w:tr>
      <w:tr w:rsidR="001037B2" w:rsidRPr="00B97DEA" w:rsidTr="00092BEC">
        <w:trPr>
          <w:cantSplit/>
        </w:trPr>
        <w:tc>
          <w:tcPr>
            <w:tcW w:w="1809" w:type="dxa"/>
          </w:tcPr>
          <w:p w:rsidR="00B97DEA" w:rsidRPr="00B97DEA" w:rsidRDefault="00B97DEA" w:rsidP="00B97DEA">
            <w:pPr>
              <w:spacing w:before="60" w:after="60"/>
              <w:rPr>
                <w:rFonts w:ascii="Arial" w:hAnsi="Arial" w:cs="Arial"/>
                <w:sz w:val="16"/>
                <w:szCs w:val="16"/>
              </w:rPr>
            </w:pPr>
            <w:r>
              <w:rPr>
                <w:rFonts w:ascii="Arial" w:hAnsi="Arial" w:cs="Arial"/>
                <w:sz w:val="16"/>
                <w:szCs w:val="16"/>
              </w:rPr>
              <w:lastRenderedPageBreak/>
              <w:t>Effectiveness</w:t>
            </w:r>
          </w:p>
        </w:tc>
        <w:tc>
          <w:tcPr>
            <w:tcW w:w="1418" w:type="dxa"/>
          </w:tcPr>
          <w:p w:rsidR="00B97DEA" w:rsidRDefault="00B97DEA" w:rsidP="00B97DEA">
            <w:pPr>
              <w:spacing w:before="60" w:after="60"/>
              <w:rPr>
                <w:rFonts w:ascii="Arial" w:hAnsi="Arial" w:cs="Arial"/>
                <w:sz w:val="16"/>
                <w:szCs w:val="16"/>
              </w:rPr>
            </w:pPr>
            <w:r>
              <w:rPr>
                <w:rFonts w:ascii="Arial" w:hAnsi="Arial" w:cs="Arial"/>
                <w:sz w:val="16"/>
                <w:szCs w:val="16"/>
              </w:rPr>
              <w:t>MD1 cl 1.2</w:t>
            </w:r>
          </w:p>
          <w:p w:rsidR="00B97DEA" w:rsidRDefault="00B97DEA" w:rsidP="00B97DEA">
            <w:pPr>
              <w:spacing w:before="60" w:after="60"/>
              <w:rPr>
                <w:rFonts w:ascii="Arial" w:hAnsi="Arial" w:cs="Arial"/>
                <w:sz w:val="16"/>
                <w:szCs w:val="16"/>
              </w:rPr>
            </w:pPr>
            <w:r>
              <w:rPr>
                <w:rFonts w:ascii="Arial" w:hAnsi="Arial" w:cs="Arial"/>
                <w:sz w:val="16"/>
                <w:szCs w:val="16"/>
              </w:rPr>
              <w:t>GMD1 cl 1.2</w:t>
            </w:r>
          </w:p>
          <w:p w:rsidR="00B97DEA" w:rsidRDefault="00B97DEA" w:rsidP="00B97DEA">
            <w:pPr>
              <w:spacing w:before="60" w:after="60"/>
              <w:rPr>
                <w:rFonts w:ascii="Arial" w:hAnsi="Arial" w:cs="Arial"/>
                <w:sz w:val="16"/>
                <w:szCs w:val="16"/>
              </w:rPr>
            </w:pPr>
            <w:r>
              <w:rPr>
                <w:rFonts w:ascii="Arial" w:hAnsi="Arial" w:cs="Arial"/>
                <w:sz w:val="16"/>
                <w:szCs w:val="16"/>
              </w:rPr>
              <w:t>MD2 cl 1.2</w:t>
            </w:r>
          </w:p>
          <w:p w:rsidR="00B97DEA" w:rsidRPr="00B97DEA" w:rsidRDefault="00B97DEA" w:rsidP="00B97DEA">
            <w:pPr>
              <w:spacing w:before="60" w:after="60"/>
              <w:rPr>
                <w:rFonts w:ascii="Arial" w:hAnsi="Arial" w:cs="Arial"/>
                <w:sz w:val="16"/>
                <w:szCs w:val="16"/>
              </w:rPr>
            </w:pPr>
            <w:r>
              <w:rPr>
                <w:rFonts w:ascii="Arial" w:hAnsi="Arial" w:cs="Arial"/>
                <w:sz w:val="16"/>
                <w:szCs w:val="16"/>
              </w:rPr>
              <w:t>GMD2 cl 1.2</w:t>
            </w:r>
          </w:p>
        </w:tc>
        <w:tc>
          <w:tcPr>
            <w:tcW w:w="1417" w:type="dxa"/>
          </w:tcPr>
          <w:p w:rsidR="00B97DEA" w:rsidRDefault="00B97DEA" w:rsidP="00B97DEA">
            <w:pPr>
              <w:spacing w:before="60" w:after="60"/>
              <w:rPr>
                <w:rFonts w:ascii="Arial" w:hAnsi="Arial" w:cs="Arial"/>
                <w:sz w:val="16"/>
                <w:szCs w:val="16"/>
              </w:rPr>
            </w:pPr>
            <w:r>
              <w:rPr>
                <w:rFonts w:ascii="Arial" w:hAnsi="Arial" w:cs="Arial"/>
                <w:sz w:val="16"/>
                <w:szCs w:val="16"/>
              </w:rPr>
              <w:t>Dir 11.1.2</w:t>
            </w:r>
          </w:p>
          <w:p w:rsidR="00715FE9" w:rsidRPr="00B97DEA" w:rsidRDefault="00715FE9" w:rsidP="00B97DEA">
            <w:pPr>
              <w:spacing w:before="60" w:after="60"/>
              <w:rPr>
                <w:rFonts w:ascii="Arial" w:hAnsi="Arial" w:cs="Arial"/>
                <w:sz w:val="16"/>
                <w:szCs w:val="16"/>
              </w:rPr>
            </w:pPr>
            <w:r>
              <w:rPr>
                <w:rFonts w:ascii="Arial" w:hAnsi="Arial" w:cs="Arial"/>
                <w:sz w:val="16"/>
                <w:szCs w:val="16"/>
              </w:rPr>
              <w:t>Dir 11.1.6</w:t>
            </w:r>
          </w:p>
        </w:tc>
        <w:tc>
          <w:tcPr>
            <w:tcW w:w="9530" w:type="dxa"/>
          </w:tcPr>
          <w:p w:rsidR="00B97DEA" w:rsidRDefault="00B97DEA" w:rsidP="00B97DEA">
            <w:pPr>
              <w:spacing w:before="60" w:after="60"/>
              <w:rPr>
                <w:rFonts w:ascii="Arial" w:hAnsi="Arial" w:cs="Arial"/>
                <w:sz w:val="16"/>
                <w:szCs w:val="16"/>
              </w:rPr>
            </w:pPr>
            <w:r>
              <w:rPr>
                <w:rFonts w:ascii="Arial" w:hAnsi="Arial" w:cs="Arial"/>
                <w:sz w:val="16"/>
                <w:szCs w:val="16"/>
              </w:rPr>
              <w:t xml:space="preserve">Effective date for </w:t>
            </w:r>
            <w:r w:rsidR="006719E4">
              <w:rPr>
                <w:rFonts w:ascii="Arial" w:hAnsi="Arial" w:cs="Arial"/>
                <w:sz w:val="16"/>
                <w:szCs w:val="16"/>
              </w:rPr>
              <w:t>the 2018</w:t>
            </w:r>
            <w:r>
              <w:rPr>
                <w:rFonts w:ascii="Arial" w:hAnsi="Arial" w:cs="Arial"/>
                <w:sz w:val="16"/>
                <w:szCs w:val="16"/>
              </w:rPr>
              <w:t xml:space="preserve"> Directions and Instruction is 1 July 2018.</w:t>
            </w:r>
          </w:p>
          <w:p w:rsidR="00B97DEA" w:rsidRPr="006B3779" w:rsidRDefault="00715FE9" w:rsidP="006B3779">
            <w:pPr>
              <w:spacing w:before="60" w:after="60"/>
              <w:rPr>
                <w:rFonts w:ascii="Arial" w:hAnsi="Arial" w:cs="Arial"/>
                <w:sz w:val="16"/>
                <w:szCs w:val="16"/>
              </w:rPr>
            </w:pPr>
            <w:r>
              <w:rPr>
                <w:rFonts w:ascii="Arial" w:hAnsi="Arial" w:cs="Arial"/>
                <w:sz w:val="16"/>
                <w:szCs w:val="16"/>
              </w:rPr>
              <w:t>Transitional provisions are included for c</w:t>
            </w:r>
            <w:r w:rsidR="006B3779">
              <w:rPr>
                <w:rFonts w:ascii="Arial" w:hAnsi="Arial" w:cs="Arial"/>
                <w:sz w:val="16"/>
                <w:szCs w:val="16"/>
              </w:rPr>
              <w:t xml:space="preserve">ertain revised requirements – refer to </w:t>
            </w:r>
            <w:r w:rsidR="006B3779" w:rsidRPr="009A4D80">
              <w:rPr>
                <w:rFonts w:ascii="Arial" w:hAnsi="Arial" w:cs="Arial"/>
                <w:sz w:val="16"/>
                <w:szCs w:val="16"/>
              </w:rPr>
              <w:t xml:space="preserve">the </w:t>
            </w:r>
            <w:hyperlink r:id="rId10" w:history="1">
              <w:r w:rsidR="0047032E" w:rsidRPr="009A4D80">
                <w:rPr>
                  <w:rStyle w:val="Hyperlink"/>
                  <w:rFonts w:ascii="Arial" w:hAnsi="Arial" w:cs="Arial"/>
                  <w:sz w:val="16"/>
                  <w:szCs w:val="16"/>
                </w:rPr>
                <w:t xml:space="preserve">Fact sheet </w:t>
              </w:r>
              <w:r w:rsidR="006B3779" w:rsidRPr="009A4D80">
                <w:rPr>
                  <w:rStyle w:val="Hyperlink"/>
                  <w:rFonts w:ascii="Arial" w:hAnsi="Arial" w:cs="Arial"/>
                  <w:sz w:val="16"/>
                  <w:szCs w:val="16"/>
                </w:rPr>
                <w:t>- Transition provisions for the introduction of the revised Ministerial Directions for Public Construction</w:t>
              </w:r>
            </w:hyperlink>
            <w:r w:rsidR="006B3779" w:rsidRPr="009A4D80">
              <w:rPr>
                <w:rFonts w:ascii="Arial" w:hAnsi="Arial" w:cs="Arial"/>
                <w:sz w:val="16"/>
                <w:szCs w:val="16"/>
              </w:rPr>
              <w:t>.</w:t>
            </w:r>
          </w:p>
        </w:tc>
      </w:tr>
      <w:tr w:rsidR="001037B2" w:rsidRPr="00B97DEA" w:rsidTr="00092BEC">
        <w:trPr>
          <w:cantSplit/>
        </w:trPr>
        <w:tc>
          <w:tcPr>
            <w:tcW w:w="1809" w:type="dxa"/>
          </w:tcPr>
          <w:p w:rsidR="00B97DEA" w:rsidRPr="00B97DEA" w:rsidRDefault="00B97DEA" w:rsidP="00B97DEA">
            <w:pPr>
              <w:spacing w:before="60" w:after="60"/>
              <w:rPr>
                <w:rFonts w:ascii="Arial" w:hAnsi="Arial" w:cs="Arial"/>
                <w:sz w:val="16"/>
                <w:szCs w:val="16"/>
              </w:rPr>
            </w:pPr>
            <w:r>
              <w:rPr>
                <w:rFonts w:ascii="Arial" w:hAnsi="Arial" w:cs="Arial"/>
                <w:sz w:val="16"/>
                <w:szCs w:val="16"/>
              </w:rPr>
              <w:t>Purpose</w:t>
            </w:r>
          </w:p>
        </w:tc>
        <w:tc>
          <w:tcPr>
            <w:tcW w:w="1418" w:type="dxa"/>
          </w:tcPr>
          <w:p w:rsidR="00B97DEA" w:rsidRPr="00B97DEA" w:rsidRDefault="00CA2CBC" w:rsidP="00B97DEA">
            <w:pPr>
              <w:spacing w:before="60" w:after="60"/>
              <w:rPr>
                <w:rFonts w:ascii="Arial" w:hAnsi="Arial" w:cs="Arial"/>
                <w:sz w:val="16"/>
                <w:szCs w:val="16"/>
              </w:rPr>
            </w:pPr>
            <w:r>
              <w:rPr>
                <w:rFonts w:ascii="Arial" w:hAnsi="Arial" w:cs="Arial"/>
                <w:sz w:val="16"/>
                <w:szCs w:val="16"/>
              </w:rPr>
              <w:t>GMD1 cl 2.1</w:t>
            </w:r>
          </w:p>
        </w:tc>
        <w:tc>
          <w:tcPr>
            <w:tcW w:w="1417" w:type="dxa"/>
          </w:tcPr>
          <w:p w:rsidR="00B97DEA" w:rsidRPr="00B97DEA" w:rsidRDefault="00B97DEA" w:rsidP="00B97DEA">
            <w:pPr>
              <w:spacing w:before="60" w:after="60"/>
              <w:rPr>
                <w:rFonts w:ascii="Arial" w:hAnsi="Arial" w:cs="Arial"/>
                <w:sz w:val="16"/>
                <w:szCs w:val="16"/>
              </w:rPr>
            </w:pPr>
            <w:r>
              <w:rPr>
                <w:rFonts w:ascii="Arial" w:hAnsi="Arial" w:cs="Arial"/>
                <w:sz w:val="16"/>
                <w:szCs w:val="16"/>
              </w:rPr>
              <w:t>Dir 1.1</w:t>
            </w:r>
          </w:p>
        </w:tc>
        <w:tc>
          <w:tcPr>
            <w:tcW w:w="9530" w:type="dxa"/>
          </w:tcPr>
          <w:p w:rsidR="00F0434F" w:rsidRDefault="00F0434F" w:rsidP="0065104F">
            <w:pPr>
              <w:spacing w:before="60" w:after="60"/>
              <w:rPr>
                <w:rFonts w:ascii="Arial" w:hAnsi="Arial" w:cs="Arial"/>
                <w:sz w:val="16"/>
                <w:szCs w:val="16"/>
              </w:rPr>
            </w:pPr>
            <w:r>
              <w:rPr>
                <w:rFonts w:ascii="Arial" w:hAnsi="Arial" w:cs="Arial"/>
                <w:sz w:val="16"/>
                <w:szCs w:val="16"/>
              </w:rPr>
              <w:t>Retains the general principles to support the economical and efficient use of State resources in procurement and extends this as a purpose statement.</w:t>
            </w:r>
          </w:p>
          <w:p w:rsidR="00B97DEA" w:rsidRPr="00B97DEA" w:rsidRDefault="00F0434F" w:rsidP="00F0434F">
            <w:pPr>
              <w:spacing w:before="60" w:after="60"/>
              <w:rPr>
                <w:rFonts w:ascii="Arial" w:hAnsi="Arial" w:cs="Arial"/>
                <w:sz w:val="16"/>
                <w:szCs w:val="16"/>
              </w:rPr>
            </w:pPr>
            <w:r>
              <w:rPr>
                <w:rFonts w:ascii="Arial" w:hAnsi="Arial" w:cs="Arial"/>
                <w:sz w:val="16"/>
                <w:szCs w:val="16"/>
              </w:rPr>
              <w:t>T</w:t>
            </w:r>
            <w:r w:rsidR="0065104F">
              <w:rPr>
                <w:rFonts w:ascii="Arial" w:hAnsi="Arial" w:cs="Arial"/>
                <w:sz w:val="16"/>
                <w:szCs w:val="16"/>
              </w:rPr>
              <w:t>he p</w:t>
            </w:r>
            <w:r w:rsidR="00E046A0">
              <w:rPr>
                <w:rFonts w:ascii="Arial" w:hAnsi="Arial" w:cs="Arial"/>
                <w:sz w:val="16"/>
                <w:szCs w:val="16"/>
              </w:rPr>
              <w:t xml:space="preserve">urpose of the </w:t>
            </w:r>
            <w:r w:rsidR="00344732">
              <w:rPr>
                <w:rFonts w:ascii="Arial" w:hAnsi="Arial" w:cs="Arial"/>
                <w:sz w:val="16"/>
                <w:szCs w:val="16"/>
              </w:rPr>
              <w:t xml:space="preserve">2018 </w:t>
            </w:r>
            <w:r w:rsidR="00E046A0">
              <w:rPr>
                <w:rFonts w:ascii="Arial" w:hAnsi="Arial" w:cs="Arial"/>
                <w:sz w:val="16"/>
                <w:szCs w:val="16"/>
              </w:rPr>
              <w:t>Directions</w:t>
            </w:r>
            <w:r w:rsidR="0065104F">
              <w:rPr>
                <w:rFonts w:ascii="Arial" w:hAnsi="Arial" w:cs="Arial"/>
                <w:sz w:val="16"/>
                <w:szCs w:val="16"/>
              </w:rPr>
              <w:t xml:space="preserve"> </w:t>
            </w:r>
            <w:r>
              <w:rPr>
                <w:rFonts w:ascii="Arial" w:hAnsi="Arial" w:cs="Arial"/>
                <w:sz w:val="16"/>
                <w:szCs w:val="16"/>
              </w:rPr>
              <w:t>is</w:t>
            </w:r>
            <w:r w:rsidR="00E046A0">
              <w:rPr>
                <w:rFonts w:ascii="Arial" w:hAnsi="Arial" w:cs="Arial"/>
                <w:sz w:val="16"/>
                <w:szCs w:val="16"/>
              </w:rPr>
              <w:t xml:space="preserve"> to support </w:t>
            </w:r>
            <w:r w:rsidR="009A4D80" w:rsidRPr="009A4D80">
              <w:rPr>
                <w:rFonts w:ascii="Arial" w:hAnsi="Arial" w:cs="Arial"/>
                <w:sz w:val="16"/>
                <w:szCs w:val="16"/>
              </w:rPr>
              <w:t xml:space="preserve">efficient, economical, and effective </w:t>
            </w:r>
            <w:r w:rsidR="00E046A0">
              <w:rPr>
                <w:rFonts w:ascii="Arial" w:hAnsi="Arial" w:cs="Arial"/>
                <w:sz w:val="16"/>
                <w:szCs w:val="16"/>
              </w:rPr>
              <w:t>delivery of the Public Construction Procurement consistent with the principles set out in Direction 1.2.</w:t>
            </w:r>
          </w:p>
        </w:tc>
      </w:tr>
      <w:tr w:rsidR="002F7795" w:rsidRPr="00B97DEA" w:rsidTr="00092BEC">
        <w:trPr>
          <w:cantSplit/>
        </w:trPr>
        <w:tc>
          <w:tcPr>
            <w:tcW w:w="1809" w:type="dxa"/>
          </w:tcPr>
          <w:p w:rsidR="002F7795" w:rsidRDefault="002F7795" w:rsidP="005E3920">
            <w:pPr>
              <w:spacing w:before="60" w:after="60"/>
              <w:rPr>
                <w:rFonts w:ascii="Arial" w:hAnsi="Arial" w:cs="Arial"/>
                <w:sz w:val="16"/>
                <w:szCs w:val="16"/>
              </w:rPr>
            </w:pPr>
            <w:r>
              <w:rPr>
                <w:rFonts w:ascii="Arial" w:hAnsi="Arial" w:cs="Arial"/>
                <w:sz w:val="16"/>
                <w:szCs w:val="16"/>
              </w:rPr>
              <w:t>Principles</w:t>
            </w:r>
          </w:p>
        </w:tc>
        <w:tc>
          <w:tcPr>
            <w:tcW w:w="1418" w:type="dxa"/>
          </w:tcPr>
          <w:p w:rsidR="002F7795" w:rsidRDefault="00F0434F" w:rsidP="005E3920">
            <w:pPr>
              <w:spacing w:before="60" w:after="60"/>
              <w:rPr>
                <w:rFonts w:ascii="Arial" w:hAnsi="Arial" w:cs="Arial"/>
                <w:sz w:val="16"/>
                <w:szCs w:val="16"/>
              </w:rPr>
            </w:pPr>
            <w:r>
              <w:rPr>
                <w:rFonts w:ascii="Arial" w:hAnsi="Arial" w:cs="Arial"/>
                <w:sz w:val="16"/>
                <w:szCs w:val="16"/>
              </w:rPr>
              <w:t>GMD1 cl 2.1</w:t>
            </w:r>
          </w:p>
        </w:tc>
        <w:tc>
          <w:tcPr>
            <w:tcW w:w="1417" w:type="dxa"/>
          </w:tcPr>
          <w:p w:rsidR="002F7795" w:rsidRDefault="002F7795" w:rsidP="00B97DEA">
            <w:pPr>
              <w:spacing w:before="60" w:after="60"/>
              <w:rPr>
                <w:rFonts w:ascii="Arial" w:hAnsi="Arial" w:cs="Arial"/>
                <w:sz w:val="16"/>
                <w:szCs w:val="16"/>
              </w:rPr>
            </w:pPr>
            <w:r>
              <w:rPr>
                <w:rFonts w:ascii="Arial" w:hAnsi="Arial" w:cs="Arial"/>
                <w:sz w:val="16"/>
                <w:szCs w:val="16"/>
              </w:rPr>
              <w:t>Dir 1.2</w:t>
            </w:r>
          </w:p>
        </w:tc>
        <w:tc>
          <w:tcPr>
            <w:tcW w:w="9530" w:type="dxa"/>
          </w:tcPr>
          <w:p w:rsidR="00F0434F" w:rsidRDefault="00F0434F" w:rsidP="002F7795">
            <w:pPr>
              <w:spacing w:before="60" w:after="60"/>
              <w:rPr>
                <w:rFonts w:ascii="Arial" w:hAnsi="Arial" w:cs="Arial"/>
                <w:sz w:val="16"/>
                <w:szCs w:val="16"/>
              </w:rPr>
            </w:pPr>
            <w:r>
              <w:rPr>
                <w:rFonts w:ascii="Arial" w:hAnsi="Arial" w:cs="Arial"/>
                <w:sz w:val="16"/>
                <w:szCs w:val="16"/>
              </w:rPr>
              <w:t>Retains and extends the general principles to support the economical and efficient use of State resources in procurement.</w:t>
            </w:r>
          </w:p>
          <w:p w:rsidR="002F7795" w:rsidRDefault="002F7795" w:rsidP="002F7795">
            <w:pPr>
              <w:spacing w:before="60" w:after="60"/>
              <w:rPr>
                <w:rFonts w:ascii="Arial" w:hAnsi="Arial" w:cs="Arial"/>
                <w:sz w:val="16"/>
                <w:szCs w:val="16"/>
              </w:rPr>
            </w:pPr>
            <w:r>
              <w:rPr>
                <w:rFonts w:ascii="Arial" w:hAnsi="Arial" w:cs="Arial"/>
                <w:sz w:val="16"/>
                <w:szCs w:val="16"/>
              </w:rPr>
              <w:t xml:space="preserve">The </w:t>
            </w:r>
            <w:r w:rsidR="00715FE9">
              <w:rPr>
                <w:rFonts w:ascii="Arial" w:hAnsi="Arial" w:cs="Arial"/>
                <w:sz w:val="16"/>
                <w:szCs w:val="16"/>
              </w:rPr>
              <w:t xml:space="preserve">2018 </w:t>
            </w:r>
            <w:r>
              <w:rPr>
                <w:rFonts w:ascii="Arial" w:hAnsi="Arial" w:cs="Arial"/>
                <w:sz w:val="16"/>
                <w:szCs w:val="16"/>
              </w:rPr>
              <w:t>Directions are principles based. When undertaking Public Construction Procurement Agencies must act in a manner consistent with the following principles (noted here in summary form):</w:t>
            </w:r>
          </w:p>
          <w:p w:rsidR="002F7795" w:rsidRDefault="002F7795" w:rsidP="002F7795">
            <w:pPr>
              <w:pStyle w:val="ListParagraph"/>
              <w:numPr>
                <w:ilvl w:val="0"/>
                <w:numId w:val="5"/>
              </w:numPr>
              <w:spacing w:before="60" w:after="60"/>
              <w:rPr>
                <w:rFonts w:ascii="Arial" w:hAnsi="Arial" w:cs="Arial"/>
                <w:sz w:val="16"/>
                <w:szCs w:val="16"/>
              </w:rPr>
            </w:pPr>
            <w:r>
              <w:rPr>
                <w:rFonts w:ascii="Arial" w:hAnsi="Arial" w:cs="Arial"/>
                <w:sz w:val="16"/>
                <w:szCs w:val="16"/>
              </w:rPr>
              <w:t>value for money;</w:t>
            </w:r>
          </w:p>
          <w:p w:rsidR="002F7795" w:rsidRDefault="002F7795" w:rsidP="002F7795">
            <w:pPr>
              <w:pStyle w:val="ListParagraph"/>
              <w:numPr>
                <w:ilvl w:val="0"/>
                <w:numId w:val="5"/>
              </w:numPr>
              <w:spacing w:before="60" w:after="60"/>
              <w:rPr>
                <w:rFonts w:ascii="Arial" w:hAnsi="Arial" w:cs="Arial"/>
                <w:sz w:val="16"/>
                <w:szCs w:val="16"/>
              </w:rPr>
            </w:pPr>
            <w:r>
              <w:rPr>
                <w:rFonts w:ascii="Arial" w:hAnsi="Arial" w:cs="Arial"/>
                <w:sz w:val="16"/>
                <w:szCs w:val="16"/>
              </w:rPr>
              <w:t>accountability;</w:t>
            </w:r>
          </w:p>
          <w:p w:rsidR="002F7795" w:rsidRDefault="002F7795" w:rsidP="002F7795">
            <w:pPr>
              <w:pStyle w:val="ListParagraph"/>
              <w:numPr>
                <w:ilvl w:val="0"/>
                <w:numId w:val="5"/>
              </w:numPr>
              <w:spacing w:before="60" w:after="60"/>
              <w:rPr>
                <w:rFonts w:ascii="Arial" w:hAnsi="Arial" w:cs="Arial"/>
                <w:sz w:val="16"/>
                <w:szCs w:val="16"/>
              </w:rPr>
            </w:pPr>
            <w:r>
              <w:rPr>
                <w:rFonts w:ascii="Arial" w:hAnsi="Arial" w:cs="Arial"/>
                <w:sz w:val="16"/>
                <w:szCs w:val="16"/>
              </w:rPr>
              <w:t>probity; and</w:t>
            </w:r>
          </w:p>
          <w:p w:rsidR="002F7795" w:rsidRDefault="00AD49C5" w:rsidP="002F7795">
            <w:pPr>
              <w:pStyle w:val="ListParagraph"/>
              <w:numPr>
                <w:ilvl w:val="0"/>
                <w:numId w:val="5"/>
              </w:numPr>
              <w:spacing w:before="60" w:after="60"/>
              <w:rPr>
                <w:rFonts w:ascii="Arial" w:hAnsi="Arial" w:cs="Arial"/>
                <w:sz w:val="16"/>
                <w:szCs w:val="16"/>
              </w:rPr>
            </w:pPr>
            <w:r>
              <w:rPr>
                <w:rFonts w:ascii="Arial" w:hAnsi="Arial" w:cs="Arial"/>
                <w:sz w:val="16"/>
                <w:szCs w:val="16"/>
              </w:rPr>
              <w:t>scalability.</w:t>
            </w:r>
          </w:p>
          <w:p w:rsidR="00AD49C5" w:rsidRDefault="00AD49C5" w:rsidP="00AD49C5">
            <w:pPr>
              <w:spacing w:before="60" w:after="60"/>
              <w:ind w:left="45"/>
              <w:rPr>
                <w:rFonts w:ascii="Arial" w:hAnsi="Arial" w:cs="Arial"/>
                <w:sz w:val="16"/>
                <w:szCs w:val="16"/>
              </w:rPr>
            </w:pPr>
            <w:r>
              <w:rPr>
                <w:rFonts w:ascii="Arial" w:hAnsi="Arial" w:cs="Arial"/>
                <w:sz w:val="16"/>
                <w:szCs w:val="16"/>
              </w:rPr>
              <w:t>More specific Construction Procurement Principles are described. The Construction Procurement Principles highlight the purpose behind a Direction.</w:t>
            </w:r>
          </w:p>
          <w:p w:rsidR="00AD49C5" w:rsidRPr="00AD49C5" w:rsidRDefault="00AD49C5" w:rsidP="00AD49C5">
            <w:pPr>
              <w:spacing w:before="60" w:after="60"/>
              <w:ind w:left="45"/>
              <w:rPr>
                <w:rFonts w:ascii="Arial" w:hAnsi="Arial" w:cs="Arial"/>
                <w:sz w:val="16"/>
                <w:szCs w:val="16"/>
              </w:rPr>
            </w:pPr>
            <w:r>
              <w:rPr>
                <w:rFonts w:ascii="Arial" w:hAnsi="Arial" w:cs="Arial"/>
                <w:sz w:val="16"/>
                <w:szCs w:val="16"/>
              </w:rPr>
              <w:t xml:space="preserve">The principles </w:t>
            </w:r>
            <w:r w:rsidR="00715FE9">
              <w:rPr>
                <w:rFonts w:ascii="Arial" w:hAnsi="Arial" w:cs="Arial"/>
                <w:sz w:val="16"/>
                <w:szCs w:val="16"/>
              </w:rPr>
              <w:t>inform the</w:t>
            </w:r>
            <w:r w:rsidR="00751A85" w:rsidRPr="00751A85">
              <w:rPr>
                <w:rFonts w:ascii="Arial" w:hAnsi="Arial" w:cs="Arial"/>
                <w:sz w:val="16"/>
                <w:szCs w:val="16"/>
              </w:rPr>
              <w:t xml:space="preserve"> </w:t>
            </w:r>
            <w:r w:rsidR="00715FE9">
              <w:rPr>
                <w:rFonts w:ascii="Arial" w:hAnsi="Arial" w:cs="Arial"/>
                <w:sz w:val="16"/>
                <w:szCs w:val="16"/>
              </w:rPr>
              <w:t xml:space="preserve">2018 </w:t>
            </w:r>
            <w:r w:rsidR="00751A85" w:rsidRPr="00751A85">
              <w:rPr>
                <w:rFonts w:ascii="Arial" w:hAnsi="Arial" w:cs="Arial"/>
                <w:sz w:val="16"/>
                <w:szCs w:val="16"/>
              </w:rPr>
              <w:t>Directions but are not independent substantive obligations</w:t>
            </w:r>
            <w:r w:rsidR="00751A85">
              <w:rPr>
                <w:rFonts w:ascii="Arial" w:hAnsi="Arial" w:cs="Arial"/>
                <w:sz w:val="16"/>
                <w:szCs w:val="16"/>
              </w:rPr>
              <w:t>.</w:t>
            </w:r>
          </w:p>
        </w:tc>
      </w:tr>
      <w:tr w:rsidR="001037B2" w:rsidRPr="00B97DEA" w:rsidTr="00092BEC">
        <w:trPr>
          <w:cantSplit/>
        </w:trPr>
        <w:tc>
          <w:tcPr>
            <w:tcW w:w="1809" w:type="dxa"/>
          </w:tcPr>
          <w:p w:rsidR="00B97DEA" w:rsidRPr="00B97DEA" w:rsidRDefault="00B97DEA" w:rsidP="005E3920">
            <w:pPr>
              <w:spacing w:before="60" w:after="60"/>
              <w:rPr>
                <w:rFonts w:ascii="Arial" w:hAnsi="Arial" w:cs="Arial"/>
                <w:sz w:val="16"/>
                <w:szCs w:val="16"/>
              </w:rPr>
            </w:pPr>
            <w:r>
              <w:rPr>
                <w:rFonts w:ascii="Arial" w:hAnsi="Arial" w:cs="Arial"/>
                <w:sz w:val="16"/>
                <w:szCs w:val="16"/>
              </w:rPr>
              <w:t>Application</w:t>
            </w:r>
          </w:p>
        </w:tc>
        <w:tc>
          <w:tcPr>
            <w:tcW w:w="1418" w:type="dxa"/>
          </w:tcPr>
          <w:p w:rsidR="00B97DEA" w:rsidRDefault="00E046A0" w:rsidP="005E3920">
            <w:pPr>
              <w:spacing w:before="60" w:after="60"/>
              <w:rPr>
                <w:rFonts w:ascii="Arial" w:hAnsi="Arial" w:cs="Arial"/>
                <w:sz w:val="16"/>
                <w:szCs w:val="16"/>
              </w:rPr>
            </w:pPr>
            <w:r>
              <w:rPr>
                <w:rFonts w:ascii="Arial" w:hAnsi="Arial" w:cs="Arial"/>
                <w:sz w:val="16"/>
                <w:szCs w:val="16"/>
              </w:rPr>
              <w:t>MD1 cl 1.3</w:t>
            </w:r>
          </w:p>
          <w:p w:rsidR="00B97DEA" w:rsidRDefault="00E046A0" w:rsidP="005E3920">
            <w:pPr>
              <w:spacing w:before="60" w:after="60"/>
              <w:rPr>
                <w:rFonts w:ascii="Arial" w:hAnsi="Arial" w:cs="Arial"/>
                <w:sz w:val="16"/>
                <w:szCs w:val="16"/>
              </w:rPr>
            </w:pPr>
            <w:r>
              <w:rPr>
                <w:rFonts w:ascii="Arial" w:hAnsi="Arial" w:cs="Arial"/>
                <w:sz w:val="16"/>
                <w:szCs w:val="16"/>
              </w:rPr>
              <w:t>GMD1 cl 1.3</w:t>
            </w:r>
          </w:p>
          <w:p w:rsidR="00B97DEA" w:rsidRDefault="00E046A0" w:rsidP="005E3920">
            <w:pPr>
              <w:spacing w:before="60" w:after="60"/>
              <w:rPr>
                <w:rFonts w:ascii="Arial" w:hAnsi="Arial" w:cs="Arial"/>
                <w:sz w:val="16"/>
                <w:szCs w:val="16"/>
              </w:rPr>
            </w:pPr>
            <w:r>
              <w:rPr>
                <w:rFonts w:ascii="Arial" w:hAnsi="Arial" w:cs="Arial"/>
                <w:sz w:val="16"/>
                <w:szCs w:val="16"/>
              </w:rPr>
              <w:t>MD2 cl 1.3</w:t>
            </w:r>
          </w:p>
          <w:p w:rsidR="00B97DEA" w:rsidRPr="00B97DEA" w:rsidRDefault="00E046A0" w:rsidP="005E3920">
            <w:pPr>
              <w:spacing w:before="60" w:after="60"/>
              <w:rPr>
                <w:rFonts w:ascii="Arial" w:hAnsi="Arial" w:cs="Arial"/>
                <w:sz w:val="16"/>
                <w:szCs w:val="16"/>
              </w:rPr>
            </w:pPr>
            <w:r>
              <w:rPr>
                <w:rFonts w:ascii="Arial" w:hAnsi="Arial" w:cs="Arial"/>
                <w:sz w:val="16"/>
                <w:szCs w:val="16"/>
              </w:rPr>
              <w:t>GMD2 cl 1.3</w:t>
            </w:r>
          </w:p>
        </w:tc>
        <w:tc>
          <w:tcPr>
            <w:tcW w:w="1417" w:type="dxa"/>
          </w:tcPr>
          <w:p w:rsidR="00B97DEA" w:rsidRPr="00B97DEA" w:rsidRDefault="00E046A0" w:rsidP="00B97DEA">
            <w:pPr>
              <w:spacing w:before="60" w:after="60"/>
              <w:rPr>
                <w:rFonts w:ascii="Arial" w:hAnsi="Arial" w:cs="Arial"/>
                <w:sz w:val="16"/>
                <w:szCs w:val="16"/>
              </w:rPr>
            </w:pPr>
            <w:r>
              <w:rPr>
                <w:rFonts w:ascii="Arial" w:hAnsi="Arial" w:cs="Arial"/>
                <w:sz w:val="16"/>
                <w:szCs w:val="16"/>
              </w:rPr>
              <w:t>Dir 1.3</w:t>
            </w:r>
          </w:p>
        </w:tc>
        <w:tc>
          <w:tcPr>
            <w:tcW w:w="9530" w:type="dxa"/>
          </w:tcPr>
          <w:p w:rsidR="00E046A0" w:rsidRPr="00CB1828" w:rsidRDefault="00F0434F" w:rsidP="00E046A0">
            <w:pPr>
              <w:spacing w:before="60" w:after="60"/>
              <w:rPr>
                <w:rFonts w:ascii="Arial" w:hAnsi="Arial" w:cs="Arial"/>
                <w:sz w:val="16"/>
                <w:szCs w:val="16"/>
              </w:rPr>
            </w:pPr>
            <w:r w:rsidRPr="00CB1828">
              <w:rPr>
                <w:rFonts w:ascii="Arial" w:hAnsi="Arial" w:cs="Arial"/>
                <w:sz w:val="16"/>
                <w:szCs w:val="16"/>
              </w:rPr>
              <w:t>Clarifies that t</w:t>
            </w:r>
            <w:r w:rsidR="00E046A0" w:rsidRPr="00CB1828">
              <w:rPr>
                <w:rFonts w:ascii="Arial" w:hAnsi="Arial" w:cs="Arial"/>
                <w:sz w:val="16"/>
                <w:szCs w:val="16"/>
              </w:rPr>
              <w:t xml:space="preserve">he </w:t>
            </w:r>
            <w:r w:rsidR="00EC582A">
              <w:rPr>
                <w:rFonts w:ascii="Arial" w:hAnsi="Arial" w:cs="Arial"/>
                <w:sz w:val="16"/>
                <w:szCs w:val="16"/>
              </w:rPr>
              <w:t xml:space="preserve">2018 </w:t>
            </w:r>
            <w:r w:rsidR="00E046A0" w:rsidRPr="00CB1828">
              <w:rPr>
                <w:rFonts w:ascii="Arial" w:hAnsi="Arial" w:cs="Arial"/>
                <w:sz w:val="16"/>
                <w:szCs w:val="16"/>
              </w:rPr>
              <w:t>Directions apply to:</w:t>
            </w:r>
          </w:p>
          <w:p w:rsidR="00E046A0" w:rsidRPr="00CB1828" w:rsidRDefault="00E046A0" w:rsidP="00E046A0">
            <w:pPr>
              <w:pStyle w:val="ListParagraph"/>
              <w:numPr>
                <w:ilvl w:val="0"/>
                <w:numId w:val="3"/>
              </w:numPr>
              <w:spacing w:before="60" w:after="60"/>
              <w:rPr>
                <w:rFonts w:ascii="Arial" w:hAnsi="Arial" w:cs="Arial"/>
                <w:sz w:val="16"/>
                <w:szCs w:val="16"/>
              </w:rPr>
            </w:pPr>
            <w:r w:rsidRPr="00CB1828">
              <w:rPr>
                <w:rFonts w:ascii="Arial" w:hAnsi="Arial" w:cs="Arial"/>
                <w:sz w:val="16"/>
                <w:szCs w:val="16"/>
              </w:rPr>
              <w:t>Public Construction Procurement undertaken by or on behalf an Agency;</w:t>
            </w:r>
            <w:r w:rsidR="001037B2" w:rsidRPr="00CB1828">
              <w:rPr>
                <w:rFonts w:ascii="Arial" w:hAnsi="Arial" w:cs="Arial"/>
                <w:sz w:val="16"/>
                <w:szCs w:val="16"/>
              </w:rPr>
              <w:t xml:space="preserve"> and</w:t>
            </w:r>
          </w:p>
          <w:p w:rsidR="00E046A0" w:rsidRPr="00CB1828" w:rsidRDefault="00344732" w:rsidP="00E046A0">
            <w:pPr>
              <w:pStyle w:val="ListParagraph"/>
              <w:numPr>
                <w:ilvl w:val="0"/>
                <w:numId w:val="3"/>
              </w:numPr>
              <w:spacing w:before="60" w:after="60"/>
              <w:rPr>
                <w:rFonts w:ascii="Arial" w:hAnsi="Arial" w:cs="Arial"/>
                <w:sz w:val="16"/>
                <w:szCs w:val="16"/>
              </w:rPr>
            </w:pPr>
            <w:r w:rsidRPr="00CB1828">
              <w:rPr>
                <w:rFonts w:ascii="Arial" w:hAnsi="Arial" w:cs="Arial"/>
                <w:sz w:val="16"/>
                <w:szCs w:val="16"/>
              </w:rPr>
              <w:t>d</w:t>
            </w:r>
            <w:r w:rsidR="0065104F" w:rsidRPr="00CB1828">
              <w:rPr>
                <w:rFonts w:ascii="Arial" w:hAnsi="Arial" w:cs="Arial"/>
                <w:sz w:val="16"/>
                <w:szCs w:val="16"/>
              </w:rPr>
              <w:t>escribe</w:t>
            </w:r>
            <w:r w:rsidR="00E046A0" w:rsidRPr="00CB1828">
              <w:rPr>
                <w:rFonts w:ascii="Arial" w:hAnsi="Arial" w:cs="Arial"/>
                <w:sz w:val="16"/>
                <w:szCs w:val="16"/>
              </w:rPr>
              <w:t xml:space="preserve"> which </w:t>
            </w:r>
            <w:r w:rsidR="00667C8D" w:rsidRPr="00CB1828">
              <w:rPr>
                <w:rFonts w:ascii="Arial" w:hAnsi="Arial" w:cs="Arial"/>
                <w:sz w:val="16"/>
                <w:szCs w:val="16"/>
              </w:rPr>
              <w:t xml:space="preserve">Agencies </w:t>
            </w:r>
            <w:r w:rsidR="00E046A0" w:rsidRPr="00CB1828">
              <w:rPr>
                <w:rFonts w:ascii="Arial" w:hAnsi="Arial" w:cs="Arial"/>
                <w:sz w:val="16"/>
                <w:szCs w:val="16"/>
              </w:rPr>
              <w:t xml:space="preserve">are covered by the Directions – those </w:t>
            </w:r>
            <w:r w:rsidR="00667C8D" w:rsidRPr="00CB1828">
              <w:rPr>
                <w:rFonts w:ascii="Arial" w:hAnsi="Arial" w:cs="Arial"/>
                <w:sz w:val="16"/>
                <w:szCs w:val="16"/>
              </w:rPr>
              <w:t xml:space="preserve">Agencies </w:t>
            </w:r>
            <w:r w:rsidR="00E046A0" w:rsidRPr="00CB1828">
              <w:rPr>
                <w:rFonts w:ascii="Arial" w:hAnsi="Arial" w:cs="Arial"/>
                <w:sz w:val="16"/>
                <w:szCs w:val="16"/>
              </w:rPr>
              <w:t xml:space="preserve">that are subject to the Standing Directions of the Minister for Finance 2016 (refer to the fact sheet </w:t>
            </w:r>
            <w:hyperlink r:id="rId11" w:history="1">
              <w:r w:rsidR="00CB1828" w:rsidRPr="00CB1828">
                <w:rPr>
                  <w:rStyle w:val="Hyperlink"/>
                  <w:rFonts w:ascii="Arial" w:hAnsi="Arial" w:cs="Arial"/>
                  <w:sz w:val="16"/>
                  <w:szCs w:val="16"/>
                </w:rPr>
                <w:t>Is your Agency subject to the Standing Directions of the Minister for Finance?</w:t>
              </w:r>
            </w:hyperlink>
            <w:r w:rsidR="00E046A0" w:rsidRPr="00CB1828">
              <w:rPr>
                <w:rFonts w:ascii="Arial" w:hAnsi="Arial" w:cs="Arial"/>
                <w:sz w:val="16"/>
                <w:szCs w:val="16"/>
              </w:rPr>
              <w:t>)</w:t>
            </w:r>
            <w:r w:rsidR="001037B2" w:rsidRPr="00CB1828">
              <w:rPr>
                <w:rFonts w:ascii="Arial" w:hAnsi="Arial" w:cs="Arial"/>
                <w:sz w:val="16"/>
                <w:szCs w:val="16"/>
              </w:rPr>
              <w:t>.</w:t>
            </w:r>
          </w:p>
          <w:p w:rsidR="006719E4" w:rsidRPr="00CB1828" w:rsidRDefault="006719E4" w:rsidP="001037B2">
            <w:pPr>
              <w:spacing w:before="60" w:after="60"/>
              <w:rPr>
                <w:rFonts w:ascii="Arial" w:hAnsi="Arial" w:cs="Arial"/>
                <w:sz w:val="16"/>
                <w:szCs w:val="16"/>
              </w:rPr>
            </w:pPr>
            <w:r w:rsidRPr="00CB1828">
              <w:rPr>
                <w:rFonts w:ascii="Arial" w:hAnsi="Arial" w:cs="Arial"/>
                <w:sz w:val="16"/>
                <w:szCs w:val="16"/>
              </w:rPr>
              <w:t xml:space="preserve">The number of Agencies directly covered by the 2018 Directions is smaller than applied under the 2016 Directions, which covered all Agencies. </w:t>
            </w:r>
            <w:r w:rsidR="00715FE9" w:rsidRPr="00CB1828">
              <w:rPr>
                <w:rFonts w:ascii="Arial" w:hAnsi="Arial" w:cs="Arial"/>
                <w:sz w:val="16"/>
                <w:szCs w:val="16"/>
              </w:rPr>
              <w:t xml:space="preserve">Certain Agencies (school councils, class B cemetery trusts, incorporated committees of management, VicSES registered units and CFA volunteer brigades) are excluded from the </w:t>
            </w:r>
            <w:r w:rsidR="00667C8D" w:rsidRPr="00CB1828">
              <w:rPr>
                <w:rFonts w:ascii="Arial" w:hAnsi="Arial" w:cs="Arial"/>
                <w:sz w:val="16"/>
                <w:szCs w:val="16"/>
              </w:rPr>
              <w:t xml:space="preserve">2018 </w:t>
            </w:r>
            <w:r w:rsidR="00715FE9" w:rsidRPr="00CB1828">
              <w:rPr>
                <w:rFonts w:ascii="Arial" w:hAnsi="Arial" w:cs="Arial"/>
                <w:sz w:val="16"/>
                <w:szCs w:val="16"/>
              </w:rPr>
              <w:t xml:space="preserve">Directions, but are subject to </w:t>
            </w:r>
            <w:r w:rsidRPr="00CB1828">
              <w:rPr>
                <w:rFonts w:ascii="Arial" w:hAnsi="Arial" w:cs="Arial"/>
                <w:sz w:val="16"/>
                <w:szCs w:val="16"/>
              </w:rPr>
              <w:t xml:space="preserve">appropriate </w:t>
            </w:r>
            <w:r w:rsidR="00715FE9" w:rsidRPr="00CB1828">
              <w:rPr>
                <w:rFonts w:ascii="Arial" w:hAnsi="Arial" w:cs="Arial"/>
                <w:sz w:val="16"/>
                <w:szCs w:val="16"/>
              </w:rPr>
              <w:t xml:space="preserve">construction procurement </w:t>
            </w:r>
            <w:r w:rsidRPr="00CB1828">
              <w:rPr>
                <w:rFonts w:ascii="Arial" w:hAnsi="Arial" w:cs="Arial"/>
                <w:sz w:val="16"/>
                <w:szCs w:val="16"/>
              </w:rPr>
              <w:t xml:space="preserve">requirements </w:t>
            </w:r>
            <w:r w:rsidR="00715FE9" w:rsidRPr="00CB1828">
              <w:rPr>
                <w:rFonts w:ascii="Arial" w:hAnsi="Arial" w:cs="Arial"/>
                <w:sz w:val="16"/>
                <w:szCs w:val="16"/>
              </w:rPr>
              <w:t>established by their Portfolio Department</w:t>
            </w:r>
            <w:r w:rsidR="00B83718" w:rsidRPr="00CB1828">
              <w:rPr>
                <w:rFonts w:ascii="Arial" w:hAnsi="Arial" w:cs="Arial"/>
                <w:sz w:val="16"/>
                <w:szCs w:val="16"/>
              </w:rPr>
              <w:t>.</w:t>
            </w:r>
          </w:p>
          <w:p w:rsidR="00B83718" w:rsidRPr="00CB1828" w:rsidRDefault="00B83718" w:rsidP="001037B2">
            <w:pPr>
              <w:spacing w:before="60" w:after="60"/>
              <w:rPr>
                <w:rFonts w:ascii="Arial" w:hAnsi="Arial" w:cs="Arial"/>
                <w:sz w:val="16"/>
                <w:szCs w:val="16"/>
              </w:rPr>
            </w:pPr>
            <w:r w:rsidRPr="00CB1828">
              <w:rPr>
                <w:rFonts w:ascii="Arial" w:hAnsi="Arial" w:cs="Arial"/>
                <w:sz w:val="16"/>
                <w:szCs w:val="16"/>
              </w:rPr>
              <w:t>Portfolio Departments must provide advice and support to Portfolio Agencies in relation to complying with the 2018 Directions.</w:t>
            </w:r>
          </w:p>
          <w:p w:rsidR="00B83718" w:rsidRPr="00CB1828" w:rsidRDefault="00B83718" w:rsidP="001037B2">
            <w:pPr>
              <w:spacing w:before="60" w:after="60"/>
              <w:rPr>
                <w:rFonts w:ascii="Arial" w:hAnsi="Arial" w:cs="Arial"/>
                <w:sz w:val="16"/>
                <w:szCs w:val="16"/>
              </w:rPr>
            </w:pPr>
            <w:r w:rsidRPr="00CB1828">
              <w:rPr>
                <w:rFonts w:ascii="Arial" w:hAnsi="Arial" w:cs="Arial"/>
                <w:sz w:val="16"/>
                <w:szCs w:val="16"/>
              </w:rPr>
              <w:t xml:space="preserve">Portfolio Departments must support the Responsible Minister in the oversight of Portfolio Agencies. This is a substantive requirement under the </w:t>
            </w:r>
            <w:r w:rsidRPr="00CB1828">
              <w:rPr>
                <w:rFonts w:ascii="Arial" w:hAnsi="Arial" w:cs="Arial"/>
                <w:b/>
                <w:sz w:val="16"/>
                <w:szCs w:val="16"/>
              </w:rPr>
              <w:t>Public Administration Act 2004 (Vic)</w:t>
            </w:r>
            <w:r w:rsidRPr="00CB1828">
              <w:rPr>
                <w:rFonts w:ascii="Arial" w:hAnsi="Arial" w:cs="Arial"/>
                <w:sz w:val="16"/>
                <w:szCs w:val="16"/>
              </w:rPr>
              <w:t xml:space="preserve"> repeated in </w:t>
            </w:r>
            <w:r w:rsidR="00667C8D" w:rsidRPr="00CB1828">
              <w:rPr>
                <w:rFonts w:ascii="Arial" w:hAnsi="Arial" w:cs="Arial"/>
                <w:sz w:val="16"/>
                <w:szCs w:val="16"/>
              </w:rPr>
              <w:t xml:space="preserve">2018 </w:t>
            </w:r>
            <w:r w:rsidRPr="00CB1828">
              <w:rPr>
                <w:rFonts w:ascii="Arial" w:hAnsi="Arial" w:cs="Arial"/>
                <w:sz w:val="16"/>
                <w:szCs w:val="16"/>
              </w:rPr>
              <w:t>Direction 1.3.2 for clarity.</w:t>
            </w:r>
          </w:p>
          <w:p w:rsidR="00B97DEA" w:rsidRPr="00CB1828" w:rsidRDefault="00CA2CBC" w:rsidP="001037B2">
            <w:pPr>
              <w:spacing w:before="60" w:after="60"/>
              <w:rPr>
                <w:rFonts w:ascii="Arial" w:hAnsi="Arial" w:cs="Arial"/>
                <w:sz w:val="16"/>
                <w:szCs w:val="16"/>
              </w:rPr>
            </w:pPr>
            <w:r>
              <w:rPr>
                <w:rFonts w:ascii="Arial" w:hAnsi="Arial" w:cs="Arial"/>
                <w:sz w:val="16"/>
                <w:szCs w:val="16"/>
              </w:rPr>
              <w:t>Clarifies t</w:t>
            </w:r>
            <w:r w:rsidR="001037B2" w:rsidRPr="00CB1828">
              <w:rPr>
                <w:rFonts w:ascii="Arial" w:hAnsi="Arial" w:cs="Arial"/>
                <w:sz w:val="16"/>
                <w:szCs w:val="16"/>
              </w:rPr>
              <w:t>he scope of application of Public Construction Procurement include</w:t>
            </w:r>
            <w:r>
              <w:rPr>
                <w:rFonts w:ascii="Arial" w:hAnsi="Arial" w:cs="Arial"/>
                <w:sz w:val="16"/>
                <w:szCs w:val="16"/>
              </w:rPr>
              <w:t>s</w:t>
            </w:r>
            <w:r w:rsidR="001037B2" w:rsidRPr="00CB1828">
              <w:rPr>
                <w:rFonts w:ascii="Arial" w:hAnsi="Arial" w:cs="Arial"/>
                <w:sz w:val="16"/>
                <w:szCs w:val="16"/>
              </w:rPr>
              <w:t>:</w:t>
            </w:r>
          </w:p>
          <w:p w:rsidR="001037B2" w:rsidRPr="00CB1828" w:rsidRDefault="001037B2" w:rsidP="001037B2">
            <w:pPr>
              <w:pStyle w:val="ListParagraph"/>
              <w:numPr>
                <w:ilvl w:val="0"/>
                <w:numId w:val="4"/>
              </w:numPr>
              <w:spacing w:before="60" w:after="60"/>
              <w:rPr>
                <w:rFonts w:ascii="Arial" w:hAnsi="Arial" w:cs="Arial"/>
                <w:sz w:val="16"/>
                <w:szCs w:val="16"/>
              </w:rPr>
            </w:pPr>
            <w:r w:rsidRPr="00CB1828">
              <w:rPr>
                <w:rFonts w:ascii="Arial" w:hAnsi="Arial" w:cs="Arial"/>
                <w:sz w:val="16"/>
                <w:szCs w:val="16"/>
              </w:rPr>
              <w:t>tender processes to engage a supplier to perform Works or Construction Services;</w:t>
            </w:r>
          </w:p>
          <w:p w:rsidR="001037B2" w:rsidRPr="00CB1828" w:rsidRDefault="001037B2" w:rsidP="001037B2">
            <w:pPr>
              <w:pStyle w:val="ListParagraph"/>
              <w:numPr>
                <w:ilvl w:val="0"/>
                <w:numId w:val="4"/>
              </w:numPr>
              <w:spacing w:before="60" w:after="60"/>
              <w:rPr>
                <w:rFonts w:ascii="Arial" w:hAnsi="Arial" w:cs="Arial"/>
                <w:sz w:val="16"/>
                <w:szCs w:val="16"/>
              </w:rPr>
            </w:pPr>
            <w:r w:rsidRPr="00CB1828">
              <w:rPr>
                <w:rFonts w:ascii="Arial" w:hAnsi="Arial" w:cs="Arial"/>
                <w:sz w:val="16"/>
                <w:szCs w:val="16"/>
              </w:rPr>
              <w:t>the terms of engagement and contracts used to engage suppliers to perform Works or Construction Services; and</w:t>
            </w:r>
          </w:p>
          <w:p w:rsidR="001037B2" w:rsidRPr="00CB1828" w:rsidRDefault="001037B2" w:rsidP="001037B2">
            <w:pPr>
              <w:pStyle w:val="ListParagraph"/>
              <w:numPr>
                <w:ilvl w:val="0"/>
                <w:numId w:val="4"/>
              </w:numPr>
              <w:spacing w:before="60" w:after="60"/>
              <w:rPr>
                <w:rFonts w:ascii="Arial" w:hAnsi="Arial" w:cs="Arial"/>
                <w:sz w:val="16"/>
                <w:szCs w:val="16"/>
              </w:rPr>
            </w:pPr>
            <w:r w:rsidRPr="00CB1828">
              <w:rPr>
                <w:rFonts w:ascii="Arial" w:hAnsi="Arial" w:cs="Arial"/>
                <w:sz w:val="16"/>
                <w:szCs w:val="16"/>
              </w:rPr>
              <w:t>management of engagements for suppliers to perform Works or Construction Services and reporting on performance of suppliers engaged to deliver Works or Construction Services.</w:t>
            </w:r>
          </w:p>
        </w:tc>
      </w:tr>
      <w:tr w:rsidR="00751A85" w:rsidRPr="00B97DEA" w:rsidTr="00092BEC">
        <w:trPr>
          <w:cantSplit/>
        </w:trPr>
        <w:tc>
          <w:tcPr>
            <w:tcW w:w="1809" w:type="dxa"/>
          </w:tcPr>
          <w:p w:rsidR="00751A85" w:rsidRDefault="00751A85" w:rsidP="005E3920">
            <w:pPr>
              <w:spacing w:before="60" w:after="60"/>
              <w:rPr>
                <w:rFonts w:ascii="Arial" w:hAnsi="Arial" w:cs="Arial"/>
                <w:sz w:val="16"/>
                <w:szCs w:val="16"/>
              </w:rPr>
            </w:pPr>
            <w:r>
              <w:rPr>
                <w:rFonts w:ascii="Arial" w:hAnsi="Arial" w:cs="Arial"/>
                <w:sz w:val="16"/>
                <w:szCs w:val="16"/>
              </w:rPr>
              <w:lastRenderedPageBreak/>
              <w:t>Order of precedence</w:t>
            </w:r>
          </w:p>
        </w:tc>
        <w:tc>
          <w:tcPr>
            <w:tcW w:w="1418" w:type="dxa"/>
          </w:tcPr>
          <w:p w:rsidR="00751A85" w:rsidRDefault="00715FE9" w:rsidP="00751A85">
            <w:pPr>
              <w:spacing w:before="60" w:after="60"/>
              <w:rPr>
                <w:rFonts w:ascii="Arial" w:hAnsi="Arial" w:cs="Arial"/>
                <w:sz w:val="16"/>
                <w:szCs w:val="16"/>
              </w:rPr>
            </w:pPr>
            <w:r>
              <w:rPr>
                <w:rFonts w:ascii="Arial" w:hAnsi="Arial" w:cs="Arial"/>
                <w:sz w:val="16"/>
                <w:szCs w:val="16"/>
              </w:rPr>
              <w:t>MD1 cl 1.4</w:t>
            </w:r>
          </w:p>
          <w:p w:rsidR="00344732" w:rsidRDefault="00344732" w:rsidP="00751A85">
            <w:pPr>
              <w:spacing w:before="60" w:after="60"/>
              <w:rPr>
                <w:rFonts w:ascii="Arial" w:hAnsi="Arial" w:cs="Arial"/>
                <w:sz w:val="16"/>
                <w:szCs w:val="16"/>
              </w:rPr>
            </w:pPr>
            <w:r>
              <w:rPr>
                <w:rFonts w:ascii="Arial" w:hAnsi="Arial" w:cs="Arial"/>
                <w:sz w:val="16"/>
                <w:szCs w:val="16"/>
              </w:rPr>
              <w:t>MD1 cl 2.3</w:t>
            </w:r>
          </w:p>
          <w:p w:rsidR="00751A85" w:rsidRDefault="00715FE9" w:rsidP="00751A85">
            <w:pPr>
              <w:spacing w:before="60" w:after="60"/>
              <w:rPr>
                <w:rFonts w:ascii="Arial" w:hAnsi="Arial" w:cs="Arial"/>
                <w:sz w:val="16"/>
                <w:szCs w:val="16"/>
              </w:rPr>
            </w:pPr>
            <w:r>
              <w:rPr>
                <w:rFonts w:ascii="Arial" w:hAnsi="Arial" w:cs="Arial"/>
                <w:sz w:val="16"/>
                <w:szCs w:val="16"/>
              </w:rPr>
              <w:t>MD2 cl 1.4</w:t>
            </w:r>
          </w:p>
        </w:tc>
        <w:tc>
          <w:tcPr>
            <w:tcW w:w="1417" w:type="dxa"/>
          </w:tcPr>
          <w:p w:rsidR="00751A85" w:rsidRDefault="00715FE9" w:rsidP="00B97DEA">
            <w:pPr>
              <w:spacing w:before="60" w:after="60"/>
              <w:rPr>
                <w:rFonts w:ascii="Arial" w:hAnsi="Arial" w:cs="Arial"/>
                <w:sz w:val="16"/>
                <w:szCs w:val="16"/>
              </w:rPr>
            </w:pPr>
            <w:r>
              <w:rPr>
                <w:rFonts w:ascii="Arial" w:hAnsi="Arial" w:cs="Arial"/>
                <w:sz w:val="16"/>
                <w:szCs w:val="16"/>
              </w:rPr>
              <w:t>Dir 11.2</w:t>
            </w:r>
          </w:p>
        </w:tc>
        <w:tc>
          <w:tcPr>
            <w:tcW w:w="9530" w:type="dxa"/>
          </w:tcPr>
          <w:p w:rsidR="00751A85" w:rsidRDefault="00667C8D" w:rsidP="00667C8D">
            <w:pPr>
              <w:spacing w:before="60" w:after="60"/>
              <w:rPr>
                <w:rFonts w:ascii="Arial" w:hAnsi="Arial" w:cs="Arial"/>
                <w:sz w:val="16"/>
                <w:szCs w:val="16"/>
              </w:rPr>
            </w:pPr>
            <w:r>
              <w:rPr>
                <w:rFonts w:ascii="Arial" w:hAnsi="Arial" w:cs="Arial"/>
                <w:sz w:val="16"/>
                <w:szCs w:val="16"/>
              </w:rPr>
              <w:t>Retains the precedence that the 2018 Directions prevail over a Victorian Government Purchasing Board Supply Policy to the extent of any inconsistency.</w:t>
            </w:r>
          </w:p>
          <w:p w:rsidR="00667C8D" w:rsidRDefault="00667C8D" w:rsidP="00344732">
            <w:pPr>
              <w:spacing w:before="60" w:after="60"/>
              <w:rPr>
                <w:rFonts w:ascii="Arial" w:hAnsi="Arial" w:cs="Arial"/>
                <w:sz w:val="16"/>
                <w:szCs w:val="16"/>
              </w:rPr>
            </w:pPr>
            <w:r w:rsidRPr="00667C8D">
              <w:rPr>
                <w:rFonts w:ascii="Arial" w:hAnsi="Arial" w:cs="Arial"/>
                <w:sz w:val="16"/>
                <w:szCs w:val="16"/>
              </w:rPr>
              <w:t xml:space="preserve">Clarifies that </w:t>
            </w:r>
            <w:r w:rsidR="00344732">
              <w:rPr>
                <w:rFonts w:ascii="Arial" w:hAnsi="Arial" w:cs="Arial"/>
                <w:sz w:val="16"/>
                <w:szCs w:val="16"/>
              </w:rPr>
              <w:t xml:space="preserve">where any provision of the 2018 Directions is inconsistent with any International Agreement or </w:t>
            </w:r>
            <w:r w:rsidRPr="00667C8D">
              <w:rPr>
                <w:rFonts w:ascii="Arial" w:hAnsi="Arial" w:cs="Arial"/>
                <w:sz w:val="16"/>
                <w:szCs w:val="16"/>
              </w:rPr>
              <w:t>any other Act or statutory rule relating to</w:t>
            </w:r>
            <w:r>
              <w:rPr>
                <w:rFonts w:ascii="Arial" w:hAnsi="Arial" w:cs="Arial"/>
                <w:sz w:val="16"/>
                <w:szCs w:val="16"/>
              </w:rPr>
              <w:t xml:space="preserve"> public construction, including </w:t>
            </w:r>
            <w:r w:rsidRPr="00667C8D">
              <w:rPr>
                <w:rFonts w:ascii="Arial" w:hAnsi="Arial" w:cs="Arial"/>
                <w:sz w:val="16"/>
                <w:szCs w:val="16"/>
              </w:rPr>
              <w:t xml:space="preserve">the </w:t>
            </w:r>
            <w:r w:rsidRPr="00667C8D">
              <w:rPr>
                <w:rFonts w:ascii="Arial" w:hAnsi="Arial" w:cs="Arial"/>
                <w:b/>
                <w:sz w:val="16"/>
                <w:szCs w:val="16"/>
              </w:rPr>
              <w:t>Public Administration Act 2004 (Vic)</w:t>
            </w:r>
            <w:r w:rsidRPr="00667C8D">
              <w:rPr>
                <w:rFonts w:ascii="Arial" w:hAnsi="Arial" w:cs="Arial"/>
                <w:sz w:val="16"/>
                <w:szCs w:val="16"/>
              </w:rPr>
              <w:t xml:space="preserve">, the </w:t>
            </w:r>
            <w:r w:rsidRPr="00667C8D">
              <w:rPr>
                <w:rFonts w:ascii="Arial" w:hAnsi="Arial" w:cs="Arial"/>
                <w:b/>
                <w:sz w:val="16"/>
                <w:szCs w:val="16"/>
              </w:rPr>
              <w:t>Financial Management Act 1994 (Vic),</w:t>
            </w:r>
            <w:r w:rsidRPr="00667C8D">
              <w:rPr>
                <w:rFonts w:ascii="Arial" w:hAnsi="Arial" w:cs="Arial"/>
                <w:sz w:val="16"/>
                <w:szCs w:val="16"/>
              </w:rPr>
              <w:t xml:space="preserve"> or the </w:t>
            </w:r>
            <w:r w:rsidRPr="00667C8D">
              <w:rPr>
                <w:rFonts w:ascii="Arial" w:hAnsi="Arial" w:cs="Arial"/>
                <w:b/>
                <w:sz w:val="16"/>
                <w:szCs w:val="16"/>
              </w:rPr>
              <w:t>Financial Management Act Standing Directions 2016</w:t>
            </w:r>
            <w:r w:rsidRPr="00667C8D">
              <w:rPr>
                <w:rFonts w:ascii="Arial" w:hAnsi="Arial" w:cs="Arial"/>
                <w:sz w:val="16"/>
                <w:szCs w:val="16"/>
              </w:rPr>
              <w:t xml:space="preserve">, the requirements of </w:t>
            </w:r>
            <w:r w:rsidR="00344732">
              <w:rPr>
                <w:rFonts w:ascii="Arial" w:hAnsi="Arial" w:cs="Arial"/>
                <w:sz w:val="16"/>
                <w:szCs w:val="16"/>
              </w:rPr>
              <w:t xml:space="preserve">the 2018 </w:t>
            </w:r>
            <w:r w:rsidRPr="00667C8D">
              <w:rPr>
                <w:rFonts w:ascii="Arial" w:hAnsi="Arial" w:cs="Arial"/>
                <w:sz w:val="16"/>
                <w:szCs w:val="16"/>
              </w:rPr>
              <w:t>Directions must, where possible, be interpreted to resolve such inconsistency. If it is not possible to resolve the inconsistency, then such International Agreement, or other Act or statutory rule shall prevail</w:t>
            </w:r>
            <w:r w:rsidR="00344732">
              <w:rPr>
                <w:rFonts w:ascii="Arial" w:hAnsi="Arial" w:cs="Arial"/>
                <w:sz w:val="16"/>
                <w:szCs w:val="16"/>
              </w:rPr>
              <w:t>.</w:t>
            </w:r>
          </w:p>
          <w:p w:rsidR="00344732" w:rsidRDefault="00CA2CBC" w:rsidP="00344732">
            <w:pPr>
              <w:spacing w:before="60" w:after="60"/>
              <w:rPr>
                <w:rFonts w:ascii="Arial" w:hAnsi="Arial" w:cs="Arial"/>
                <w:sz w:val="16"/>
                <w:szCs w:val="16"/>
              </w:rPr>
            </w:pPr>
            <w:r>
              <w:rPr>
                <w:rFonts w:ascii="Arial" w:hAnsi="Arial" w:cs="Arial"/>
                <w:sz w:val="16"/>
                <w:szCs w:val="16"/>
              </w:rPr>
              <w:t xml:space="preserve">Retains the precedence </w:t>
            </w:r>
            <w:r w:rsidR="00344732" w:rsidRPr="00344732">
              <w:rPr>
                <w:rFonts w:ascii="Arial" w:hAnsi="Arial" w:cs="Arial"/>
                <w:sz w:val="16"/>
                <w:szCs w:val="16"/>
              </w:rPr>
              <w:t>that to the extent a requirement of the 2018 Directions is inconsistent with</w:t>
            </w:r>
            <w:r w:rsidR="00344732">
              <w:rPr>
                <w:rFonts w:ascii="Arial" w:hAnsi="Arial" w:cs="Arial"/>
                <w:sz w:val="16"/>
                <w:szCs w:val="16"/>
              </w:rPr>
              <w:t xml:space="preserve"> </w:t>
            </w:r>
            <w:r w:rsidR="00344732" w:rsidRPr="00344732">
              <w:rPr>
                <w:rFonts w:ascii="Arial" w:hAnsi="Arial" w:cs="Arial"/>
                <w:sz w:val="16"/>
                <w:szCs w:val="16"/>
              </w:rPr>
              <w:t xml:space="preserve">the </w:t>
            </w:r>
            <w:r w:rsidR="00344732" w:rsidRPr="00344732">
              <w:rPr>
                <w:rFonts w:ascii="Arial" w:hAnsi="Arial" w:cs="Arial"/>
                <w:b/>
                <w:sz w:val="16"/>
                <w:szCs w:val="16"/>
              </w:rPr>
              <w:t>Victorian Alliancing Policy</w:t>
            </w:r>
            <w:r w:rsidR="00344732" w:rsidRPr="00344732">
              <w:rPr>
                <w:rFonts w:ascii="Arial" w:hAnsi="Arial" w:cs="Arial"/>
                <w:sz w:val="16"/>
                <w:szCs w:val="16"/>
              </w:rPr>
              <w:t>, such policy shall prevail over these Directions to the extent of any inconsistency, provided that the Agency complies with the Victorian Alliancing Policy, including obtaining all necessary approvals</w:t>
            </w:r>
            <w:r w:rsidR="00344732">
              <w:rPr>
                <w:rFonts w:ascii="Arial" w:hAnsi="Arial" w:cs="Arial"/>
                <w:sz w:val="16"/>
                <w:szCs w:val="16"/>
              </w:rPr>
              <w:t>.</w:t>
            </w:r>
          </w:p>
          <w:p w:rsidR="00344732" w:rsidRPr="00667C8D" w:rsidRDefault="00344732" w:rsidP="00344732">
            <w:pPr>
              <w:spacing w:before="60" w:after="60"/>
              <w:rPr>
                <w:rFonts w:ascii="Arial" w:hAnsi="Arial" w:cs="Arial"/>
                <w:sz w:val="16"/>
                <w:szCs w:val="16"/>
              </w:rPr>
            </w:pPr>
            <w:r>
              <w:rPr>
                <w:rFonts w:ascii="Arial" w:hAnsi="Arial" w:cs="Arial"/>
                <w:sz w:val="16"/>
                <w:szCs w:val="16"/>
              </w:rPr>
              <w:t>Clarifies</w:t>
            </w:r>
            <w:r w:rsidRPr="00344732">
              <w:rPr>
                <w:rFonts w:ascii="Arial" w:hAnsi="Arial" w:cs="Arial"/>
                <w:sz w:val="16"/>
                <w:szCs w:val="16"/>
              </w:rPr>
              <w:t xml:space="preserve"> that to the extent a requirement of the 2018 Directions is inconsistent with</w:t>
            </w:r>
            <w:r>
              <w:rPr>
                <w:rFonts w:ascii="Arial" w:hAnsi="Arial" w:cs="Arial"/>
                <w:sz w:val="16"/>
                <w:szCs w:val="16"/>
              </w:rPr>
              <w:t xml:space="preserve"> </w:t>
            </w:r>
            <w:r w:rsidRPr="00344732">
              <w:rPr>
                <w:rFonts w:ascii="Arial" w:hAnsi="Arial" w:cs="Arial"/>
                <w:sz w:val="16"/>
                <w:szCs w:val="16"/>
              </w:rPr>
              <w:t xml:space="preserve">t the </w:t>
            </w:r>
            <w:r w:rsidRPr="00344732">
              <w:rPr>
                <w:rFonts w:ascii="Arial" w:hAnsi="Arial" w:cs="Arial"/>
                <w:b/>
                <w:sz w:val="16"/>
                <w:szCs w:val="16"/>
              </w:rPr>
              <w:t>Partnerships Victoria Requirements</w:t>
            </w:r>
            <w:r w:rsidRPr="00344732">
              <w:rPr>
                <w:rFonts w:ascii="Arial" w:hAnsi="Arial" w:cs="Arial"/>
                <w:sz w:val="16"/>
                <w:szCs w:val="16"/>
              </w:rPr>
              <w:t>, such</w:t>
            </w:r>
            <w:r>
              <w:rPr>
                <w:rFonts w:ascii="Arial" w:hAnsi="Arial" w:cs="Arial"/>
                <w:sz w:val="16"/>
                <w:szCs w:val="16"/>
              </w:rPr>
              <w:t xml:space="preserve"> policy shall prevail over the</w:t>
            </w:r>
            <w:r w:rsidRPr="00344732">
              <w:rPr>
                <w:rFonts w:ascii="Arial" w:hAnsi="Arial" w:cs="Arial"/>
                <w:sz w:val="16"/>
                <w:szCs w:val="16"/>
              </w:rPr>
              <w:t xml:space="preserve"> </w:t>
            </w:r>
            <w:r>
              <w:rPr>
                <w:rFonts w:ascii="Arial" w:hAnsi="Arial" w:cs="Arial"/>
                <w:sz w:val="16"/>
                <w:szCs w:val="16"/>
              </w:rPr>
              <w:t xml:space="preserve">2018 </w:t>
            </w:r>
            <w:r w:rsidRPr="00344732">
              <w:rPr>
                <w:rFonts w:ascii="Arial" w:hAnsi="Arial" w:cs="Arial"/>
                <w:sz w:val="16"/>
                <w:szCs w:val="16"/>
              </w:rPr>
              <w:t>Directions to the extent of any inconsistency, provided that the Agency complies with the Partnerships Victoria Requirements for public private partnerships, including obtaining all necessary approvals</w:t>
            </w:r>
            <w:r>
              <w:rPr>
                <w:rFonts w:ascii="Arial" w:hAnsi="Arial" w:cs="Arial"/>
                <w:sz w:val="16"/>
                <w:szCs w:val="16"/>
              </w:rPr>
              <w:t>.</w:t>
            </w:r>
          </w:p>
        </w:tc>
      </w:tr>
      <w:tr w:rsidR="00344732" w:rsidRPr="00B97DEA" w:rsidTr="00092BEC">
        <w:trPr>
          <w:cantSplit/>
        </w:trPr>
        <w:tc>
          <w:tcPr>
            <w:tcW w:w="1809" w:type="dxa"/>
          </w:tcPr>
          <w:p w:rsidR="00344732" w:rsidRDefault="00344732" w:rsidP="005E3920">
            <w:pPr>
              <w:spacing w:before="60" w:after="60"/>
              <w:rPr>
                <w:rFonts w:ascii="Arial" w:hAnsi="Arial" w:cs="Arial"/>
                <w:sz w:val="16"/>
                <w:szCs w:val="16"/>
              </w:rPr>
            </w:pPr>
            <w:r>
              <w:rPr>
                <w:rFonts w:ascii="Arial" w:hAnsi="Arial" w:cs="Arial"/>
                <w:sz w:val="16"/>
                <w:szCs w:val="16"/>
              </w:rPr>
              <w:t>Definitions</w:t>
            </w:r>
          </w:p>
        </w:tc>
        <w:tc>
          <w:tcPr>
            <w:tcW w:w="1418" w:type="dxa"/>
          </w:tcPr>
          <w:p w:rsidR="00344732" w:rsidRDefault="00344732" w:rsidP="00344732">
            <w:pPr>
              <w:spacing w:before="60" w:after="60"/>
              <w:rPr>
                <w:rFonts w:ascii="Arial" w:hAnsi="Arial" w:cs="Arial"/>
                <w:sz w:val="16"/>
                <w:szCs w:val="16"/>
              </w:rPr>
            </w:pPr>
            <w:r>
              <w:rPr>
                <w:rFonts w:ascii="Arial" w:hAnsi="Arial" w:cs="Arial"/>
                <w:sz w:val="16"/>
                <w:szCs w:val="16"/>
              </w:rPr>
              <w:t>MD1 cl 1.5</w:t>
            </w:r>
          </w:p>
          <w:p w:rsidR="00344732" w:rsidRDefault="00344732" w:rsidP="00344732">
            <w:pPr>
              <w:spacing w:before="60" w:after="60"/>
              <w:rPr>
                <w:rFonts w:ascii="Arial" w:hAnsi="Arial" w:cs="Arial"/>
                <w:sz w:val="16"/>
                <w:szCs w:val="16"/>
              </w:rPr>
            </w:pPr>
            <w:r>
              <w:rPr>
                <w:rFonts w:ascii="Arial" w:hAnsi="Arial" w:cs="Arial"/>
                <w:sz w:val="16"/>
                <w:szCs w:val="16"/>
              </w:rPr>
              <w:t>GMD1 cl 1.5</w:t>
            </w:r>
          </w:p>
          <w:p w:rsidR="00344732" w:rsidRDefault="00344732" w:rsidP="00344732">
            <w:pPr>
              <w:spacing w:before="60" w:after="60"/>
              <w:rPr>
                <w:rFonts w:ascii="Arial" w:hAnsi="Arial" w:cs="Arial"/>
                <w:sz w:val="16"/>
                <w:szCs w:val="16"/>
              </w:rPr>
            </w:pPr>
            <w:r>
              <w:rPr>
                <w:rFonts w:ascii="Arial" w:hAnsi="Arial" w:cs="Arial"/>
                <w:sz w:val="16"/>
                <w:szCs w:val="16"/>
              </w:rPr>
              <w:t>MD2 cl 1.5</w:t>
            </w:r>
          </w:p>
          <w:p w:rsidR="00344732" w:rsidRDefault="00344732" w:rsidP="00344732">
            <w:pPr>
              <w:spacing w:before="60" w:after="60"/>
              <w:rPr>
                <w:rFonts w:ascii="Arial" w:hAnsi="Arial" w:cs="Arial"/>
                <w:sz w:val="16"/>
                <w:szCs w:val="16"/>
              </w:rPr>
            </w:pPr>
            <w:r>
              <w:rPr>
                <w:rFonts w:ascii="Arial" w:hAnsi="Arial" w:cs="Arial"/>
                <w:sz w:val="16"/>
                <w:szCs w:val="16"/>
              </w:rPr>
              <w:t>GMD2 cl 1.5</w:t>
            </w:r>
          </w:p>
        </w:tc>
        <w:tc>
          <w:tcPr>
            <w:tcW w:w="1417" w:type="dxa"/>
          </w:tcPr>
          <w:p w:rsidR="00344732" w:rsidRDefault="00344732" w:rsidP="00B97DEA">
            <w:pPr>
              <w:spacing w:before="60" w:after="60"/>
              <w:rPr>
                <w:rFonts w:ascii="Arial" w:hAnsi="Arial" w:cs="Arial"/>
                <w:sz w:val="16"/>
                <w:szCs w:val="16"/>
              </w:rPr>
            </w:pPr>
            <w:r>
              <w:rPr>
                <w:rFonts w:ascii="Arial" w:hAnsi="Arial" w:cs="Arial"/>
                <w:sz w:val="16"/>
                <w:szCs w:val="16"/>
              </w:rPr>
              <w:t>Dir 12</w:t>
            </w:r>
          </w:p>
        </w:tc>
        <w:tc>
          <w:tcPr>
            <w:tcW w:w="9530" w:type="dxa"/>
          </w:tcPr>
          <w:p w:rsidR="00344732" w:rsidRDefault="00344732" w:rsidP="00344732">
            <w:pPr>
              <w:spacing w:before="60" w:after="60"/>
              <w:rPr>
                <w:rFonts w:ascii="Arial" w:hAnsi="Arial" w:cs="Arial"/>
                <w:sz w:val="16"/>
                <w:szCs w:val="16"/>
              </w:rPr>
            </w:pPr>
            <w:r>
              <w:rPr>
                <w:rFonts w:ascii="Arial" w:hAnsi="Arial" w:cs="Arial"/>
                <w:sz w:val="16"/>
                <w:szCs w:val="16"/>
              </w:rPr>
              <w:t>Contractor is replaced by the general description supplier of Works.</w:t>
            </w:r>
          </w:p>
          <w:p w:rsidR="00344732" w:rsidRDefault="00344732" w:rsidP="00344732">
            <w:pPr>
              <w:spacing w:before="60" w:after="60"/>
              <w:rPr>
                <w:rFonts w:ascii="Arial" w:hAnsi="Arial" w:cs="Arial"/>
                <w:sz w:val="16"/>
                <w:szCs w:val="16"/>
              </w:rPr>
            </w:pPr>
            <w:r>
              <w:rPr>
                <w:rFonts w:ascii="Arial" w:hAnsi="Arial" w:cs="Arial"/>
                <w:sz w:val="16"/>
                <w:szCs w:val="16"/>
              </w:rPr>
              <w:t>Consultant is replaced with the general description supplier of Construction Services.</w:t>
            </w:r>
          </w:p>
          <w:p w:rsidR="00344732" w:rsidRDefault="00344732" w:rsidP="00344732">
            <w:pPr>
              <w:spacing w:before="60" w:after="60"/>
              <w:rPr>
                <w:rFonts w:ascii="Arial" w:hAnsi="Arial" w:cs="Arial"/>
                <w:sz w:val="16"/>
                <w:szCs w:val="16"/>
              </w:rPr>
            </w:pPr>
            <w:r>
              <w:rPr>
                <w:rFonts w:ascii="Arial" w:hAnsi="Arial" w:cs="Arial"/>
                <w:sz w:val="16"/>
                <w:szCs w:val="16"/>
              </w:rPr>
              <w:t>The definition of Construction Services is narrower than the former definition of Consultant. Construction Services means services directly related to the delivery of the Works, including architectural and design services. It does not include services indirectly related to the delivery of the Works, including legal services</w:t>
            </w:r>
            <w:r w:rsidR="008265AE">
              <w:rPr>
                <w:rFonts w:ascii="Arial" w:hAnsi="Arial" w:cs="Arial"/>
                <w:sz w:val="16"/>
                <w:szCs w:val="16"/>
              </w:rPr>
              <w:t xml:space="preserve"> or</w:t>
            </w:r>
            <w:r>
              <w:rPr>
                <w:rFonts w:ascii="Arial" w:hAnsi="Arial" w:cs="Arial"/>
                <w:sz w:val="16"/>
                <w:szCs w:val="16"/>
              </w:rPr>
              <w:t xml:space="preserve"> commercial advisory services.</w:t>
            </w:r>
          </w:p>
          <w:p w:rsidR="008B764C" w:rsidRPr="008B764C" w:rsidRDefault="008B764C" w:rsidP="008B764C">
            <w:pPr>
              <w:spacing w:before="60" w:after="60"/>
              <w:rPr>
                <w:rFonts w:ascii="Arial" w:hAnsi="Arial" w:cs="Arial"/>
                <w:sz w:val="16"/>
                <w:szCs w:val="16"/>
              </w:rPr>
            </w:pPr>
            <w:r>
              <w:rPr>
                <w:rFonts w:ascii="Arial" w:hAnsi="Arial" w:cs="Arial"/>
                <w:sz w:val="16"/>
                <w:szCs w:val="16"/>
              </w:rPr>
              <w:t xml:space="preserve">Clarifies the definition of a Limited Tender means </w:t>
            </w:r>
            <w:r w:rsidRPr="008B764C">
              <w:rPr>
                <w:rFonts w:ascii="Arial" w:hAnsi="Arial" w:cs="Arial"/>
                <w:sz w:val="16"/>
                <w:szCs w:val="16"/>
              </w:rPr>
              <w:t xml:space="preserve">the engagement of a supplier to perform Works or Construction Services in accordance with Direction </w:t>
            </w:r>
            <w:r w:rsidR="0065104F">
              <w:rPr>
                <w:rFonts w:ascii="Arial" w:hAnsi="Arial" w:cs="Arial"/>
                <w:sz w:val="16"/>
                <w:szCs w:val="16"/>
              </w:rPr>
              <w:t xml:space="preserve">3.2(c) </w:t>
            </w:r>
            <w:r w:rsidRPr="008B764C">
              <w:rPr>
                <w:rFonts w:ascii="Arial" w:hAnsi="Arial" w:cs="Arial"/>
                <w:sz w:val="16"/>
                <w:szCs w:val="16"/>
              </w:rPr>
              <w:t>which may be conducted:</w:t>
            </w:r>
          </w:p>
          <w:p w:rsidR="008B764C" w:rsidRPr="008B764C" w:rsidRDefault="008B764C" w:rsidP="008B764C">
            <w:pPr>
              <w:pStyle w:val="ListParagraph"/>
              <w:numPr>
                <w:ilvl w:val="0"/>
                <w:numId w:val="4"/>
              </w:numPr>
              <w:spacing w:before="60" w:after="60"/>
              <w:rPr>
                <w:rFonts w:ascii="Arial" w:hAnsi="Arial" w:cs="Arial"/>
                <w:sz w:val="16"/>
                <w:szCs w:val="16"/>
              </w:rPr>
            </w:pPr>
            <w:r w:rsidRPr="008B764C">
              <w:rPr>
                <w:rFonts w:ascii="Arial" w:hAnsi="Arial" w:cs="Arial"/>
                <w:sz w:val="16"/>
                <w:szCs w:val="16"/>
              </w:rPr>
              <w:t>without competition –  that is by inviting a single tender participant (whether or not from a Register); or</w:t>
            </w:r>
          </w:p>
          <w:p w:rsidR="008B764C" w:rsidRDefault="008B764C" w:rsidP="008B764C">
            <w:pPr>
              <w:pStyle w:val="ListParagraph"/>
              <w:numPr>
                <w:ilvl w:val="0"/>
                <w:numId w:val="4"/>
              </w:numPr>
              <w:spacing w:before="60" w:after="60"/>
              <w:rPr>
                <w:rFonts w:ascii="Arial" w:hAnsi="Arial" w:cs="Arial"/>
                <w:sz w:val="16"/>
                <w:szCs w:val="16"/>
              </w:rPr>
            </w:pPr>
            <w:r w:rsidRPr="008B764C">
              <w:rPr>
                <w:rFonts w:ascii="Arial" w:hAnsi="Arial" w:cs="Arial"/>
                <w:sz w:val="16"/>
                <w:szCs w:val="16"/>
              </w:rPr>
              <w:t>with limited competition – that is by inviting two or more tender participants (whether or not from a Register)</w:t>
            </w:r>
            <w:r>
              <w:rPr>
                <w:rFonts w:ascii="Arial" w:hAnsi="Arial" w:cs="Arial"/>
                <w:sz w:val="16"/>
                <w:szCs w:val="16"/>
              </w:rPr>
              <w:t>.</w:t>
            </w:r>
          </w:p>
          <w:p w:rsidR="008B764C" w:rsidRDefault="008B764C" w:rsidP="008B764C">
            <w:pPr>
              <w:spacing w:before="60" w:after="60"/>
              <w:rPr>
                <w:rFonts w:ascii="Arial" w:hAnsi="Arial" w:cs="Arial"/>
                <w:sz w:val="16"/>
                <w:szCs w:val="16"/>
              </w:rPr>
            </w:pPr>
            <w:r>
              <w:rPr>
                <w:rFonts w:ascii="Arial" w:hAnsi="Arial" w:cs="Arial"/>
                <w:sz w:val="16"/>
                <w:szCs w:val="16"/>
              </w:rPr>
              <w:t>Clarifies the definition of Selective Tender means a competitive tender open only to suppliers on a Register.</w:t>
            </w:r>
          </w:p>
          <w:p w:rsidR="00CB1828" w:rsidRPr="008B764C" w:rsidRDefault="00CB1828" w:rsidP="008B764C">
            <w:pPr>
              <w:spacing w:before="60" w:after="60"/>
              <w:rPr>
                <w:rFonts w:ascii="Arial" w:hAnsi="Arial" w:cs="Arial"/>
                <w:sz w:val="16"/>
                <w:szCs w:val="16"/>
              </w:rPr>
            </w:pPr>
            <w:r>
              <w:rPr>
                <w:rFonts w:ascii="Arial" w:hAnsi="Arial" w:cs="Arial"/>
                <w:sz w:val="16"/>
                <w:szCs w:val="16"/>
              </w:rPr>
              <w:t>Clarifies that a reference to Works or Construction Services includes procurement or contracts for both Works and Construction Services.</w:t>
            </w:r>
          </w:p>
        </w:tc>
      </w:tr>
      <w:tr w:rsidR="00344732" w:rsidRPr="00B97DEA" w:rsidTr="00092BEC">
        <w:trPr>
          <w:cantSplit/>
        </w:trPr>
        <w:tc>
          <w:tcPr>
            <w:tcW w:w="1809" w:type="dxa"/>
          </w:tcPr>
          <w:p w:rsidR="00344732" w:rsidRDefault="001968D3" w:rsidP="005E3920">
            <w:pPr>
              <w:spacing w:before="60" w:after="60"/>
              <w:rPr>
                <w:rFonts w:ascii="Arial" w:hAnsi="Arial" w:cs="Arial"/>
                <w:sz w:val="16"/>
                <w:szCs w:val="16"/>
              </w:rPr>
            </w:pPr>
            <w:r>
              <w:rPr>
                <w:rFonts w:ascii="Arial" w:hAnsi="Arial" w:cs="Arial"/>
                <w:sz w:val="16"/>
                <w:szCs w:val="16"/>
              </w:rPr>
              <w:t>Exemptions</w:t>
            </w:r>
          </w:p>
        </w:tc>
        <w:tc>
          <w:tcPr>
            <w:tcW w:w="1418" w:type="dxa"/>
          </w:tcPr>
          <w:p w:rsidR="00344732" w:rsidRDefault="00344732" w:rsidP="00751A85">
            <w:pPr>
              <w:spacing w:before="60" w:after="60"/>
              <w:rPr>
                <w:rFonts w:ascii="Arial" w:hAnsi="Arial" w:cs="Arial"/>
                <w:sz w:val="16"/>
                <w:szCs w:val="16"/>
              </w:rPr>
            </w:pPr>
          </w:p>
        </w:tc>
        <w:tc>
          <w:tcPr>
            <w:tcW w:w="1417" w:type="dxa"/>
          </w:tcPr>
          <w:p w:rsidR="00344732" w:rsidRDefault="001968D3" w:rsidP="00B97DEA">
            <w:pPr>
              <w:spacing w:before="60" w:after="60"/>
              <w:rPr>
                <w:rFonts w:ascii="Arial" w:hAnsi="Arial" w:cs="Arial"/>
                <w:sz w:val="16"/>
                <w:szCs w:val="16"/>
              </w:rPr>
            </w:pPr>
            <w:r>
              <w:rPr>
                <w:rFonts w:ascii="Arial" w:hAnsi="Arial" w:cs="Arial"/>
                <w:sz w:val="16"/>
                <w:szCs w:val="16"/>
              </w:rPr>
              <w:t>Dir 1.4</w:t>
            </w:r>
          </w:p>
          <w:p w:rsidR="001968D3" w:rsidRDefault="001968D3" w:rsidP="00B97DEA">
            <w:pPr>
              <w:spacing w:before="60" w:after="60"/>
              <w:rPr>
                <w:rFonts w:ascii="Arial" w:hAnsi="Arial" w:cs="Arial"/>
                <w:sz w:val="16"/>
                <w:szCs w:val="16"/>
              </w:rPr>
            </w:pPr>
            <w:r>
              <w:rPr>
                <w:rFonts w:ascii="Arial" w:hAnsi="Arial" w:cs="Arial"/>
                <w:sz w:val="16"/>
                <w:szCs w:val="16"/>
              </w:rPr>
              <w:t>Inst 1.4</w:t>
            </w:r>
          </w:p>
        </w:tc>
        <w:tc>
          <w:tcPr>
            <w:tcW w:w="9530" w:type="dxa"/>
          </w:tcPr>
          <w:p w:rsidR="001968D3" w:rsidRPr="00CB1828" w:rsidRDefault="00B149C9" w:rsidP="00667C8D">
            <w:pPr>
              <w:spacing w:before="60" w:after="60"/>
              <w:rPr>
                <w:rFonts w:ascii="Arial" w:hAnsi="Arial" w:cs="Arial"/>
                <w:sz w:val="16"/>
                <w:szCs w:val="16"/>
              </w:rPr>
            </w:pPr>
            <w:r>
              <w:rPr>
                <w:rFonts w:ascii="Arial" w:hAnsi="Arial" w:cs="Arial"/>
                <w:sz w:val="16"/>
                <w:szCs w:val="16"/>
              </w:rPr>
              <w:t>N</w:t>
            </w:r>
            <w:r w:rsidR="001968D3" w:rsidRPr="00CB1828">
              <w:rPr>
                <w:rFonts w:ascii="Arial" w:hAnsi="Arial" w:cs="Arial"/>
                <w:sz w:val="16"/>
                <w:szCs w:val="16"/>
              </w:rPr>
              <w:t>ew provision that allows Agencies to apply for exemptions. An exemption may:</w:t>
            </w:r>
          </w:p>
          <w:p w:rsidR="001968D3" w:rsidRPr="00CB1828" w:rsidRDefault="001968D3" w:rsidP="001968D3">
            <w:pPr>
              <w:pStyle w:val="ListParagraph"/>
              <w:numPr>
                <w:ilvl w:val="0"/>
                <w:numId w:val="4"/>
              </w:numPr>
              <w:spacing w:before="60" w:after="60"/>
              <w:rPr>
                <w:rFonts w:ascii="Arial" w:hAnsi="Arial" w:cs="Arial"/>
                <w:sz w:val="16"/>
                <w:szCs w:val="16"/>
              </w:rPr>
            </w:pPr>
            <w:r w:rsidRPr="00CB1828">
              <w:rPr>
                <w:rFonts w:ascii="Arial" w:hAnsi="Arial" w:cs="Arial"/>
                <w:sz w:val="16"/>
                <w:szCs w:val="16"/>
              </w:rPr>
              <w:t>apply to an Agency or class of Agencies;</w:t>
            </w:r>
          </w:p>
          <w:p w:rsidR="00344732" w:rsidRPr="00CB1828" w:rsidRDefault="001968D3" w:rsidP="001968D3">
            <w:pPr>
              <w:pStyle w:val="ListParagraph"/>
              <w:numPr>
                <w:ilvl w:val="0"/>
                <w:numId w:val="4"/>
              </w:numPr>
              <w:spacing w:before="60" w:after="60"/>
              <w:rPr>
                <w:rFonts w:ascii="Arial" w:hAnsi="Arial" w:cs="Arial"/>
                <w:sz w:val="16"/>
                <w:szCs w:val="16"/>
              </w:rPr>
            </w:pPr>
            <w:r w:rsidRPr="00CB1828">
              <w:rPr>
                <w:rFonts w:ascii="Arial" w:hAnsi="Arial" w:cs="Arial"/>
                <w:sz w:val="16"/>
                <w:szCs w:val="16"/>
              </w:rPr>
              <w:t>apply to specific or all requirements in the Directions and Instructions;</w:t>
            </w:r>
          </w:p>
          <w:p w:rsidR="001968D3" w:rsidRPr="00CB1828" w:rsidRDefault="001968D3" w:rsidP="001968D3">
            <w:pPr>
              <w:pStyle w:val="ListParagraph"/>
              <w:numPr>
                <w:ilvl w:val="0"/>
                <w:numId w:val="4"/>
              </w:numPr>
              <w:spacing w:before="60" w:after="60"/>
              <w:rPr>
                <w:rFonts w:ascii="Arial" w:hAnsi="Arial" w:cs="Arial"/>
                <w:sz w:val="16"/>
                <w:szCs w:val="16"/>
              </w:rPr>
            </w:pPr>
            <w:r w:rsidRPr="00CB1828">
              <w:rPr>
                <w:rFonts w:ascii="Arial" w:hAnsi="Arial" w:cs="Arial"/>
                <w:sz w:val="16"/>
                <w:szCs w:val="16"/>
              </w:rPr>
              <w:t>be granted on an ongoing basis, or for a specific period of time;</w:t>
            </w:r>
          </w:p>
          <w:p w:rsidR="001968D3" w:rsidRPr="00CB1828" w:rsidRDefault="001968D3" w:rsidP="001968D3">
            <w:pPr>
              <w:pStyle w:val="ListParagraph"/>
              <w:numPr>
                <w:ilvl w:val="0"/>
                <w:numId w:val="4"/>
              </w:numPr>
              <w:spacing w:before="60" w:after="60"/>
              <w:rPr>
                <w:rFonts w:ascii="Arial" w:hAnsi="Arial" w:cs="Arial"/>
                <w:sz w:val="16"/>
                <w:szCs w:val="16"/>
              </w:rPr>
            </w:pPr>
            <w:r w:rsidRPr="00CB1828">
              <w:rPr>
                <w:rFonts w:ascii="Arial" w:hAnsi="Arial" w:cs="Arial"/>
                <w:sz w:val="16"/>
                <w:szCs w:val="16"/>
              </w:rPr>
              <w:t>be granted in respect of a project or class of projects; or</w:t>
            </w:r>
          </w:p>
          <w:p w:rsidR="001968D3" w:rsidRPr="00CB1828" w:rsidRDefault="001968D3" w:rsidP="001968D3">
            <w:pPr>
              <w:pStyle w:val="ListParagraph"/>
              <w:numPr>
                <w:ilvl w:val="0"/>
                <w:numId w:val="4"/>
              </w:numPr>
              <w:spacing w:before="60" w:after="60"/>
              <w:rPr>
                <w:rFonts w:ascii="Arial" w:hAnsi="Arial" w:cs="Arial"/>
                <w:sz w:val="16"/>
                <w:szCs w:val="16"/>
              </w:rPr>
            </w:pPr>
            <w:r w:rsidRPr="00CB1828">
              <w:rPr>
                <w:rFonts w:ascii="Arial" w:hAnsi="Arial" w:cs="Arial"/>
                <w:sz w:val="16"/>
                <w:szCs w:val="16"/>
              </w:rPr>
              <w:t>be made with or without conditions.</w:t>
            </w:r>
          </w:p>
          <w:p w:rsidR="00BE7F2F" w:rsidRPr="00CB1828" w:rsidRDefault="00BE7F2F" w:rsidP="00BE7F2F">
            <w:pPr>
              <w:spacing w:before="60" w:after="60"/>
              <w:rPr>
                <w:rFonts w:ascii="Arial" w:hAnsi="Arial" w:cs="Arial"/>
                <w:sz w:val="16"/>
                <w:szCs w:val="16"/>
              </w:rPr>
            </w:pPr>
            <w:r w:rsidRPr="00CB1828">
              <w:rPr>
                <w:rFonts w:ascii="Arial" w:hAnsi="Arial" w:cs="Arial"/>
                <w:sz w:val="16"/>
                <w:szCs w:val="16"/>
              </w:rPr>
              <w:t>Instruction 1.4 requires exemptions to be submitted in a specified format and address specified matters.</w:t>
            </w:r>
          </w:p>
          <w:p w:rsidR="00973264" w:rsidRPr="00CB1828" w:rsidRDefault="00973264" w:rsidP="00BE7F2F">
            <w:pPr>
              <w:spacing w:before="60" w:after="60"/>
              <w:rPr>
                <w:rFonts w:ascii="Arial" w:hAnsi="Arial" w:cs="Arial"/>
                <w:sz w:val="16"/>
                <w:szCs w:val="16"/>
              </w:rPr>
            </w:pPr>
            <w:r w:rsidRPr="00CB1828">
              <w:rPr>
                <w:rFonts w:ascii="Arial" w:hAnsi="Arial" w:cs="Arial"/>
                <w:sz w:val="16"/>
                <w:szCs w:val="16"/>
              </w:rPr>
              <w:t xml:space="preserve">An exemption to the Directions, or to the Directions and Instructions, is determined by the Minister </w:t>
            </w:r>
            <w:r w:rsidR="00CB1828" w:rsidRPr="00CB1828">
              <w:rPr>
                <w:rFonts w:ascii="Arial" w:hAnsi="Arial" w:cs="Arial"/>
                <w:sz w:val="16"/>
                <w:szCs w:val="16"/>
              </w:rPr>
              <w:t xml:space="preserve">responsible for Part 4 of the </w:t>
            </w:r>
            <w:r w:rsidR="00CB1828" w:rsidRPr="00CB1828">
              <w:rPr>
                <w:rFonts w:ascii="Arial" w:hAnsi="Arial" w:cs="Arial"/>
                <w:b/>
                <w:sz w:val="16"/>
                <w:szCs w:val="16"/>
              </w:rPr>
              <w:t>Project Development and Construction Management Act 1994 (Vic)</w:t>
            </w:r>
            <w:r w:rsidRPr="00CB1828">
              <w:rPr>
                <w:rFonts w:ascii="Arial" w:hAnsi="Arial" w:cs="Arial"/>
                <w:sz w:val="16"/>
                <w:szCs w:val="16"/>
              </w:rPr>
              <w:t>.</w:t>
            </w:r>
          </w:p>
          <w:p w:rsidR="00973264" w:rsidRPr="00CB1828" w:rsidRDefault="00973264" w:rsidP="00973264">
            <w:pPr>
              <w:spacing w:before="60" w:after="60"/>
              <w:rPr>
                <w:rFonts w:ascii="Arial" w:hAnsi="Arial" w:cs="Arial"/>
                <w:sz w:val="16"/>
                <w:szCs w:val="16"/>
              </w:rPr>
            </w:pPr>
            <w:r w:rsidRPr="00CB1828">
              <w:rPr>
                <w:rFonts w:ascii="Arial" w:hAnsi="Arial" w:cs="Arial"/>
                <w:sz w:val="16"/>
                <w:szCs w:val="16"/>
              </w:rPr>
              <w:t>An exemption to the Instructions alone may b</w:t>
            </w:r>
            <w:r w:rsidR="004B613C">
              <w:rPr>
                <w:rFonts w:ascii="Arial" w:hAnsi="Arial" w:cs="Arial"/>
                <w:sz w:val="16"/>
                <w:szCs w:val="16"/>
              </w:rPr>
              <w:t>e determined by the Secretary of</w:t>
            </w:r>
            <w:r w:rsidRPr="00CB1828">
              <w:rPr>
                <w:rFonts w:ascii="Arial" w:hAnsi="Arial" w:cs="Arial"/>
                <w:sz w:val="16"/>
                <w:szCs w:val="16"/>
              </w:rPr>
              <w:t xml:space="preserve"> the Department of Treasury and Finance.</w:t>
            </w:r>
          </w:p>
        </w:tc>
      </w:tr>
      <w:tr w:rsidR="0065104F" w:rsidRPr="00B97DEA" w:rsidTr="00092BEC">
        <w:trPr>
          <w:cantSplit/>
        </w:trPr>
        <w:tc>
          <w:tcPr>
            <w:tcW w:w="1809" w:type="dxa"/>
          </w:tcPr>
          <w:p w:rsidR="0065104F" w:rsidRDefault="00973264" w:rsidP="005E3920">
            <w:pPr>
              <w:spacing w:before="60" w:after="60"/>
              <w:rPr>
                <w:rFonts w:ascii="Arial" w:hAnsi="Arial" w:cs="Arial"/>
                <w:sz w:val="16"/>
                <w:szCs w:val="16"/>
              </w:rPr>
            </w:pPr>
            <w:r>
              <w:rPr>
                <w:rFonts w:ascii="Arial" w:hAnsi="Arial" w:cs="Arial"/>
                <w:sz w:val="16"/>
                <w:szCs w:val="16"/>
              </w:rPr>
              <w:lastRenderedPageBreak/>
              <w:t>International Agreements</w:t>
            </w:r>
          </w:p>
        </w:tc>
        <w:tc>
          <w:tcPr>
            <w:tcW w:w="1418" w:type="dxa"/>
          </w:tcPr>
          <w:p w:rsidR="0065104F" w:rsidRDefault="00973264" w:rsidP="005E3920">
            <w:pPr>
              <w:spacing w:before="60" w:after="60"/>
              <w:rPr>
                <w:rFonts w:ascii="Arial" w:hAnsi="Arial" w:cs="Arial"/>
                <w:sz w:val="16"/>
                <w:szCs w:val="16"/>
              </w:rPr>
            </w:pPr>
            <w:r>
              <w:rPr>
                <w:rFonts w:ascii="Arial" w:hAnsi="Arial" w:cs="Arial"/>
                <w:sz w:val="16"/>
                <w:szCs w:val="16"/>
              </w:rPr>
              <w:t>MD1 cl 2.3</w:t>
            </w:r>
          </w:p>
        </w:tc>
        <w:tc>
          <w:tcPr>
            <w:tcW w:w="1417" w:type="dxa"/>
          </w:tcPr>
          <w:p w:rsidR="0065104F" w:rsidRDefault="00973264" w:rsidP="005E3920">
            <w:pPr>
              <w:spacing w:before="60" w:after="60"/>
              <w:rPr>
                <w:rFonts w:ascii="Arial" w:hAnsi="Arial" w:cs="Arial"/>
                <w:sz w:val="16"/>
                <w:szCs w:val="16"/>
              </w:rPr>
            </w:pPr>
            <w:r>
              <w:rPr>
                <w:rFonts w:ascii="Arial" w:hAnsi="Arial" w:cs="Arial"/>
                <w:sz w:val="16"/>
                <w:szCs w:val="16"/>
              </w:rPr>
              <w:t>Dir 2</w:t>
            </w:r>
          </w:p>
          <w:p w:rsidR="00973264" w:rsidRDefault="00973264" w:rsidP="005E3920">
            <w:pPr>
              <w:spacing w:before="60" w:after="60"/>
              <w:rPr>
                <w:rFonts w:ascii="Arial" w:hAnsi="Arial" w:cs="Arial"/>
                <w:sz w:val="16"/>
                <w:szCs w:val="16"/>
              </w:rPr>
            </w:pPr>
            <w:r>
              <w:rPr>
                <w:rFonts w:ascii="Arial" w:hAnsi="Arial" w:cs="Arial"/>
                <w:sz w:val="16"/>
                <w:szCs w:val="16"/>
              </w:rPr>
              <w:t>Inst 2.1</w:t>
            </w:r>
          </w:p>
          <w:p w:rsidR="00973264" w:rsidRDefault="00973264" w:rsidP="005E3920">
            <w:pPr>
              <w:spacing w:before="60" w:after="60"/>
              <w:rPr>
                <w:rFonts w:ascii="Arial" w:hAnsi="Arial" w:cs="Arial"/>
                <w:sz w:val="16"/>
                <w:szCs w:val="16"/>
              </w:rPr>
            </w:pPr>
            <w:r>
              <w:rPr>
                <w:rFonts w:ascii="Arial" w:hAnsi="Arial" w:cs="Arial"/>
                <w:sz w:val="16"/>
                <w:szCs w:val="16"/>
              </w:rPr>
              <w:t>Inst 2.2</w:t>
            </w:r>
          </w:p>
        </w:tc>
        <w:tc>
          <w:tcPr>
            <w:tcW w:w="9530" w:type="dxa"/>
          </w:tcPr>
          <w:p w:rsidR="0065104F" w:rsidRDefault="00973264" w:rsidP="005E3920">
            <w:pPr>
              <w:spacing w:before="60" w:after="60"/>
              <w:rPr>
                <w:rFonts w:ascii="Arial" w:hAnsi="Arial" w:cs="Arial"/>
                <w:sz w:val="16"/>
                <w:szCs w:val="16"/>
              </w:rPr>
            </w:pPr>
            <w:r>
              <w:rPr>
                <w:rFonts w:ascii="Arial" w:hAnsi="Arial" w:cs="Arial"/>
                <w:sz w:val="16"/>
                <w:szCs w:val="16"/>
              </w:rPr>
              <w:t>Retains the requirement for covered procurement</w:t>
            </w:r>
            <w:r w:rsidR="00F2465D">
              <w:rPr>
                <w:rFonts w:ascii="Arial" w:hAnsi="Arial" w:cs="Arial"/>
                <w:sz w:val="16"/>
                <w:szCs w:val="16"/>
              </w:rPr>
              <w:t>s</w:t>
            </w:r>
            <w:r>
              <w:rPr>
                <w:rFonts w:ascii="Arial" w:hAnsi="Arial" w:cs="Arial"/>
                <w:sz w:val="16"/>
                <w:szCs w:val="16"/>
              </w:rPr>
              <w:t xml:space="preserve"> to apply the requirements of International Agreements.</w:t>
            </w:r>
          </w:p>
          <w:p w:rsidR="00973264" w:rsidRDefault="00973264" w:rsidP="00973264">
            <w:pPr>
              <w:spacing w:before="60" w:after="60"/>
              <w:rPr>
                <w:rFonts w:ascii="Arial" w:hAnsi="Arial" w:cs="Arial"/>
                <w:sz w:val="16"/>
                <w:szCs w:val="16"/>
              </w:rPr>
            </w:pPr>
            <w:r>
              <w:rPr>
                <w:rFonts w:ascii="Arial" w:hAnsi="Arial" w:cs="Arial"/>
                <w:sz w:val="16"/>
                <w:szCs w:val="16"/>
              </w:rPr>
              <w:t xml:space="preserve">Clarifies which Agencies are subject to International Agreements </w:t>
            </w:r>
            <w:r w:rsidR="00F2465D">
              <w:rPr>
                <w:rFonts w:ascii="Arial" w:hAnsi="Arial" w:cs="Arial"/>
                <w:sz w:val="16"/>
                <w:szCs w:val="16"/>
              </w:rPr>
              <w:t xml:space="preserve"> and which procurements are covered (Instruction 2.1</w:t>
            </w:r>
            <w:r w:rsidR="009A4D80">
              <w:rPr>
                <w:rFonts w:ascii="Arial" w:hAnsi="Arial" w:cs="Arial"/>
                <w:sz w:val="16"/>
                <w:szCs w:val="16"/>
              </w:rPr>
              <w:t xml:space="preserve"> Attachment 1</w:t>
            </w:r>
            <w:r w:rsidR="00F2465D">
              <w:rPr>
                <w:rFonts w:ascii="Arial" w:hAnsi="Arial" w:cs="Arial"/>
                <w:sz w:val="16"/>
                <w:szCs w:val="16"/>
              </w:rPr>
              <w:t>)</w:t>
            </w:r>
            <w:r>
              <w:rPr>
                <w:rFonts w:ascii="Arial" w:hAnsi="Arial" w:cs="Arial"/>
                <w:sz w:val="16"/>
                <w:szCs w:val="16"/>
              </w:rPr>
              <w:t>.</w:t>
            </w:r>
          </w:p>
          <w:p w:rsidR="00973264" w:rsidRDefault="00973264" w:rsidP="00973264">
            <w:pPr>
              <w:spacing w:before="60" w:after="60"/>
              <w:rPr>
                <w:rFonts w:ascii="Arial" w:hAnsi="Arial" w:cs="Arial"/>
                <w:sz w:val="16"/>
                <w:szCs w:val="16"/>
              </w:rPr>
            </w:pPr>
            <w:r>
              <w:rPr>
                <w:rFonts w:ascii="Arial" w:hAnsi="Arial" w:cs="Arial"/>
                <w:sz w:val="16"/>
                <w:szCs w:val="16"/>
              </w:rPr>
              <w:t>Clarifies the relevant obligations under International Agreements (Instruction 2.1 Attachment 2).</w:t>
            </w:r>
          </w:p>
          <w:p w:rsidR="00973264" w:rsidRDefault="005722D3" w:rsidP="00571141">
            <w:pPr>
              <w:spacing w:before="60" w:after="60"/>
              <w:rPr>
                <w:rFonts w:ascii="Arial" w:hAnsi="Arial" w:cs="Arial"/>
                <w:sz w:val="16"/>
                <w:szCs w:val="16"/>
              </w:rPr>
            </w:pPr>
            <w:r>
              <w:rPr>
                <w:rFonts w:ascii="Arial" w:hAnsi="Arial" w:cs="Arial"/>
                <w:sz w:val="16"/>
                <w:szCs w:val="16"/>
              </w:rPr>
              <w:t xml:space="preserve">Makes explicit </w:t>
            </w:r>
            <w:r w:rsidR="00571141">
              <w:rPr>
                <w:rFonts w:ascii="Arial" w:hAnsi="Arial" w:cs="Arial"/>
                <w:sz w:val="16"/>
                <w:szCs w:val="16"/>
              </w:rPr>
              <w:t xml:space="preserve">that the longstanding </w:t>
            </w:r>
            <w:r>
              <w:rPr>
                <w:rFonts w:ascii="Arial" w:hAnsi="Arial" w:cs="Arial"/>
                <w:sz w:val="16"/>
                <w:szCs w:val="16"/>
              </w:rPr>
              <w:t xml:space="preserve">Australia New Zealand Government Procurement Agreement is an international agreement covering construction procurement. </w:t>
            </w:r>
            <w:r w:rsidR="00973264">
              <w:rPr>
                <w:rFonts w:ascii="Arial" w:hAnsi="Arial" w:cs="Arial"/>
                <w:sz w:val="16"/>
                <w:szCs w:val="16"/>
              </w:rPr>
              <w:t xml:space="preserve">Clarifies which Agencies are subject to </w:t>
            </w:r>
            <w:r w:rsidR="00571141">
              <w:rPr>
                <w:rFonts w:ascii="Arial" w:hAnsi="Arial" w:cs="Arial"/>
                <w:sz w:val="16"/>
                <w:szCs w:val="16"/>
              </w:rPr>
              <w:t xml:space="preserve">this </w:t>
            </w:r>
            <w:r w:rsidR="00973264">
              <w:rPr>
                <w:rFonts w:ascii="Arial" w:hAnsi="Arial" w:cs="Arial"/>
                <w:sz w:val="16"/>
                <w:szCs w:val="16"/>
              </w:rPr>
              <w:t xml:space="preserve">Agreement and the relevant obligations </w:t>
            </w:r>
            <w:r w:rsidR="00571141">
              <w:rPr>
                <w:rFonts w:ascii="Arial" w:hAnsi="Arial" w:cs="Arial"/>
                <w:sz w:val="16"/>
                <w:szCs w:val="16"/>
              </w:rPr>
              <w:t xml:space="preserve">of </w:t>
            </w:r>
            <w:r w:rsidR="00973264">
              <w:rPr>
                <w:rFonts w:ascii="Arial" w:hAnsi="Arial" w:cs="Arial"/>
                <w:sz w:val="16"/>
                <w:szCs w:val="16"/>
              </w:rPr>
              <w:t xml:space="preserve">this </w:t>
            </w:r>
            <w:r w:rsidR="00571141">
              <w:rPr>
                <w:rFonts w:ascii="Arial" w:hAnsi="Arial" w:cs="Arial"/>
                <w:sz w:val="16"/>
                <w:szCs w:val="16"/>
              </w:rPr>
              <w:t>Agreement (Instruction 2.2</w:t>
            </w:r>
            <w:r w:rsidR="00973264">
              <w:rPr>
                <w:rFonts w:ascii="Arial" w:hAnsi="Arial" w:cs="Arial"/>
                <w:sz w:val="16"/>
                <w:szCs w:val="16"/>
              </w:rPr>
              <w:t>).</w:t>
            </w:r>
          </w:p>
        </w:tc>
      </w:tr>
      <w:tr w:rsidR="0065104F" w:rsidRPr="00B97DEA" w:rsidTr="00092BEC">
        <w:trPr>
          <w:cantSplit/>
        </w:trPr>
        <w:tc>
          <w:tcPr>
            <w:tcW w:w="1809" w:type="dxa"/>
          </w:tcPr>
          <w:p w:rsidR="0065104F" w:rsidRDefault="00DD491B" w:rsidP="005E3920">
            <w:pPr>
              <w:spacing w:before="60" w:after="60"/>
              <w:rPr>
                <w:rFonts w:ascii="Arial" w:hAnsi="Arial" w:cs="Arial"/>
                <w:sz w:val="16"/>
                <w:szCs w:val="16"/>
              </w:rPr>
            </w:pPr>
            <w:r>
              <w:rPr>
                <w:rFonts w:ascii="Arial" w:hAnsi="Arial" w:cs="Arial"/>
                <w:sz w:val="16"/>
                <w:szCs w:val="16"/>
              </w:rPr>
              <w:t>Tender preparation and planning</w:t>
            </w:r>
          </w:p>
        </w:tc>
        <w:tc>
          <w:tcPr>
            <w:tcW w:w="1418" w:type="dxa"/>
          </w:tcPr>
          <w:p w:rsidR="0065104F" w:rsidRDefault="0065104F" w:rsidP="005E3920">
            <w:pPr>
              <w:spacing w:before="60" w:after="60"/>
              <w:rPr>
                <w:rFonts w:ascii="Arial" w:hAnsi="Arial" w:cs="Arial"/>
                <w:sz w:val="16"/>
                <w:szCs w:val="16"/>
              </w:rPr>
            </w:pPr>
          </w:p>
        </w:tc>
        <w:tc>
          <w:tcPr>
            <w:tcW w:w="1417" w:type="dxa"/>
          </w:tcPr>
          <w:p w:rsidR="0065104F" w:rsidRDefault="00DD491B" w:rsidP="005E3920">
            <w:pPr>
              <w:spacing w:before="60" w:after="60"/>
              <w:rPr>
                <w:rFonts w:ascii="Arial" w:hAnsi="Arial" w:cs="Arial"/>
                <w:sz w:val="16"/>
                <w:szCs w:val="16"/>
              </w:rPr>
            </w:pPr>
            <w:r>
              <w:rPr>
                <w:rFonts w:ascii="Arial" w:hAnsi="Arial" w:cs="Arial"/>
                <w:sz w:val="16"/>
                <w:szCs w:val="16"/>
              </w:rPr>
              <w:t>Dir 3.1</w:t>
            </w:r>
          </w:p>
          <w:p w:rsidR="00DD491B" w:rsidRDefault="00DD491B" w:rsidP="005E3920">
            <w:pPr>
              <w:spacing w:before="60" w:after="60"/>
              <w:rPr>
                <w:rFonts w:ascii="Arial" w:hAnsi="Arial" w:cs="Arial"/>
                <w:sz w:val="16"/>
                <w:szCs w:val="16"/>
              </w:rPr>
            </w:pPr>
            <w:r>
              <w:rPr>
                <w:rFonts w:ascii="Arial" w:hAnsi="Arial" w:cs="Arial"/>
                <w:sz w:val="16"/>
                <w:szCs w:val="16"/>
              </w:rPr>
              <w:t>Inst 3.1</w:t>
            </w:r>
          </w:p>
        </w:tc>
        <w:tc>
          <w:tcPr>
            <w:tcW w:w="9530" w:type="dxa"/>
          </w:tcPr>
          <w:p w:rsidR="00C40608" w:rsidRDefault="00DD491B" w:rsidP="005E3920">
            <w:pPr>
              <w:spacing w:before="60" w:after="60"/>
              <w:rPr>
                <w:rFonts w:ascii="Arial" w:hAnsi="Arial" w:cs="Arial"/>
                <w:sz w:val="16"/>
                <w:szCs w:val="16"/>
              </w:rPr>
            </w:pPr>
            <w:r>
              <w:rPr>
                <w:rFonts w:ascii="Arial" w:hAnsi="Arial" w:cs="Arial"/>
                <w:sz w:val="16"/>
                <w:szCs w:val="16"/>
              </w:rPr>
              <w:t>Makes explicit the best practice requirement for te</w:t>
            </w:r>
            <w:r w:rsidR="006B3779">
              <w:rPr>
                <w:rFonts w:ascii="Arial" w:hAnsi="Arial" w:cs="Arial"/>
                <w:sz w:val="16"/>
                <w:szCs w:val="16"/>
              </w:rPr>
              <w:t>nder planning and preparation</w:t>
            </w:r>
            <w:r w:rsidR="00C40608">
              <w:rPr>
                <w:rFonts w:ascii="Arial" w:hAnsi="Arial" w:cs="Arial"/>
                <w:sz w:val="16"/>
                <w:szCs w:val="16"/>
              </w:rPr>
              <w:t>.</w:t>
            </w:r>
          </w:p>
          <w:p w:rsidR="0065104F" w:rsidRDefault="00CA2CBC" w:rsidP="005E3920">
            <w:pPr>
              <w:spacing w:before="60" w:after="60"/>
              <w:rPr>
                <w:rFonts w:ascii="Arial" w:hAnsi="Arial" w:cs="Arial"/>
                <w:sz w:val="16"/>
                <w:szCs w:val="16"/>
              </w:rPr>
            </w:pPr>
            <w:r>
              <w:rPr>
                <w:rFonts w:ascii="Arial" w:hAnsi="Arial" w:cs="Arial"/>
                <w:sz w:val="16"/>
                <w:szCs w:val="16"/>
              </w:rPr>
              <w:t>Clarifies</w:t>
            </w:r>
            <w:r w:rsidR="00DD491B">
              <w:rPr>
                <w:rFonts w:ascii="Arial" w:hAnsi="Arial" w:cs="Arial"/>
                <w:sz w:val="16"/>
                <w:szCs w:val="16"/>
              </w:rPr>
              <w:t xml:space="preserve"> that the amount of tender preparation undertaken should be in line with the risk and </w:t>
            </w:r>
            <w:r>
              <w:rPr>
                <w:rFonts w:ascii="Arial" w:hAnsi="Arial" w:cs="Arial"/>
                <w:sz w:val="16"/>
                <w:szCs w:val="16"/>
              </w:rPr>
              <w:t xml:space="preserve">complexity of the procurement. </w:t>
            </w:r>
            <w:r w:rsidR="00DD491B">
              <w:rPr>
                <w:rFonts w:ascii="Arial" w:hAnsi="Arial" w:cs="Arial"/>
                <w:sz w:val="16"/>
                <w:szCs w:val="16"/>
              </w:rPr>
              <w:t>While there is no one-size fits all approach, the preparation should ensure the following matters are addressed at the appropriate time:</w:t>
            </w:r>
          </w:p>
          <w:p w:rsidR="00DD491B" w:rsidRDefault="00DD491B" w:rsidP="00DD491B">
            <w:pPr>
              <w:pStyle w:val="ListParagraph"/>
              <w:numPr>
                <w:ilvl w:val="0"/>
                <w:numId w:val="10"/>
              </w:numPr>
              <w:spacing w:before="60" w:after="60"/>
              <w:rPr>
                <w:rFonts w:ascii="Arial" w:hAnsi="Arial" w:cs="Arial"/>
                <w:sz w:val="16"/>
                <w:szCs w:val="16"/>
              </w:rPr>
            </w:pPr>
            <w:r>
              <w:rPr>
                <w:rFonts w:ascii="Arial" w:hAnsi="Arial" w:cs="Arial"/>
                <w:sz w:val="16"/>
                <w:szCs w:val="16"/>
              </w:rPr>
              <w:t>clear procurement objectives;</w:t>
            </w:r>
          </w:p>
          <w:p w:rsidR="00DD491B" w:rsidRDefault="00DD491B" w:rsidP="00DD491B">
            <w:pPr>
              <w:pStyle w:val="ListParagraph"/>
              <w:numPr>
                <w:ilvl w:val="0"/>
                <w:numId w:val="10"/>
              </w:numPr>
              <w:spacing w:before="60" w:after="60"/>
              <w:rPr>
                <w:rFonts w:ascii="Arial" w:hAnsi="Arial" w:cs="Arial"/>
                <w:sz w:val="16"/>
                <w:szCs w:val="16"/>
              </w:rPr>
            </w:pPr>
            <w:r>
              <w:rPr>
                <w:rFonts w:ascii="Arial" w:hAnsi="Arial" w:cs="Arial"/>
                <w:sz w:val="16"/>
                <w:szCs w:val="16"/>
              </w:rPr>
              <w:t>market analysis, market sounding and engagement strategy;</w:t>
            </w:r>
          </w:p>
          <w:p w:rsidR="00DD491B" w:rsidRDefault="00DD491B" w:rsidP="00DD491B">
            <w:pPr>
              <w:pStyle w:val="ListParagraph"/>
              <w:numPr>
                <w:ilvl w:val="0"/>
                <w:numId w:val="10"/>
              </w:numPr>
              <w:spacing w:before="60" w:after="60"/>
              <w:rPr>
                <w:rFonts w:ascii="Arial" w:hAnsi="Arial" w:cs="Arial"/>
                <w:sz w:val="16"/>
                <w:szCs w:val="16"/>
              </w:rPr>
            </w:pPr>
            <w:r>
              <w:rPr>
                <w:rFonts w:ascii="Arial" w:hAnsi="Arial" w:cs="Arial"/>
                <w:sz w:val="16"/>
                <w:szCs w:val="16"/>
              </w:rPr>
              <w:t>tender strategy;</w:t>
            </w:r>
          </w:p>
          <w:p w:rsidR="00DD491B" w:rsidRDefault="00DD491B" w:rsidP="00DD491B">
            <w:pPr>
              <w:pStyle w:val="ListParagraph"/>
              <w:numPr>
                <w:ilvl w:val="0"/>
                <w:numId w:val="10"/>
              </w:numPr>
              <w:spacing w:before="60" w:after="60"/>
              <w:rPr>
                <w:rFonts w:ascii="Arial" w:hAnsi="Arial" w:cs="Arial"/>
                <w:sz w:val="16"/>
                <w:szCs w:val="16"/>
              </w:rPr>
            </w:pPr>
            <w:r>
              <w:rPr>
                <w:rFonts w:ascii="Arial" w:hAnsi="Arial" w:cs="Arial"/>
                <w:sz w:val="16"/>
                <w:szCs w:val="16"/>
              </w:rPr>
              <w:t>key dates and time periods during the tender process;</w:t>
            </w:r>
          </w:p>
          <w:p w:rsidR="00DD491B" w:rsidRDefault="00DD491B" w:rsidP="00DD491B">
            <w:pPr>
              <w:pStyle w:val="ListParagraph"/>
              <w:numPr>
                <w:ilvl w:val="0"/>
                <w:numId w:val="10"/>
              </w:numPr>
              <w:spacing w:before="60" w:after="60"/>
              <w:rPr>
                <w:rFonts w:ascii="Arial" w:hAnsi="Arial" w:cs="Arial"/>
                <w:sz w:val="16"/>
                <w:szCs w:val="16"/>
              </w:rPr>
            </w:pPr>
            <w:r>
              <w:rPr>
                <w:rFonts w:ascii="Arial" w:hAnsi="Arial" w:cs="Arial"/>
                <w:sz w:val="16"/>
                <w:szCs w:val="16"/>
              </w:rPr>
              <w:t>management of probity;</w:t>
            </w:r>
          </w:p>
          <w:p w:rsidR="00DD491B" w:rsidRDefault="00DD491B" w:rsidP="00DD491B">
            <w:pPr>
              <w:pStyle w:val="ListParagraph"/>
              <w:numPr>
                <w:ilvl w:val="0"/>
                <w:numId w:val="10"/>
              </w:numPr>
              <w:spacing w:before="60" w:after="60"/>
              <w:rPr>
                <w:rFonts w:ascii="Arial" w:hAnsi="Arial" w:cs="Arial"/>
                <w:sz w:val="16"/>
                <w:szCs w:val="16"/>
              </w:rPr>
            </w:pPr>
            <w:r>
              <w:rPr>
                <w:rFonts w:ascii="Arial" w:hAnsi="Arial" w:cs="Arial"/>
                <w:sz w:val="16"/>
                <w:szCs w:val="16"/>
              </w:rPr>
              <w:t>contract management; and</w:t>
            </w:r>
          </w:p>
          <w:p w:rsidR="00C40608" w:rsidRPr="00C40608" w:rsidRDefault="00DD491B" w:rsidP="00C40608">
            <w:pPr>
              <w:pStyle w:val="ListParagraph"/>
              <w:numPr>
                <w:ilvl w:val="0"/>
                <w:numId w:val="10"/>
              </w:numPr>
              <w:spacing w:before="60" w:after="60"/>
              <w:rPr>
                <w:rFonts w:ascii="Arial" w:hAnsi="Arial" w:cs="Arial"/>
                <w:sz w:val="16"/>
                <w:szCs w:val="16"/>
              </w:rPr>
            </w:pPr>
            <w:r>
              <w:rPr>
                <w:rFonts w:ascii="Arial" w:hAnsi="Arial" w:cs="Arial"/>
                <w:sz w:val="16"/>
                <w:szCs w:val="16"/>
              </w:rPr>
              <w:t>governance and resourcing.</w:t>
            </w:r>
          </w:p>
        </w:tc>
      </w:tr>
      <w:tr w:rsidR="0065104F" w:rsidRPr="00B97DEA" w:rsidTr="00092BEC">
        <w:trPr>
          <w:cantSplit/>
        </w:trPr>
        <w:tc>
          <w:tcPr>
            <w:tcW w:w="1809" w:type="dxa"/>
          </w:tcPr>
          <w:p w:rsidR="0065104F" w:rsidRDefault="00C40608" w:rsidP="005E3920">
            <w:pPr>
              <w:spacing w:before="60" w:after="60"/>
              <w:rPr>
                <w:rFonts w:ascii="Arial" w:hAnsi="Arial" w:cs="Arial"/>
                <w:sz w:val="16"/>
                <w:szCs w:val="16"/>
              </w:rPr>
            </w:pPr>
            <w:r>
              <w:rPr>
                <w:rFonts w:ascii="Arial" w:hAnsi="Arial" w:cs="Arial"/>
                <w:sz w:val="16"/>
                <w:szCs w:val="16"/>
              </w:rPr>
              <w:t>Competition and contestability</w:t>
            </w:r>
          </w:p>
        </w:tc>
        <w:tc>
          <w:tcPr>
            <w:tcW w:w="1418" w:type="dxa"/>
          </w:tcPr>
          <w:p w:rsidR="0065104F" w:rsidRDefault="00C40608" w:rsidP="005E3920">
            <w:pPr>
              <w:spacing w:before="60" w:after="60"/>
              <w:rPr>
                <w:rFonts w:ascii="Arial" w:hAnsi="Arial" w:cs="Arial"/>
                <w:sz w:val="16"/>
                <w:szCs w:val="16"/>
              </w:rPr>
            </w:pPr>
            <w:r>
              <w:rPr>
                <w:rFonts w:ascii="Arial" w:hAnsi="Arial" w:cs="Arial"/>
                <w:sz w:val="16"/>
                <w:szCs w:val="16"/>
              </w:rPr>
              <w:t>MD1 cl 2</w:t>
            </w:r>
          </w:p>
          <w:p w:rsidR="00A60853" w:rsidRDefault="00A60853" w:rsidP="005E3920">
            <w:pPr>
              <w:spacing w:before="60" w:after="60"/>
              <w:rPr>
                <w:rFonts w:ascii="Arial" w:hAnsi="Arial" w:cs="Arial"/>
                <w:sz w:val="16"/>
                <w:szCs w:val="16"/>
              </w:rPr>
            </w:pPr>
            <w:r>
              <w:rPr>
                <w:rFonts w:ascii="Arial" w:hAnsi="Arial" w:cs="Arial"/>
                <w:sz w:val="16"/>
                <w:szCs w:val="16"/>
              </w:rPr>
              <w:t>GMD1 cl 2.6.3</w:t>
            </w:r>
          </w:p>
          <w:p w:rsidR="00237BA3" w:rsidRDefault="00237BA3" w:rsidP="005E3920">
            <w:pPr>
              <w:spacing w:before="60" w:after="60"/>
              <w:rPr>
                <w:rFonts w:ascii="Arial" w:hAnsi="Arial" w:cs="Arial"/>
                <w:sz w:val="16"/>
                <w:szCs w:val="16"/>
              </w:rPr>
            </w:pPr>
            <w:r>
              <w:rPr>
                <w:rFonts w:ascii="Arial" w:hAnsi="Arial" w:cs="Arial"/>
                <w:sz w:val="16"/>
                <w:szCs w:val="16"/>
              </w:rPr>
              <w:t>GMD1 cl 2.2.2</w:t>
            </w:r>
          </w:p>
        </w:tc>
        <w:tc>
          <w:tcPr>
            <w:tcW w:w="1417" w:type="dxa"/>
          </w:tcPr>
          <w:p w:rsidR="0065104F" w:rsidRDefault="00C40608" w:rsidP="005E3920">
            <w:pPr>
              <w:spacing w:before="60" w:after="60"/>
              <w:rPr>
                <w:rFonts w:ascii="Arial" w:hAnsi="Arial" w:cs="Arial"/>
                <w:sz w:val="16"/>
                <w:szCs w:val="16"/>
              </w:rPr>
            </w:pPr>
            <w:r>
              <w:rPr>
                <w:rFonts w:ascii="Arial" w:hAnsi="Arial" w:cs="Arial"/>
                <w:sz w:val="16"/>
                <w:szCs w:val="16"/>
              </w:rPr>
              <w:t>Dir 3.2</w:t>
            </w:r>
          </w:p>
          <w:p w:rsidR="00C40608" w:rsidRDefault="00C40608" w:rsidP="005E3920">
            <w:pPr>
              <w:spacing w:before="60" w:after="60"/>
              <w:rPr>
                <w:rFonts w:ascii="Arial" w:hAnsi="Arial" w:cs="Arial"/>
                <w:sz w:val="16"/>
                <w:szCs w:val="16"/>
              </w:rPr>
            </w:pPr>
            <w:r>
              <w:rPr>
                <w:rFonts w:ascii="Arial" w:hAnsi="Arial" w:cs="Arial"/>
                <w:sz w:val="16"/>
                <w:szCs w:val="16"/>
              </w:rPr>
              <w:t>Inst 3.2</w:t>
            </w:r>
          </w:p>
        </w:tc>
        <w:tc>
          <w:tcPr>
            <w:tcW w:w="9530" w:type="dxa"/>
          </w:tcPr>
          <w:p w:rsidR="0065104F" w:rsidRDefault="00C40608" w:rsidP="005E3920">
            <w:pPr>
              <w:spacing w:before="60" w:after="60"/>
              <w:rPr>
                <w:rFonts w:ascii="Arial" w:hAnsi="Arial" w:cs="Arial"/>
                <w:sz w:val="16"/>
                <w:szCs w:val="16"/>
              </w:rPr>
            </w:pPr>
            <w:r>
              <w:rPr>
                <w:rFonts w:ascii="Arial" w:hAnsi="Arial" w:cs="Arial"/>
                <w:sz w:val="16"/>
                <w:szCs w:val="16"/>
              </w:rPr>
              <w:t xml:space="preserve">Retains </w:t>
            </w:r>
            <w:r w:rsidR="000A1851">
              <w:rPr>
                <w:rFonts w:ascii="Arial" w:hAnsi="Arial" w:cs="Arial"/>
                <w:sz w:val="16"/>
                <w:szCs w:val="16"/>
              </w:rPr>
              <w:t xml:space="preserve">the use of </w:t>
            </w:r>
            <w:r>
              <w:rPr>
                <w:rFonts w:ascii="Arial" w:hAnsi="Arial" w:cs="Arial"/>
                <w:sz w:val="16"/>
                <w:szCs w:val="16"/>
              </w:rPr>
              <w:t>thresholds to promote competition and contestability.</w:t>
            </w:r>
          </w:p>
          <w:p w:rsidR="00C40608" w:rsidRDefault="00CA2CBC" w:rsidP="00C40608">
            <w:pPr>
              <w:spacing w:before="60" w:after="60"/>
              <w:rPr>
                <w:rFonts w:ascii="Arial" w:hAnsi="Arial" w:cs="Arial"/>
                <w:sz w:val="16"/>
                <w:szCs w:val="16"/>
              </w:rPr>
            </w:pPr>
            <w:r>
              <w:rPr>
                <w:rFonts w:ascii="Arial" w:hAnsi="Arial" w:cs="Arial"/>
                <w:sz w:val="16"/>
                <w:szCs w:val="16"/>
              </w:rPr>
              <w:t>Higher p</w:t>
            </w:r>
            <w:r w:rsidR="00CE22FC">
              <w:rPr>
                <w:rFonts w:ascii="Arial" w:hAnsi="Arial" w:cs="Arial"/>
                <w:sz w:val="16"/>
                <w:szCs w:val="16"/>
              </w:rPr>
              <w:t>rocurement t</w:t>
            </w:r>
            <w:r w:rsidR="00C40608">
              <w:rPr>
                <w:rFonts w:ascii="Arial" w:hAnsi="Arial" w:cs="Arial"/>
                <w:sz w:val="16"/>
                <w:szCs w:val="16"/>
              </w:rPr>
              <w:t xml:space="preserve">hresholds </w:t>
            </w:r>
            <w:r>
              <w:rPr>
                <w:rFonts w:ascii="Arial" w:hAnsi="Arial" w:cs="Arial"/>
                <w:sz w:val="16"/>
                <w:szCs w:val="16"/>
              </w:rPr>
              <w:t>for public construction have been established</w:t>
            </w:r>
            <w:r w:rsidR="00465780">
              <w:rPr>
                <w:rFonts w:ascii="Arial" w:hAnsi="Arial" w:cs="Arial"/>
                <w:sz w:val="16"/>
                <w:szCs w:val="16"/>
              </w:rPr>
              <w:t xml:space="preserve">, reflecting </w:t>
            </w:r>
            <w:r w:rsidR="006B3779">
              <w:rPr>
                <w:rFonts w:ascii="Arial" w:hAnsi="Arial" w:cs="Arial"/>
                <w:sz w:val="16"/>
                <w:szCs w:val="16"/>
              </w:rPr>
              <w:t>current</w:t>
            </w:r>
            <w:r w:rsidR="00465780">
              <w:rPr>
                <w:rFonts w:ascii="Arial" w:hAnsi="Arial" w:cs="Arial"/>
                <w:sz w:val="16"/>
                <w:szCs w:val="16"/>
              </w:rPr>
              <w:t xml:space="preserve"> market conditions.</w:t>
            </w:r>
          </w:p>
          <w:p w:rsidR="00C40608" w:rsidRDefault="00CE22FC" w:rsidP="00C40608">
            <w:pPr>
              <w:spacing w:before="60" w:after="60"/>
              <w:rPr>
                <w:rFonts w:ascii="Arial" w:hAnsi="Arial" w:cs="Arial"/>
                <w:sz w:val="16"/>
                <w:szCs w:val="16"/>
              </w:rPr>
            </w:pPr>
            <w:r>
              <w:rPr>
                <w:rFonts w:ascii="Arial" w:hAnsi="Arial" w:cs="Arial"/>
                <w:sz w:val="16"/>
                <w:szCs w:val="16"/>
              </w:rPr>
              <w:t xml:space="preserve">Thresholds for </w:t>
            </w:r>
            <w:r w:rsidR="00C40608">
              <w:rPr>
                <w:rFonts w:ascii="Arial" w:hAnsi="Arial" w:cs="Arial"/>
                <w:sz w:val="16"/>
                <w:szCs w:val="16"/>
              </w:rPr>
              <w:t>Works (all values inclusive of GST)</w:t>
            </w:r>
            <w:r w:rsidR="006B3779">
              <w:rPr>
                <w:rFonts w:ascii="Arial" w:hAnsi="Arial" w:cs="Arial"/>
                <w:sz w:val="16"/>
                <w:szCs w:val="16"/>
              </w:rPr>
              <w:t>:</w:t>
            </w:r>
          </w:p>
          <w:p w:rsidR="00C40608" w:rsidRDefault="00C40608" w:rsidP="00465780">
            <w:pPr>
              <w:pStyle w:val="ListParagraph"/>
              <w:numPr>
                <w:ilvl w:val="0"/>
                <w:numId w:val="12"/>
              </w:numPr>
              <w:tabs>
                <w:tab w:val="left" w:pos="5137"/>
              </w:tabs>
              <w:spacing w:before="60" w:after="60"/>
              <w:rPr>
                <w:rFonts w:ascii="Arial" w:hAnsi="Arial" w:cs="Arial"/>
                <w:sz w:val="16"/>
                <w:szCs w:val="16"/>
              </w:rPr>
            </w:pPr>
            <w:r>
              <w:rPr>
                <w:rFonts w:ascii="Arial" w:hAnsi="Arial" w:cs="Arial"/>
                <w:sz w:val="16"/>
                <w:szCs w:val="16"/>
              </w:rPr>
              <w:t>O</w:t>
            </w:r>
            <w:r w:rsidRPr="00C40608">
              <w:rPr>
                <w:rFonts w:ascii="Arial" w:hAnsi="Arial" w:cs="Arial"/>
                <w:sz w:val="16"/>
                <w:szCs w:val="16"/>
              </w:rPr>
              <w:t>ne written tender consistent with market prices</w:t>
            </w:r>
            <w:r>
              <w:rPr>
                <w:rFonts w:ascii="Arial" w:hAnsi="Arial" w:cs="Arial"/>
                <w:sz w:val="16"/>
                <w:szCs w:val="16"/>
              </w:rPr>
              <w:t xml:space="preserve"> </w:t>
            </w:r>
            <w:r>
              <w:rPr>
                <w:rFonts w:ascii="Arial" w:hAnsi="Arial" w:cs="Arial"/>
                <w:sz w:val="16"/>
                <w:szCs w:val="16"/>
              </w:rPr>
              <w:tab/>
            </w:r>
            <w:r w:rsidR="00465780">
              <w:rPr>
                <w:rFonts w:ascii="Arial" w:hAnsi="Arial" w:cs="Arial"/>
                <w:sz w:val="16"/>
                <w:szCs w:val="16"/>
              </w:rPr>
              <w:t xml:space="preserve">new </w:t>
            </w:r>
            <w:r>
              <w:rPr>
                <w:rFonts w:ascii="Arial" w:hAnsi="Arial" w:cs="Arial"/>
                <w:sz w:val="16"/>
                <w:szCs w:val="16"/>
              </w:rPr>
              <w:t>threshold $50,000, formerly $25,000.</w:t>
            </w:r>
          </w:p>
          <w:p w:rsidR="00C40608" w:rsidRDefault="00C40608" w:rsidP="00465780">
            <w:pPr>
              <w:pStyle w:val="ListParagraph"/>
              <w:numPr>
                <w:ilvl w:val="0"/>
                <w:numId w:val="12"/>
              </w:numPr>
              <w:tabs>
                <w:tab w:val="left" w:pos="5137"/>
              </w:tabs>
              <w:spacing w:before="60" w:after="60"/>
              <w:rPr>
                <w:rFonts w:ascii="Arial" w:hAnsi="Arial" w:cs="Arial"/>
                <w:sz w:val="16"/>
                <w:szCs w:val="16"/>
              </w:rPr>
            </w:pPr>
            <w:r>
              <w:rPr>
                <w:rFonts w:ascii="Arial" w:hAnsi="Arial" w:cs="Arial"/>
                <w:sz w:val="16"/>
                <w:szCs w:val="16"/>
              </w:rPr>
              <w:t>At least three written tenders sought</w:t>
            </w:r>
            <w:r>
              <w:rPr>
                <w:rFonts w:ascii="Arial" w:hAnsi="Arial" w:cs="Arial"/>
                <w:sz w:val="16"/>
                <w:szCs w:val="16"/>
              </w:rPr>
              <w:tab/>
            </w:r>
            <w:r w:rsidR="00465780">
              <w:rPr>
                <w:rFonts w:ascii="Arial" w:hAnsi="Arial" w:cs="Arial"/>
                <w:sz w:val="16"/>
                <w:szCs w:val="16"/>
              </w:rPr>
              <w:t xml:space="preserve">new </w:t>
            </w:r>
            <w:r>
              <w:rPr>
                <w:rFonts w:ascii="Arial" w:hAnsi="Arial" w:cs="Arial"/>
                <w:sz w:val="16"/>
                <w:szCs w:val="16"/>
              </w:rPr>
              <w:t>threshold $500,000, formerly $200,000.</w:t>
            </w:r>
          </w:p>
          <w:p w:rsidR="00C40608" w:rsidRDefault="00C40608" w:rsidP="00465780">
            <w:pPr>
              <w:pStyle w:val="ListParagraph"/>
              <w:numPr>
                <w:ilvl w:val="0"/>
                <w:numId w:val="12"/>
              </w:numPr>
              <w:tabs>
                <w:tab w:val="left" w:pos="5137"/>
              </w:tabs>
              <w:spacing w:before="60" w:after="60"/>
              <w:rPr>
                <w:rFonts w:ascii="Arial" w:hAnsi="Arial" w:cs="Arial"/>
                <w:sz w:val="16"/>
                <w:szCs w:val="16"/>
              </w:rPr>
            </w:pPr>
            <w:r>
              <w:rPr>
                <w:rFonts w:ascii="Arial" w:hAnsi="Arial" w:cs="Arial"/>
                <w:sz w:val="16"/>
                <w:szCs w:val="16"/>
              </w:rPr>
              <w:t>Selection from prequalified contractors or open tenders</w:t>
            </w:r>
            <w:r>
              <w:rPr>
                <w:rFonts w:ascii="Arial" w:hAnsi="Arial" w:cs="Arial"/>
                <w:sz w:val="16"/>
                <w:szCs w:val="16"/>
              </w:rPr>
              <w:tab/>
            </w:r>
            <w:r w:rsidR="00465780">
              <w:rPr>
                <w:rFonts w:ascii="Arial" w:hAnsi="Arial" w:cs="Arial"/>
                <w:sz w:val="16"/>
                <w:szCs w:val="16"/>
              </w:rPr>
              <w:t xml:space="preserve">new </w:t>
            </w:r>
            <w:r>
              <w:rPr>
                <w:rFonts w:ascii="Arial" w:hAnsi="Arial" w:cs="Arial"/>
                <w:sz w:val="16"/>
                <w:szCs w:val="16"/>
              </w:rPr>
              <w:t xml:space="preserve">threshold </w:t>
            </w:r>
            <w:r w:rsidR="00465780">
              <w:rPr>
                <w:rFonts w:ascii="Arial" w:hAnsi="Arial" w:cs="Arial"/>
                <w:sz w:val="16"/>
                <w:szCs w:val="16"/>
              </w:rPr>
              <w:t xml:space="preserve">above </w:t>
            </w:r>
            <w:r>
              <w:rPr>
                <w:rFonts w:ascii="Arial" w:hAnsi="Arial" w:cs="Arial"/>
                <w:sz w:val="16"/>
                <w:szCs w:val="16"/>
              </w:rPr>
              <w:t>$500,000, formerly $200,000.</w:t>
            </w:r>
          </w:p>
          <w:p w:rsidR="00C40608" w:rsidRDefault="00CE22FC" w:rsidP="00465780">
            <w:pPr>
              <w:tabs>
                <w:tab w:val="left" w:pos="5137"/>
              </w:tabs>
              <w:spacing w:before="60" w:after="60"/>
              <w:rPr>
                <w:rFonts w:ascii="Arial" w:hAnsi="Arial" w:cs="Arial"/>
                <w:sz w:val="16"/>
                <w:szCs w:val="16"/>
              </w:rPr>
            </w:pPr>
            <w:r>
              <w:rPr>
                <w:rFonts w:ascii="Arial" w:hAnsi="Arial" w:cs="Arial"/>
                <w:sz w:val="16"/>
                <w:szCs w:val="16"/>
              </w:rPr>
              <w:t xml:space="preserve">Thresholds for </w:t>
            </w:r>
            <w:r w:rsidR="00465780">
              <w:rPr>
                <w:rFonts w:ascii="Arial" w:hAnsi="Arial" w:cs="Arial"/>
                <w:sz w:val="16"/>
                <w:szCs w:val="16"/>
              </w:rPr>
              <w:t>Construction Services (all values inclusive of GST)</w:t>
            </w:r>
            <w:r w:rsidR="006B3779">
              <w:rPr>
                <w:rFonts w:ascii="Arial" w:hAnsi="Arial" w:cs="Arial"/>
                <w:sz w:val="16"/>
                <w:szCs w:val="16"/>
              </w:rPr>
              <w:t>:</w:t>
            </w:r>
          </w:p>
          <w:p w:rsidR="00465780" w:rsidRDefault="00465780" w:rsidP="00465780">
            <w:pPr>
              <w:pStyle w:val="ListParagraph"/>
              <w:numPr>
                <w:ilvl w:val="0"/>
                <w:numId w:val="12"/>
              </w:numPr>
              <w:tabs>
                <w:tab w:val="left" w:pos="5137"/>
              </w:tabs>
              <w:spacing w:before="60" w:after="60"/>
              <w:rPr>
                <w:rFonts w:ascii="Arial" w:hAnsi="Arial" w:cs="Arial"/>
                <w:sz w:val="16"/>
                <w:szCs w:val="16"/>
              </w:rPr>
            </w:pPr>
            <w:r>
              <w:rPr>
                <w:rFonts w:ascii="Arial" w:hAnsi="Arial" w:cs="Arial"/>
                <w:sz w:val="16"/>
                <w:szCs w:val="16"/>
              </w:rPr>
              <w:t>O</w:t>
            </w:r>
            <w:r w:rsidRPr="00C40608">
              <w:rPr>
                <w:rFonts w:ascii="Arial" w:hAnsi="Arial" w:cs="Arial"/>
                <w:sz w:val="16"/>
                <w:szCs w:val="16"/>
              </w:rPr>
              <w:t>ne written tender consistent with market prices</w:t>
            </w:r>
            <w:r>
              <w:rPr>
                <w:rFonts w:ascii="Arial" w:hAnsi="Arial" w:cs="Arial"/>
                <w:sz w:val="16"/>
                <w:szCs w:val="16"/>
              </w:rPr>
              <w:tab/>
              <w:t>new threshold $50,000, formerly $25,000.</w:t>
            </w:r>
          </w:p>
          <w:p w:rsidR="00465780" w:rsidRDefault="00465780" w:rsidP="00465780">
            <w:pPr>
              <w:pStyle w:val="ListParagraph"/>
              <w:numPr>
                <w:ilvl w:val="0"/>
                <w:numId w:val="12"/>
              </w:numPr>
              <w:tabs>
                <w:tab w:val="left" w:pos="5137"/>
              </w:tabs>
              <w:spacing w:before="60" w:after="60"/>
              <w:rPr>
                <w:rFonts w:ascii="Arial" w:hAnsi="Arial" w:cs="Arial"/>
                <w:sz w:val="16"/>
                <w:szCs w:val="16"/>
              </w:rPr>
            </w:pPr>
            <w:r>
              <w:rPr>
                <w:rFonts w:ascii="Arial" w:hAnsi="Arial" w:cs="Arial"/>
                <w:sz w:val="16"/>
                <w:szCs w:val="16"/>
              </w:rPr>
              <w:t>At least three written tenders sought</w:t>
            </w:r>
            <w:r>
              <w:rPr>
                <w:rFonts w:ascii="Arial" w:hAnsi="Arial" w:cs="Arial"/>
                <w:sz w:val="16"/>
                <w:szCs w:val="16"/>
              </w:rPr>
              <w:tab/>
              <w:t>new threshold $200,000, formerly $150,000.</w:t>
            </w:r>
          </w:p>
          <w:p w:rsidR="00465780" w:rsidRDefault="00465780" w:rsidP="00465780">
            <w:pPr>
              <w:pStyle w:val="ListParagraph"/>
              <w:numPr>
                <w:ilvl w:val="0"/>
                <w:numId w:val="12"/>
              </w:numPr>
              <w:tabs>
                <w:tab w:val="left" w:pos="5137"/>
              </w:tabs>
              <w:spacing w:before="60" w:after="60"/>
              <w:rPr>
                <w:rFonts w:ascii="Arial" w:hAnsi="Arial" w:cs="Arial"/>
                <w:sz w:val="16"/>
                <w:szCs w:val="16"/>
              </w:rPr>
            </w:pPr>
            <w:r>
              <w:rPr>
                <w:rFonts w:ascii="Arial" w:hAnsi="Arial" w:cs="Arial"/>
                <w:sz w:val="16"/>
                <w:szCs w:val="16"/>
              </w:rPr>
              <w:t>Selection from prequalified contractors or open tenders</w:t>
            </w:r>
            <w:r>
              <w:rPr>
                <w:rFonts w:ascii="Arial" w:hAnsi="Arial" w:cs="Arial"/>
                <w:sz w:val="16"/>
                <w:szCs w:val="16"/>
              </w:rPr>
              <w:tab/>
              <w:t>new threshold above $200,000, formerly $150,000.</w:t>
            </w:r>
          </w:p>
          <w:p w:rsidR="00237BA3" w:rsidRDefault="00465780" w:rsidP="0049248C">
            <w:pPr>
              <w:tabs>
                <w:tab w:val="left" w:pos="5137"/>
              </w:tabs>
              <w:spacing w:before="60" w:after="60"/>
              <w:rPr>
                <w:rFonts w:ascii="Arial" w:hAnsi="Arial" w:cs="Arial"/>
                <w:sz w:val="16"/>
                <w:szCs w:val="16"/>
              </w:rPr>
            </w:pPr>
            <w:r>
              <w:rPr>
                <w:rFonts w:ascii="Arial" w:hAnsi="Arial" w:cs="Arial"/>
                <w:sz w:val="16"/>
                <w:szCs w:val="16"/>
              </w:rPr>
              <w:t>Retains the Special Circumstances that may ju</w:t>
            </w:r>
            <w:r w:rsidR="00CA2CBC">
              <w:rPr>
                <w:rFonts w:ascii="Arial" w:hAnsi="Arial" w:cs="Arial"/>
                <w:sz w:val="16"/>
                <w:szCs w:val="16"/>
              </w:rPr>
              <w:t xml:space="preserve">stify use of a Limited Tender. </w:t>
            </w:r>
            <w:r>
              <w:rPr>
                <w:rFonts w:ascii="Arial" w:hAnsi="Arial" w:cs="Arial"/>
                <w:sz w:val="16"/>
                <w:szCs w:val="16"/>
              </w:rPr>
              <w:t xml:space="preserve">The Special Circumstances listed differ slightly from the old </w:t>
            </w:r>
            <w:r w:rsidR="0049248C">
              <w:rPr>
                <w:rFonts w:ascii="Arial" w:hAnsi="Arial" w:cs="Arial"/>
                <w:sz w:val="16"/>
                <w:szCs w:val="16"/>
              </w:rPr>
              <w:t xml:space="preserve">list of </w:t>
            </w:r>
            <w:r>
              <w:rPr>
                <w:rFonts w:ascii="Arial" w:hAnsi="Arial" w:cs="Arial"/>
                <w:sz w:val="16"/>
                <w:szCs w:val="16"/>
              </w:rPr>
              <w:t>Circumstances</w:t>
            </w:r>
            <w:r w:rsidR="0049248C">
              <w:rPr>
                <w:rFonts w:ascii="Arial" w:hAnsi="Arial" w:cs="Arial"/>
                <w:sz w:val="16"/>
                <w:szCs w:val="16"/>
              </w:rPr>
              <w:t>,</w:t>
            </w:r>
            <w:r>
              <w:rPr>
                <w:rFonts w:ascii="Arial" w:hAnsi="Arial" w:cs="Arial"/>
                <w:sz w:val="16"/>
                <w:szCs w:val="16"/>
              </w:rPr>
              <w:t xml:space="preserve"> as they have been aligned with the grounds </w:t>
            </w:r>
            <w:r w:rsidR="00CA2CBC">
              <w:rPr>
                <w:rFonts w:ascii="Arial" w:hAnsi="Arial" w:cs="Arial"/>
                <w:sz w:val="16"/>
                <w:szCs w:val="16"/>
              </w:rPr>
              <w:t xml:space="preserve">for </w:t>
            </w:r>
            <w:r>
              <w:rPr>
                <w:rFonts w:ascii="Arial" w:hAnsi="Arial" w:cs="Arial"/>
                <w:sz w:val="16"/>
                <w:szCs w:val="16"/>
              </w:rPr>
              <w:t>Limited Tendering under International Agreements</w:t>
            </w:r>
            <w:r w:rsidR="00CA2CBC">
              <w:rPr>
                <w:rFonts w:ascii="Arial" w:hAnsi="Arial" w:cs="Arial"/>
                <w:sz w:val="16"/>
                <w:szCs w:val="16"/>
              </w:rPr>
              <w:t>.</w:t>
            </w:r>
            <w:r>
              <w:rPr>
                <w:rFonts w:ascii="Arial" w:hAnsi="Arial" w:cs="Arial"/>
                <w:sz w:val="16"/>
                <w:szCs w:val="16"/>
              </w:rPr>
              <w:t xml:space="preserve"> </w:t>
            </w:r>
            <w:r w:rsidR="00237BA3">
              <w:rPr>
                <w:rFonts w:ascii="Arial" w:hAnsi="Arial" w:cs="Arial"/>
                <w:sz w:val="16"/>
                <w:szCs w:val="16"/>
              </w:rPr>
              <w:t xml:space="preserve">Clarifies </w:t>
            </w:r>
            <w:r w:rsidR="00CA2CBC">
              <w:rPr>
                <w:rFonts w:ascii="Arial" w:hAnsi="Arial" w:cs="Arial"/>
                <w:sz w:val="16"/>
                <w:szCs w:val="16"/>
              </w:rPr>
              <w:t>the use of Special Circumstances</w:t>
            </w:r>
            <w:r>
              <w:rPr>
                <w:rFonts w:ascii="Arial" w:hAnsi="Arial" w:cs="Arial"/>
                <w:sz w:val="16"/>
                <w:szCs w:val="16"/>
              </w:rPr>
              <w:t>, such as listing reasons when the Special Circumstan</w:t>
            </w:r>
            <w:r w:rsidR="00237BA3">
              <w:rPr>
                <w:rFonts w:ascii="Arial" w:hAnsi="Arial" w:cs="Arial"/>
                <w:sz w:val="16"/>
                <w:szCs w:val="16"/>
              </w:rPr>
              <w:t>ce of urgency may be considered.</w:t>
            </w:r>
          </w:p>
          <w:p w:rsidR="00465780" w:rsidRDefault="00237BA3" w:rsidP="0049248C">
            <w:pPr>
              <w:tabs>
                <w:tab w:val="left" w:pos="5137"/>
              </w:tabs>
              <w:spacing w:before="60" w:after="60"/>
              <w:rPr>
                <w:rFonts w:ascii="Arial" w:hAnsi="Arial" w:cs="Arial"/>
                <w:sz w:val="16"/>
                <w:szCs w:val="16"/>
              </w:rPr>
            </w:pPr>
            <w:r>
              <w:rPr>
                <w:rFonts w:ascii="Arial" w:hAnsi="Arial" w:cs="Arial"/>
                <w:sz w:val="16"/>
                <w:szCs w:val="16"/>
              </w:rPr>
              <w:t>C</w:t>
            </w:r>
            <w:r w:rsidR="0049248C">
              <w:rPr>
                <w:rFonts w:ascii="Arial" w:hAnsi="Arial" w:cs="Arial"/>
                <w:sz w:val="16"/>
                <w:szCs w:val="16"/>
              </w:rPr>
              <w:t xml:space="preserve">larifies that procurement conducted in accordance with the Market-Led Proposals Guideline is </w:t>
            </w:r>
            <w:r>
              <w:rPr>
                <w:rFonts w:ascii="Arial" w:hAnsi="Arial" w:cs="Arial"/>
                <w:sz w:val="16"/>
                <w:szCs w:val="16"/>
              </w:rPr>
              <w:t>a Spec</w:t>
            </w:r>
            <w:r w:rsidR="005D3E1A">
              <w:rPr>
                <w:rFonts w:ascii="Arial" w:hAnsi="Arial" w:cs="Arial"/>
                <w:sz w:val="16"/>
                <w:szCs w:val="16"/>
              </w:rPr>
              <w:t>ial Circumstance when considering</w:t>
            </w:r>
            <w:r>
              <w:rPr>
                <w:rFonts w:ascii="Arial" w:hAnsi="Arial" w:cs="Arial"/>
                <w:sz w:val="16"/>
                <w:szCs w:val="16"/>
              </w:rPr>
              <w:t xml:space="preserve"> alternative forms of tendering</w:t>
            </w:r>
            <w:r w:rsidR="0049248C">
              <w:rPr>
                <w:rFonts w:ascii="Arial" w:hAnsi="Arial" w:cs="Arial"/>
                <w:sz w:val="16"/>
                <w:szCs w:val="16"/>
              </w:rPr>
              <w:t>.</w:t>
            </w:r>
          </w:p>
          <w:p w:rsidR="00B5661A" w:rsidRPr="00465780" w:rsidRDefault="00B5661A" w:rsidP="00B5661A">
            <w:pPr>
              <w:tabs>
                <w:tab w:val="left" w:pos="5137"/>
              </w:tabs>
              <w:spacing w:before="60" w:after="60"/>
              <w:rPr>
                <w:rFonts w:ascii="Arial" w:hAnsi="Arial" w:cs="Arial"/>
                <w:sz w:val="16"/>
                <w:szCs w:val="16"/>
              </w:rPr>
            </w:pPr>
            <w:r>
              <w:rPr>
                <w:rFonts w:ascii="Arial" w:hAnsi="Arial" w:cs="Arial"/>
                <w:sz w:val="16"/>
                <w:szCs w:val="16"/>
              </w:rPr>
              <w:t xml:space="preserve">Guidance on the size of tender fields is retained in </w:t>
            </w:r>
            <w:r w:rsidR="009A4D80">
              <w:rPr>
                <w:rFonts w:ascii="Arial" w:hAnsi="Arial" w:cs="Arial"/>
                <w:sz w:val="16"/>
                <w:szCs w:val="16"/>
              </w:rPr>
              <w:t>Competition and contestability (</w:t>
            </w:r>
            <w:r>
              <w:rPr>
                <w:rFonts w:ascii="Arial" w:hAnsi="Arial" w:cs="Arial"/>
                <w:sz w:val="16"/>
                <w:szCs w:val="16"/>
              </w:rPr>
              <w:t>Guidance 3.2.1</w:t>
            </w:r>
            <w:r w:rsidR="009A4D80">
              <w:rPr>
                <w:rFonts w:ascii="Arial" w:hAnsi="Arial" w:cs="Arial"/>
                <w:sz w:val="16"/>
                <w:szCs w:val="16"/>
              </w:rPr>
              <w:t>)</w:t>
            </w:r>
            <w:r w:rsidR="00583B48">
              <w:rPr>
                <w:rFonts w:ascii="Arial" w:hAnsi="Arial" w:cs="Arial"/>
                <w:sz w:val="16"/>
                <w:szCs w:val="16"/>
              </w:rPr>
              <w:t>.</w:t>
            </w:r>
          </w:p>
        </w:tc>
      </w:tr>
      <w:tr w:rsidR="0065104F" w:rsidRPr="00B97DEA" w:rsidTr="00092BEC">
        <w:trPr>
          <w:cantSplit/>
        </w:trPr>
        <w:tc>
          <w:tcPr>
            <w:tcW w:w="1809" w:type="dxa"/>
          </w:tcPr>
          <w:p w:rsidR="0065104F" w:rsidRDefault="0049248C" w:rsidP="005E3920">
            <w:pPr>
              <w:spacing w:before="60" w:after="60"/>
              <w:rPr>
                <w:rFonts w:ascii="Arial" w:hAnsi="Arial" w:cs="Arial"/>
                <w:sz w:val="16"/>
                <w:szCs w:val="16"/>
              </w:rPr>
            </w:pPr>
            <w:r>
              <w:rPr>
                <w:rFonts w:ascii="Arial" w:hAnsi="Arial" w:cs="Arial"/>
                <w:sz w:val="16"/>
                <w:szCs w:val="16"/>
              </w:rPr>
              <w:lastRenderedPageBreak/>
              <w:t>Promoting efficiency in the tender process</w:t>
            </w:r>
          </w:p>
        </w:tc>
        <w:tc>
          <w:tcPr>
            <w:tcW w:w="1418" w:type="dxa"/>
          </w:tcPr>
          <w:p w:rsidR="0065104F" w:rsidRDefault="0049248C" w:rsidP="005E3920">
            <w:pPr>
              <w:spacing w:before="60" w:after="60"/>
              <w:rPr>
                <w:rFonts w:ascii="Arial" w:hAnsi="Arial" w:cs="Arial"/>
                <w:sz w:val="16"/>
                <w:szCs w:val="16"/>
              </w:rPr>
            </w:pPr>
            <w:r>
              <w:rPr>
                <w:rFonts w:ascii="Arial" w:hAnsi="Arial" w:cs="Arial"/>
                <w:sz w:val="16"/>
                <w:szCs w:val="16"/>
              </w:rPr>
              <w:t>GMD1 cl 2.2</w:t>
            </w:r>
          </w:p>
          <w:p w:rsidR="0049248C" w:rsidRDefault="0049248C" w:rsidP="005E3920">
            <w:pPr>
              <w:spacing w:before="60" w:after="60"/>
              <w:rPr>
                <w:rFonts w:ascii="Arial" w:hAnsi="Arial" w:cs="Arial"/>
                <w:sz w:val="16"/>
                <w:szCs w:val="16"/>
              </w:rPr>
            </w:pPr>
            <w:r>
              <w:rPr>
                <w:rFonts w:ascii="Arial" w:hAnsi="Arial" w:cs="Arial"/>
                <w:sz w:val="16"/>
                <w:szCs w:val="16"/>
              </w:rPr>
              <w:t>GMD1 cl 2.3.2</w:t>
            </w:r>
          </w:p>
          <w:p w:rsidR="0049248C" w:rsidRDefault="0049248C" w:rsidP="005E3920">
            <w:pPr>
              <w:spacing w:before="60" w:after="60"/>
              <w:rPr>
                <w:rFonts w:ascii="Arial" w:hAnsi="Arial" w:cs="Arial"/>
                <w:sz w:val="16"/>
                <w:szCs w:val="16"/>
              </w:rPr>
            </w:pPr>
            <w:r>
              <w:rPr>
                <w:rFonts w:ascii="Arial" w:hAnsi="Arial" w:cs="Arial"/>
                <w:sz w:val="16"/>
                <w:szCs w:val="16"/>
              </w:rPr>
              <w:t>GMD1 cl 2.3.6</w:t>
            </w:r>
          </w:p>
          <w:p w:rsidR="0049248C" w:rsidRDefault="0049248C" w:rsidP="005E3920">
            <w:pPr>
              <w:spacing w:before="60" w:after="60"/>
              <w:rPr>
                <w:rFonts w:ascii="Arial" w:hAnsi="Arial" w:cs="Arial"/>
                <w:sz w:val="16"/>
                <w:szCs w:val="16"/>
              </w:rPr>
            </w:pPr>
            <w:r>
              <w:rPr>
                <w:rFonts w:ascii="Arial" w:hAnsi="Arial" w:cs="Arial"/>
                <w:sz w:val="16"/>
                <w:szCs w:val="16"/>
              </w:rPr>
              <w:t>CMD1 cl 2.3.7</w:t>
            </w:r>
          </w:p>
        </w:tc>
        <w:tc>
          <w:tcPr>
            <w:tcW w:w="1417" w:type="dxa"/>
          </w:tcPr>
          <w:p w:rsidR="0065104F" w:rsidRDefault="0049248C" w:rsidP="005E3920">
            <w:pPr>
              <w:spacing w:before="60" w:after="60"/>
              <w:rPr>
                <w:rFonts w:ascii="Arial" w:hAnsi="Arial" w:cs="Arial"/>
                <w:sz w:val="16"/>
                <w:szCs w:val="16"/>
              </w:rPr>
            </w:pPr>
            <w:r>
              <w:rPr>
                <w:rFonts w:ascii="Arial" w:hAnsi="Arial" w:cs="Arial"/>
                <w:sz w:val="16"/>
                <w:szCs w:val="16"/>
              </w:rPr>
              <w:t>Dir 3.3</w:t>
            </w:r>
          </w:p>
          <w:p w:rsidR="0049248C" w:rsidRDefault="0049248C" w:rsidP="005E3920">
            <w:pPr>
              <w:spacing w:before="60" w:after="60"/>
              <w:rPr>
                <w:rFonts w:ascii="Arial" w:hAnsi="Arial" w:cs="Arial"/>
                <w:sz w:val="16"/>
                <w:szCs w:val="16"/>
              </w:rPr>
            </w:pPr>
            <w:r>
              <w:rPr>
                <w:rFonts w:ascii="Arial" w:hAnsi="Arial" w:cs="Arial"/>
                <w:sz w:val="16"/>
                <w:szCs w:val="16"/>
              </w:rPr>
              <w:t>Inst 3.3</w:t>
            </w:r>
          </w:p>
        </w:tc>
        <w:tc>
          <w:tcPr>
            <w:tcW w:w="9530" w:type="dxa"/>
          </w:tcPr>
          <w:p w:rsidR="0049248C" w:rsidRPr="000A1851" w:rsidRDefault="0049248C" w:rsidP="000A1851">
            <w:pPr>
              <w:spacing w:before="60" w:after="60"/>
              <w:rPr>
                <w:rFonts w:ascii="Arial" w:hAnsi="Arial" w:cs="Arial"/>
                <w:sz w:val="16"/>
                <w:szCs w:val="16"/>
              </w:rPr>
            </w:pPr>
            <w:r>
              <w:rPr>
                <w:rFonts w:ascii="Arial" w:hAnsi="Arial" w:cs="Arial"/>
                <w:sz w:val="16"/>
                <w:szCs w:val="16"/>
              </w:rPr>
              <w:t xml:space="preserve">Retains </w:t>
            </w:r>
            <w:r w:rsidR="000A1851">
              <w:rPr>
                <w:rFonts w:ascii="Arial" w:hAnsi="Arial" w:cs="Arial"/>
                <w:sz w:val="16"/>
                <w:szCs w:val="16"/>
              </w:rPr>
              <w:t>requirements promoting efficiency in the tender process.</w:t>
            </w:r>
          </w:p>
        </w:tc>
      </w:tr>
      <w:tr w:rsidR="0065104F" w:rsidRPr="00B97DEA" w:rsidTr="00092BEC">
        <w:trPr>
          <w:cantSplit/>
        </w:trPr>
        <w:tc>
          <w:tcPr>
            <w:tcW w:w="1809" w:type="dxa"/>
          </w:tcPr>
          <w:p w:rsidR="0065104F" w:rsidRDefault="000A1851" w:rsidP="005E3920">
            <w:pPr>
              <w:spacing w:before="60" w:after="60"/>
              <w:rPr>
                <w:rFonts w:ascii="Arial" w:hAnsi="Arial" w:cs="Arial"/>
                <w:sz w:val="16"/>
                <w:szCs w:val="16"/>
              </w:rPr>
            </w:pPr>
            <w:r>
              <w:rPr>
                <w:rFonts w:ascii="Arial" w:hAnsi="Arial" w:cs="Arial"/>
                <w:sz w:val="16"/>
                <w:szCs w:val="16"/>
              </w:rPr>
              <w:t>Tender Notices</w:t>
            </w:r>
          </w:p>
        </w:tc>
        <w:tc>
          <w:tcPr>
            <w:tcW w:w="1418" w:type="dxa"/>
          </w:tcPr>
          <w:p w:rsidR="0065104F" w:rsidRDefault="0065104F" w:rsidP="005E3920">
            <w:pPr>
              <w:spacing w:before="60" w:after="60"/>
              <w:rPr>
                <w:rFonts w:ascii="Arial" w:hAnsi="Arial" w:cs="Arial"/>
                <w:sz w:val="16"/>
                <w:szCs w:val="16"/>
              </w:rPr>
            </w:pPr>
          </w:p>
        </w:tc>
        <w:tc>
          <w:tcPr>
            <w:tcW w:w="1417" w:type="dxa"/>
          </w:tcPr>
          <w:p w:rsidR="0065104F" w:rsidRDefault="000A1851" w:rsidP="005E3920">
            <w:pPr>
              <w:spacing w:before="60" w:after="60"/>
              <w:rPr>
                <w:rFonts w:ascii="Arial" w:hAnsi="Arial" w:cs="Arial"/>
                <w:sz w:val="16"/>
                <w:szCs w:val="16"/>
              </w:rPr>
            </w:pPr>
            <w:r>
              <w:rPr>
                <w:rFonts w:ascii="Arial" w:hAnsi="Arial" w:cs="Arial"/>
                <w:sz w:val="16"/>
                <w:szCs w:val="16"/>
              </w:rPr>
              <w:t>Dir 3.4</w:t>
            </w:r>
          </w:p>
          <w:p w:rsidR="000A1851" w:rsidRDefault="000A1851" w:rsidP="005E3920">
            <w:pPr>
              <w:spacing w:before="60" w:after="60"/>
              <w:rPr>
                <w:rFonts w:ascii="Arial" w:hAnsi="Arial" w:cs="Arial"/>
                <w:sz w:val="16"/>
                <w:szCs w:val="16"/>
              </w:rPr>
            </w:pPr>
            <w:r>
              <w:rPr>
                <w:rFonts w:ascii="Arial" w:hAnsi="Arial" w:cs="Arial"/>
                <w:sz w:val="16"/>
                <w:szCs w:val="16"/>
              </w:rPr>
              <w:t>Inst 3.4</w:t>
            </w:r>
          </w:p>
        </w:tc>
        <w:tc>
          <w:tcPr>
            <w:tcW w:w="9530" w:type="dxa"/>
          </w:tcPr>
          <w:p w:rsidR="000A1851" w:rsidRDefault="000A1851" w:rsidP="000A1851">
            <w:pPr>
              <w:spacing w:before="60" w:after="60"/>
              <w:rPr>
                <w:rFonts w:ascii="Arial" w:hAnsi="Arial" w:cs="Arial"/>
                <w:sz w:val="16"/>
                <w:szCs w:val="16"/>
              </w:rPr>
            </w:pPr>
            <w:r>
              <w:rPr>
                <w:rFonts w:ascii="Arial" w:hAnsi="Arial" w:cs="Arial"/>
                <w:sz w:val="16"/>
                <w:szCs w:val="16"/>
              </w:rPr>
              <w:t>Extends the requirement to provide tender participants with effective notice of the tender process</w:t>
            </w:r>
            <w:r w:rsidR="00C93D7D">
              <w:rPr>
                <w:rFonts w:ascii="Arial" w:hAnsi="Arial" w:cs="Arial"/>
                <w:sz w:val="16"/>
                <w:szCs w:val="16"/>
              </w:rPr>
              <w:t xml:space="preserve"> </w:t>
            </w:r>
            <w:r w:rsidR="0016220A">
              <w:rPr>
                <w:rFonts w:ascii="Arial" w:hAnsi="Arial" w:cs="Arial"/>
                <w:sz w:val="16"/>
                <w:szCs w:val="16"/>
              </w:rPr>
              <w:t>–</w:t>
            </w:r>
            <w:r w:rsidR="00C93D7D">
              <w:rPr>
                <w:rFonts w:ascii="Arial" w:hAnsi="Arial" w:cs="Arial"/>
                <w:sz w:val="16"/>
                <w:szCs w:val="16"/>
              </w:rPr>
              <w:t xml:space="preserve"> </w:t>
            </w:r>
            <w:r>
              <w:rPr>
                <w:rFonts w:ascii="Arial" w:hAnsi="Arial" w:cs="Arial"/>
                <w:sz w:val="16"/>
                <w:szCs w:val="16"/>
              </w:rPr>
              <w:t xml:space="preserve">Tender Notices now must be used for open tenders </w:t>
            </w:r>
            <w:r w:rsidR="00077786">
              <w:rPr>
                <w:rFonts w:ascii="Arial" w:hAnsi="Arial" w:cs="Arial"/>
                <w:sz w:val="16"/>
                <w:szCs w:val="16"/>
              </w:rPr>
              <w:t>(</w:t>
            </w:r>
            <w:r w:rsidR="00CD43E4">
              <w:rPr>
                <w:rFonts w:ascii="Arial" w:hAnsi="Arial" w:cs="Arial"/>
                <w:sz w:val="16"/>
                <w:szCs w:val="16"/>
              </w:rPr>
              <w:t xml:space="preserve">ongoing requirement) </w:t>
            </w:r>
            <w:r>
              <w:rPr>
                <w:rFonts w:ascii="Arial" w:hAnsi="Arial" w:cs="Arial"/>
                <w:sz w:val="16"/>
                <w:szCs w:val="16"/>
              </w:rPr>
              <w:t>and for a Selective Tender or Limited Tender</w:t>
            </w:r>
            <w:r w:rsidR="00CE22FC">
              <w:rPr>
                <w:rFonts w:ascii="Arial" w:hAnsi="Arial" w:cs="Arial"/>
                <w:sz w:val="16"/>
                <w:szCs w:val="16"/>
              </w:rPr>
              <w:t xml:space="preserve"> </w:t>
            </w:r>
            <w:r w:rsidR="0016220A">
              <w:rPr>
                <w:rFonts w:ascii="Arial" w:hAnsi="Arial" w:cs="Arial"/>
                <w:sz w:val="16"/>
                <w:szCs w:val="16"/>
              </w:rPr>
              <w:t>–</w:t>
            </w:r>
            <w:r w:rsidR="00CE22FC">
              <w:rPr>
                <w:rFonts w:ascii="Arial" w:hAnsi="Arial" w:cs="Arial"/>
                <w:sz w:val="16"/>
                <w:szCs w:val="16"/>
              </w:rPr>
              <w:t xml:space="preserve"> </w:t>
            </w:r>
            <w:r>
              <w:rPr>
                <w:rFonts w:ascii="Arial" w:hAnsi="Arial" w:cs="Arial"/>
                <w:sz w:val="16"/>
                <w:szCs w:val="16"/>
              </w:rPr>
              <w:t xml:space="preserve">each potential tender participant </w:t>
            </w:r>
            <w:r w:rsidR="00EB1FEF">
              <w:rPr>
                <w:rFonts w:ascii="Arial" w:hAnsi="Arial" w:cs="Arial"/>
                <w:sz w:val="16"/>
                <w:szCs w:val="16"/>
              </w:rPr>
              <w:t>invited to participate in the tender process</w:t>
            </w:r>
            <w:r w:rsidR="00CE22FC">
              <w:rPr>
                <w:rFonts w:ascii="Arial" w:hAnsi="Arial" w:cs="Arial"/>
                <w:sz w:val="16"/>
                <w:szCs w:val="16"/>
              </w:rPr>
              <w:t xml:space="preserve"> (new requirement)</w:t>
            </w:r>
            <w:r w:rsidR="00EB1FEF">
              <w:rPr>
                <w:rFonts w:ascii="Arial" w:hAnsi="Arial" w:cs="Arial"/>
                <w:sz w:val="16"/>
                <w:szCs w:val="16"/>
              </w:rPr>
              <w:t>.</w:t>
            </w:r>
          </w:p>
          <w:p w:rsidR="00EB1FEF" w:rsidRDefault="00CE22FC" w:rsidP="00EB1FEF">
            <w:pPr>
              <w:spacing w:before="60" w:after="60"/>
              <w:rPr>
                <w:rFonts w:ascii="Arial" w:hAnsi="Arial" w:cs="Arial"/>
                <w:sz w:val="16"/>
                <w:szCs w:val="16"/>
              </w:rPr>
            </w:pPr>
            <w:r>
              <w:rPr>
                <w:rFonts w:ascii="Arial" w:hAnsi="Arial" w:cs="Arial"/>
                <w:sz w:val="16"/>
                <w:szCs w:val="16"/>
              </w:rPr>
              <w:t xml:space="preserve">Makes explicit the long standing requirement to publish </w:t>
            </w:r>
            <w:r w:rsidR="00EB1FEF">
              <w:rPr>
                <w:rFonts w:ascii="Arial" w:hAnsi="Arial" w:cs="Arial"/>
                <w:sz w:val="16"/>
                <w:szCs w:val="16"/>
              </w:rPr>
              <w:t>Tender Notic</w:t>
            </w:r>
            <w:r w:rsidR="00C93D7D">
              <w:rPr>
                <w:rFonts w:ascii="Arial" w:hAnsi="Arial" w:cs="Arial"/>
                <w:sz w:val="16"/>
                <w:szCs w:val="16"/>
              </w:rPr>
              <w:t xml:space="preserve">es on </w:t>
            </w:r>
            <w:r w:rsidR="006B3779">
              <w:rPr>
                <w:rFonts w:ascii="Arial" w:hAnsi="Arial" w:cs="Arial"/>
                <w:sz w:val="16"/>
                <w:szCs w:val="16"/>
              </w:rPr>
              <w:t xml:space="preserve">a </w:t>
            </w:r>
            <w:r w:rsidR="00C93D7D">
              <w:rPr>
                <w:rFonts w:ascii="Arial" w:hAnsi="Arial" w:cs="Arial"/>
                <w:sz w:val="16"/>
                <w:szCs w:val="16"/>
              </w:rPr>
              <w:t>website</w:t>
            </w:r>
            <w:r w:rsidR="006B3779">
              <w:rPr>
                <w:rFonts w:ascii="Arial" w:hAnsi="Arial" w:cs="Arial"/>
                <w:sz w:val="16"/>
                <w:szCs w:val="16"/>
              </w:rPr>
              <w:t xml:space="preserve"> or syst</w:t>
            </w:r>
            <w:r w:rsidR="004B613C">
              <w:rPr>
                <w:rFonts w:ascii="Arial" w:hAnsi="Arial" w:cs="Arial"/>
                <w:sz w:val="16"/>
                <w:szCs w:val="16"/>
              </w:rPr>
              <w:t>em nominated by the Secretary of</w:t>
            </w:r>
            <w:r w:rsidR="006B3779">
              <w:rPr>
                <w:rFonts w:ascii="Arial" w:hAnsi="Arial" w:cs="Arial"/>
                <w:sz w:val="16"/>
                <w:szCs w:val="16"/>
              </w:rPr>
              <w:t xml:space="preserve"> the Department of Treasury and Finance</w:t>
            </w:r>
            <w:r w:rsidR="00582D43">
              <w:rPr>
                <w:rFonts w:ascii="Arial" w:hAnsi="Arial" w:cs="Arial"/>
                <w:sz w:val="16"/>
                <w:szCs w:val="16"/>
              </w:rPr>
              <w:t>, currently Tenders VIC</w:t>
            </w:r>
            <w:r w:rsidR="00C93D7D">
              <w:rPr>
                <w:rFonts w:ascii="Arial" w:hAnsi="Arial" w:cs="Arial"/>
                <w:sz w:val="16"/>
                <w:szCs w:val="16"/>
              </w:rPr>
              <w:t xml:space="preserve">. </w:t>
            </w:r>
            <w:r w:rsidR="00EB1FEF">
              <w:rPr>
                <w:rFonts w:ascii="Arial" w:hAnsi="Arial" w:cs="Arial"/>
                <w:sz w:val="16"/>
                <w:szCs w:val="16"/>
              </w:rPr>
              <w:t xml:space="preserve">Other means of publication may also be used, in addition to </w:t>
            </w:r>
            <w:r w:rsidR="006B3779">
              <w:rPr>
                <w:rFonts w:ascii="Arial" w:hAnsi="Arial" w:cs="Arial"/>
                <w:sz w:val="16"/>
                <w:szCs w:val="16"/>
              </w:rPr>
              <w:t>the nominated website or system</w:t>
            </w:r>
            <w:r w:rsidR="00EB1FEF">
              <w:rPr>
                <w:rFonts w:ascii="Arial" w:hAnsi="Arial" w:cs="Arial"/>
                <w:sz w:val="16"/>
                <w:szCs w:val="16"/>
              </w:rPr>
              <w:t>.</w:t>
            </w:r>
          </w:p>
          <w:p w:rsidR="00EB1FEF" w:rsidRDefault="00EB1FEF" w:rsidP="00EB1FEF">
            <w:pPr>
              <w:spacing w:before="60" w:after="60"/>
              <w:rPr>
                <w:rFonts w:ascii="Arial" w:hAnsi="Arial" w:cs="Arial"/>
                <w:sz w:val="16"/>
                <w:szCs w:val="16"/>
              </w:rPr>
            </w:pPr>
            <w:r>
              <w:rPr>
                <w:rFonts w:ascii="Arial" w:hAnsi="Arial" w:cs="Arial"/>
                <w:sz w:val="16"/>
                <w:szCs w:val="16"/>
              </w:rPr>
              <w:t>If Tender Documentation is not included in the Tender Notice, then the Tender Notice must provide details about how to obtain access to the Tender Documentation.</w:t>
            </w:r>
          </w:p>
          <w:p w:rsidR="00CD43E4" w:rsidRPr="000A1851" w:rsidRDefault="00CD43E4" w:rsidP="006B3779">
            <w:pPr>
              <w:spacing w:before="60" w:after="60"/>
              <w:rPr>
                <w:rFonts w:ascii="Arial" w:hAnsi="Arial" w:cs="Arial"/>
                <w:sz w:val="16"/>
                <w:szCs w:val="16"/>
              </w:rPr>
            </w:pPr>
            <w:r>
              <w:rPr>
                <w:rFonts w:ascii="Arial" w:hAnsi="Arial" w:cs="Arial"/>
                <w:sz w:val="16"/>
                <w:szCs w:val="16"/>
              </w:rPr>
              <w:t xml:space="preserve">To avoid doubt, the requirement to use the </w:t>
            </w:r>
            <w:r w:rsidR="006B3779">
              <w:rPr>
                <w:rFonts w:ascii="Arial" w:hAnsi="Arial" w:cs="Arial"/>
                <w:sz w:val="16"/>
                <w:szCs w:val="16"/>
              </w:rPr>
              <w:t xml:space="preserve">nominated website or system </w:t>
            </w:r>
            <w:r>
              <w:rPr>
                <w:rFonts w:ascii="Arial" w:hAnsi="Arial" w:cs="Arial"/>
                <w:sz w:val="16"/>
                <w:szCs w:val="16"/>
              </w:rPr>
              <w:t>refers to the publicat</w:t>
            </w:r>
            <w:r w:rsidR="00C93D7D">
              <w:rPr>
                <w:rFonts w:ascii="Arial" w:hAnsi="Arial" w:cs="Arial"/>
                <w:sz w:val="16"/>
                <w:szCs w:val="16"/>
              </w:rPr>
              <w:t xml:space="preserve">ion of the Tender Notice only. </w:t>
            </w:r>
            <w:r>
              <w:rPr>
                <w:rFonts w:ascii="Arial" w:hAnsi="Arial" w:cs="Arial"/>
                <w:sz w:val="16"/>
                <w:szCs w:val="16"/>
              </w:rPr>
              <w:t>The Ministerial Directions do not set any requirement for the location or method for submitting tenders.</w:t>
            </w:r>
          </w:p>
        </w:tc>
      </w:tr>
      <w:tr w:rsidR="0065104F" w:rsidRPr="00B97DEA" w:rsidTr="00092BEC">
        <w:trPr>
          <w:cantSplit/>
        </w:trPr>
        <w:tc>
          <w:tcPr>
            <w:tcW w:w="1809" w:type="dxa"/>
          </w:tcPr>
          <w:p w:rsidR="0065104F" w:rsidRDefault="00EB1FEF" w:rsidP="005E3920">
            <w:pPr>
              <w:spacing w:before="60" w:after="60"/>
              <w:rPr>
                <w:rFonts w:ascii="Arial" w:hAnsi="Arial" w:cs="Arial"/>
                <w:sz w:val="16"/>
                <w:szCs w:val="16"/>
              </w:rPr>
            </w:pPr>
            <w:r>
              <w:rPr>
                <w:rFonts w:ascii="Arial" w:hAnsi="Arial" w:cs="Arial"/>
                <w:sz w:val="16"/>
                <w:szCs w:val="16"/>
              </w:rPr>
              <w:t>Tender open times</w:t>
            </w:r>
          </w:p>
        </w:tc>
        <w:tc>
          <w:tcPr>
            <w:tcW w:w="1418" w:type="dxa"/>
          </w:tcPr>
          <w:p w:rsidR="0065104F" w:rsidRDefault="00EB1FEF" w:rsidP="005E3920">
            <w:pPr>
              <w:spacing w:before="60" w:after="60"/>
              <w:rPr>
                <w:rFonts w:ascii="Arial" w:hAnsi="Arial" w:cs="Arial"/>
                <w:sz w:val="16"/>
                <w:szCs w:val="16"/>
              </w:rPr>
            </w:pPr>
            <w:r>
              <w:rPr>
                <w:rFonts w:ascii="Arial" w:hAnsi="Arial" w:cs="Arial"/>
                <w:sz w:val="16"/>
                <w:szCs w:val="16"/>
              </w:rPr>
              <w:t>GMD1 cl 2.3.3</w:t>
            </w:r>
          </w:p>
        </w:tc>
        <w:tc>
          <w:tcPr>
            <w:tcW w:w="1417" w:type="dxa"/>
          </w:tcPr>
          <w:p w:rsidR="0065104F" w:rsidRDefault="00EB1FEF" w:rsidP="005E3920">
            <w:pPr>
              <w:spacing w:before="60" w:after="60"/>
              <w:rPr>
                <w:rFonts w:ascii="Arial" w:hAnsi="Arial" w:cs="Arial"/>
                <w:sz w:val="16"/>
                <w:szCs w:val="16"/>
              </w:rPr>
            </w:pPr>
            <w:r>
              <w:rPr>
                <w:rFonts w:ascii="Arial" w:hAnsi="Arial" w:cs="Arial"/>
                <w:sz w:val="16"/>
                <w:szCs w:val="16"/>
              </w:rPr>
              <w:t>Dir 3.5</w:t>
            </w:r>
          </w:p>
        </w:tc>
        <w:tc>
          <w:tcPr>
            <w:tcW w:w="9530" w:type="dxa"/>
          </w:tcPr>
          <w:p w:rsidR="0065104F" w:rsidRDefault="00EB1FEF" w:rsidP="00EB1FEF">
            <w:pPr>
              <w:spacing w:before="60" w:after="60"/>
              <w:rPr>
                <w:rFonts w:ascii="Arial" w:hAnsi="Arial" w:cs="Arial"/>
                <w:sz w:val="16"/>
                <w:szCs w:val="16"/>
              </w:rPr>
            </w:pPr>
            <w:r>
              <w:rPr>
                <w:rFonts w:ascii="Arial" w:hAnsi="Arial" w:cs="Arial"/>
                <w:sz w:val="16"/>
                <w:szCs w:val="16"/>
              </w:rPr>
              <w:t>Retains the requirement to provide a reasonable time for tendering.</w:t>
            </w:r>
          </w:p>
        </w:tc>
      </w:tr>
      <w:tr w:rsidR="00EB1FEF" w:rsidRPr="00B97DEA" w:rsidTr="00092BEC">
        <w:trPr>
          <w:cantSplit/>
        </w:trPr>
        <w:tc>
          <w:tcPr>
            <w:tcW w:w="1809" w:type="dxa"/>
          </w:tcPr>
          <w:p w:rsidR="00EB1FEF" w:rsidRDefault="00EB1FEF" w:rsidP="005E3920">
            <w:pPr>
              <w:spacing w:before="60" w:after="60"/>
              <w:rPr>
                <w:rFonts w:ascii="Arial" w:hAnsi="Arial" w:cs="Arial"/>
                <w:sz w:val="16"/>
                <w:szCs w:val="16"/>
              </w:rPr>
            </w:pPr>
            <w:r>
              <w:rPr>
                <w:rFonts w:ascii="Arial" w:hAnsi="Arial" w:cs="Arial"/>
                <w:sz w:val="16"/>
                <w:szCs w:val="16"/>
              </w:rPr>
              <w:t>Tender Documentation</w:t>
            </w:r>
          </w:p>
        </w:tc>
        <w:tc>
          <w:tcPr>
            <w:tcW w:w="1418" w:type="dxa"/>
          </w:tcPr>
          <w:p w:rsidR="00EB1FEF" w:rsidRDefault="00EB1FEF" w:rsidP="005E3920">
            <w:pPr>
              <w:spacing w:before="60" w:after="60"/>
              <w:rPr>
                <w:rFonts w:ascii="Arial" w:hAnsi="Arial" w:cs="Arial"/>
                <w:sz w:val="16"/>
                <w:szCs w:val="16"/>
              </w:rPr>
            </w:pPr>
            <w:r>
              <w:rPr>
                <w:rFonts w:ascii="Arial" w:hAnsi="Arial" w:cs="Arial"/>
                <w:sz w:val="16"/>
                <w:szCs w:val="16"/>
              </w:rPr>
              <w:t>GMD1 cl 2.3.1</w:t>
            </w:r>
          </w:p>
          <w:p w:rsidR="00EB1FEF" w:rsidRDefault="00EB1FEF" w:rsidP="00EB1FEF">
            <w:pPr>
              <w:spacing w:before="60" w:after="60"/>
              <w:rPr>
                <w:rFonts w:ascii="Arial" w:hAnsi="Arial" w:cs="Arial"/>
                <w:sz w:val="16"/>
                <w:szCs w:val="16"/>
              </w:rPr>
            </w:pPr>
            <w:r>
              <w:rPr>
                <w:rFonts w:ascii="Arial" w:hAnsi="Arial" w:cs="Arial"/>
                <w:sz w:val="16"/>
                <w:szCs w:val="16"/>
              </w:rPr>
              <w:t>GMD1 cl 2.3.2</w:t>
            </w:r>
          </w:p>
          <w:p w:rsidR="00EB1FEF" w:rsidRDefault="00EB1FEF" w:rsidP="00EB1FEF">
            <w:pPr>
              <w:spacing w:before="60" w:after="60"/>
              <w:rPr>
                <w:rFonts w:ascii="Arial" w:hAnsi="Arial" w:cs="Arial"/>
                <w:sz w:val="16"/>
                <w:szCs w:val="16"/>
              </w:rPr>
            </w:pPr>
            <w:r>
              <w:rPr>
                <w:rFonts w:ascii="Arial" w:hAnsi="Arial" w:cs="Arial"/>
                <w:sz w:val="16"/>
                <w:szCs w:val="16"/>
              </w:rPr>
              <w:t>GMD1 cl 2.3.4</w:t>
            </w:r>
          </w:p>
        </w:tc>
        <w:tc>
          <w:tcPr>
            <w:tcW w:w="1417" w:type="dxa"/>
          </w:tcPr>
          <w:p w:rsidR="00EB1FEF" w:rsidRDefault="00EB1FEF" w:rsidP="005E3920">
            <w:pPr>
              <w:spacing w:before="60" w:after="60"/>
              <w:rPr>
                <w:rFonts w:ascii="Arial" w:hAnsi="Arial" w:cs="Arial"/>
                <w:sz w:val="16"/>
                <w:szCs w:val="16"/>
              </w:rPr>
            </w:pPr>
            <w:r>
              <w:rPr>
                <w:rFonts w:ascii="Arial" w:hAnsi="Arial" w:cs="Arial"/>
                <w:sz w:val="16"/>
                <w:szCs w:val="16"/>
              </w:rPr>
              <w:t>Dir 3.6</w:t>
            </w:r>
          </w:p>
          <w:p w:rsidR="00EB1FEF" w:rsidRDefault="00EB1FEF" w:rsidP="005E3920">
            <w:pPr>
              <w:spacing w:before="60" w:after="60"/>
              <w:rPr>
                <w:rFonts w:ascii="Arial" w:hAnsi="Arial" w:cs="Arial"/>
                <w:sz w:val="16"/>
                <w:szCs w:val="16"/>
              </w:rPr>
            </w:pPr>
            <w:r>
              <w:rPr>
                <w:rFonts w:ascii="Arial" w:hAnsi="Arial" w:cs="Arial"/>
                <w:sz w:val="16"/>
                <w:szCs w:val="16"/>
              </w:rPr>
              <w:t>Inst 3.6</w:t>
            </w:r>
          </w:p>
        </w:tc>
        <w:tc>
          <w:tcPr>
            <w:tcW w:w="9530" w:type="dxa"/>
          </w:tcPr>
          <w:p w:rsidR="00EB1FEF" w:rsidRDefault="00EB1FEF" w:rsidP="005E3920">
            <w:pPr>
              <w:spacing w:before="60" w:after="60"/>
              <w:rPr>
                <w:rFonts w:ascii="Arial" w:hAnsi="Arial" w:cs="Arial"/>
                <w:sz w:val="16"/>
                <w:szCs w:val="16"/>
              </w:rPr>
            </w:pPr>
            <w:r>
              <w:rPr>
                <w:rFonts w:ascii="Arial" w:hAnsi="Arial" w:cs="Arial"/>
                <w:sz w:val="16"/>
                <w:szCs w:val="16"/>
              </w:rPr>
              <w:t xml:space="preserve">Retains </w:t>
            </w:r>
            <w:r w:rsidR="00B5661A">
              <w:rPr>
                <w:rFonts w:ascii="Arial" w:hAnsi="Arial" w:cs="Arial"/>
                <w:sz w:val="16"/>
                <w:szCs w:val="16"/>
              </w:rPr>
              <w:t>the requirement that the T</w:t>
            </w:r>
            <w:r>
              <w:rPr>
                <w:rFonts w:ascii="Arial" w:hAnsi="Arial" w:cs="Arial"/>
                <w:sz w:val="16"/>
                <w:szCs w:val="16"/>
              </w:rPr>
              <w:t>ender Documentation should clearly set out the terms and conditions applicable to the tender process.</w:t>
            </w:r>
          </w:p>
          <w:p w:rsidR="00B5661A" w:rsidRDefault="00B5661A" w:rsidP="00B5661A">
            <w:pPr>
              <w:spacing w:before="60" w:after="60"/>
              <w:rPr>
                <w:rFonts w:ascii="Arial" w:hAnsi="Arial" w:cs="Arial"/>
                <w:sz w:val="16"/>
                <w:szCs w:val="16"/>
              </w:rPr>
            </w:pPr>
            <w:r>
              <w:rPr>
                <w:rFonts w:ascii="Arial" w:hAnsi="Arial" w:cs="Arial"/>
                <w:sz w:val="16"/>
                <w:szCs w:val="16"/>
              </w:rPr>
              <w:t>Retains the requirement to avoid making changes to the Tender Documentation and to consider the need to extend to the tender period when changes arise close to the tender closing time.</w:t>
            </w:r>
          </w:p>
        </w:tc>
      </w:tr>
      <w:tr w:rsidR="00EB1FEF" w:rsidRPr="00B97DEA" w:rsidTr="00092BEC">
        <w:trPr>
          <w:cantSplit/>
        </w:trPr>
        <w:tc>
          <w:tcPr>
            <w:tcW w:w="1809" w:type="dxa"/>
          </w:tcPr>
          <w:p w:rsidR="00EB1FEF" w:rsidRDefault="00B5661A" w:rsidP="005E3920">
            <w:pPr>
              <w:spacing w:before="60" w:after="60"/>
              <w:rPr>
                <w:rFonts w:ascii="Arial" w:hAnsi="Arial" w:cs="Arial"/>
                <w:sz w:val="16"/>
                <w:szCs w:val="16"/>
              </w:rPr>
            </w:pPr>
            <w:r>
              <w:rPr>
                <w:rFonts w:ascii="Arial" w:hAnsi="Arial" w:cs="Arial"/>
                <w:sz w:val="16"/>
                <w:szCs w:val="16"/>
              </w:rPr>
              <w:t>Evaluation criteria</w:t>
            </w:r>
          </w:p>
        </w:tc>
        <w:tc>
          <w:tcPr>
            <w:tcW w:w="1418" w:type="dxa"/>
          </w:tcPr>
          <w:p w:rsidR="005E3920" w:rsidRDefault="00B5661A" w:rsidP="005E3920">
            <w:pPr>
              <w:spacing w:before="60" w:after="60"/>
              <w:rPr>
                <w:rFonts w:ascii="Arial" w:hAnsi="Arial" w:cs="Arial"/>
                <w:sz w:val="16"/>
                <w:szCs w:val="16"/>
              </w:rPr>
            </w:pPr>
            <w:r>
              <w:rPr>
                <w:rFonts w:ascii="Arial" w:hAnsi="Arial" w:cs="Arial"/>
                <w:sz w:val="16"/>
                <w:szCs w:val="16"/>
              </w:rPr>
              <w:t>GMD1 cl 2.3.5</w:t>
            </w:r>
          </w:p>
          <w:p w:rsidR="00583B48" w:rsidRDefault="00583B48" w:rsidP="005E3920">
            <w:pPr>
              <w:spacing w:before="60" w:after="60"/>
              <w:rPr>
                <w:rFonts w:ascii="Arial" w:hAnsi="Arial" w:cs="Arial"/>
                <w:sz w:val="16"/>
                <w:szCs w:val="16"/>
              </w:rPr>
            </w:pPr>
            <w:r>
              <w:rPr>
                <w:rFonts w:ascii="Arial" w:hAnsi="Arial" w:cs="Arial"/>
                <w:sz w:val="16"/>
                <w:szCs w:val="16"/>
              </w:rPr>
              <w:t>GMD1 cl 4.3</w:t>
            </w:r>
          </w:p>
          <w:p w:rsidR="00EB1FEF" w:rsidRDefault="005E3920" w:rsidP="005E3920">
            <w:pPr>
              <w:spacing w:before="60" w:after="60"/>
              <w:rPr>
                <w:rFonts w:ascii="Arial" w:hAnsi="Arial" w:cs="Arial"/>
                <w:sz w:val="16"/>
                <w:szCs w:val="16"/>
              </w:rPr>
            </w:pPr>
            <w:r>
              <w:rPr>
                <w:rFonts w:ascii="Arial" w:hAnsi="Arial" w:cs="Arial"/>
                <w:sz w:val="16"/>
                <w:szCs w:val="16"/>
              </w:rPr>
              <w:t>GMD1 App A</w:t>
            </w:r>
          </w:p>
          <w:p w:rsidR="005E3920" w:rsidRDefault="005E3920" w:rsidP="005E3920">
            <w:pPr>
              <w:spacing w:before="60" w:after="60"/>
              <w:rPr>
                <w:rFonts w:ascii="Arial" w:hAnsi="Arial" w:cs="Arial"/>
                <w:sz w:val="16"/>
                <w:szCs w:val="16"/>
              </w:rPr>
            </w:pPr>
            <w:r>
              <w:rPr>
                <w:rFonts w:ascii="Arial" w:hAnsi="Arial" w:cs="Arial"/>
                <w:sz w:val="16"/>
                <w:szCs w:val="16"/>
              </w:rPr>
              <w:t>GMD1 App B</w:t>
            </w:r>
          </w:p>
        </w:tc>
        <w:tc>
          <w:tcPr>
            <w:tcW w:w="1417" w:type="dxa"/>
          </w:tcPr>
          <w:p w:rsidR="00EB1FEF" w:rsidRDefault="00B5661A" w:rsidP="005E3920">
            <w:pPr>
              <w:spacing w:before="60" w:after="60"/>
              <w:rPr>
                <w:rFonts w:ascii="Arial" w:hAnsi="Arial" w:cs="Arial"/>
                <w:sz w:val="16"/>
                <w:szCs w:val="16"/>
              </w:rPr>
            </w:pPr>
            <w:r>
              <w:rPr>
                <w:rFonts w:ascii="Arial" w:hAnsi="Arial" w:cs="Arial"/>
                <w:sz w:val="16"/>
                <w:szCs w:val="16"/>
              </w:rPr>
              <w:t>Dir 3.7</w:t>
            </w:r>
          </w:p>
          <w:p w:rsidR="00B5661A" w:rsidRDefault="00B5661A" w:rsidP="005E3920">
            <w:pPr>
              <w:spacing w:before="60" w:after="60"/>
              <w:rPr>
                <w:rFonts w:ascii="Arial" w:hAnsi="Arial" w:cs="Arial"/>
                <w:sz w:val="16"/>
                <w:szCs w:val="16"/>
              </w:rPr>
            </w:pPr>
            <w:r>
              <w:rPr>
                <w:rFonts w:ascii="Arial" w:hAnsi="Arial" w:cs="Arial"/>
                <w:sz w:val="16"/>
                <w:szCs w:val="16"/>
              </w:rPr>
              <w:t>Inst 3.7</w:t>
            </w:r>
          </w:p>
          <w:p w:rsidR="00B5661A" w:rsidRDefault="00B5661A" w:rsidP="005E3920">
            <w:pPr>
              <w:spacing w:before="60" w:after="60"/>
              <w:rPr>
                <w:rFonts w:ascii="Arial" w:hAnsi="Arial" w:cs="Arial"/>
                <w:sz w:val="16"/>
                <w:szCs w:val="16"/>
              </w:rPr>
            </w:pPr>
            <w:r>
              <w:rPr>
                <w:rFonts w:ascii="Arial" w:hAnsi="Arial" w:cs="Arial"/>
                <w:sz w:val="16"/>
                <w:szCs w:val="16"/>
              </w:rPr>
              <w:t>Inst 2.1</w:t>
            </w:r>
          </w:p>
        </w:tc>
        <w:tc>
          <w:tcPr>
            <w:tcW w:w="9530" w:type="dxa"/>
          </w:tcPr>
          <w:p w:rsidR="00EB1FEF" w:rsidRDefault="00B5661A" w:rsidP="005E3920">
            <w:pPr>
              <w:spacing w:before="60" w:after="60"/>
              <w:rPr>
                <w:rFonts w:ascii="Arial" w:hAnsi="Arial" w:cs="Arial"/>
                <w:sz w:val="16"/>
                <w:szCs w:val="16"/>
              </w:rPr>
            </w:pPr>
            <w:r>
              <w:rPr>
                <w:rFonts w:ascii="Arial" w:hAnsi="Arial" w:cs="Arial"/>
                <w:sz w:val="16"/>
                <w:szCs w:val="16"/>
              </w:rPr>
              <w:t>Retains the requirement to disclose the evaluation criteria.</w:t>
            </w:r>
          </w:p>
          <w:p w:rsidR="00A60853" w:rsidRDefault="00A60853" w:rsidP="005E3920">
            <w:pPr>
              <w:spacing w:before="60" w:after="60"/>
              <w:rPr>
                <w:rFonts w:ascii="Arial" w:hAnsi="Arial" w:cs="Arial"/>
                <w:sz w:val="16"/>
                <w:szCs w:val="16"/>
              </w:rPr>
            </w:pPr>
            <w:r>
              <w:rPr>
                <w:rFonts w:ascii="Arial" w:hAnsi="Arial" w:cs="Arial"/>
                <w:sz w:val="16"/>
                <w:szCs w:val="16"/>
              </w:rPr>
              <w:t xml:space="preserve">Retains mandatory evaluation criteria for </w:t>
            </w:r>
            <w:r w:rsidR="005E3920">
              <w:rPr>
                <w:rFonts w:ascii="Arial" w:hAnsi="Arial" w:cs="Arial"/>
                <w:sz w:val="16"/>
                <w:szCs w:val="16"/>
              </w:rPr>
              <w:t xml:space="preserve">value for money, </w:t>
            </w:r>
            <w:r>
              <w:rPr>
                <w:rFonts w:ascii="Arial" w:hAnsi="Arial" w:cs="Arial"/>
                <w:sz w:val="16"/>
                <w:szCs w:val="16"/>
              </w:rPr>
              <w:t>occupational health and safety management and industrial relations management.</w:t>
            </w:r>
          </w:p>
          <w:p w:rsidR="005E3920" w:rsidRDefault="005E3920" w:rsidP="005E3920">
            <w:pPr>
              <w:spacing w:before="60" w:after="60"/>
              <w:rPr>
                <w:rFonts w:ascii="Arial" w:hAnsi="Arial" w:cs="Arial"/>
                <w:sz w:val="16"/>
                <w:szCs w:val="16"/>
              </w:rPr>
            </w:pPr>
            <w:r>
              <w:rPr>
                <w:rFonts w:ascii="Arial" w:hAnsi="Arial" w:cs="Arial"/>
                <w:sz w:val="16"/>
                <w:szCs w:val="16"/>
              </w:rPr>
              <w:t>Raises the thresholds when the mandatory evaluation criteria for occupational health and safety management and industrial relations management apply:</w:t>
            </w:r>
          </w:p>
          <w:p w:rsidR="005E3920" w:rsidRDefault="005E3920" w:rsidP="005E3920">
            <w:pPr>
              <w:spacing w:before="60" w:after="60"/>
              <w:rPr>
                <w:rFonts w:ascii="Arial" w:hAnsi="Arial" w:cs="Arial"/>
                <w:sz w:val="16"/>
                <w:szCs w:val="16"/>
              </w:rPr>
            </w:pPr>
            <w:r>
              <w:rPr>
                <w:rFonts w:ascii="Arial" w:hAnsi="Arial" w:cs="Arial"/>
                <w:sz w:val="16"/>
                <w:szCs w:val="16"/>
              </w:rPr>
              <w:t>Works (all values inclusive of GST)</w:t>
            </w:r>
          </w:p>
          <w:p w:rsidR="005E3920" w:rsidRDefault="005E3920" w:rsidP="005E3920">
            <w:pPr>
              <w:pStyle w:val="ListParagraph"/>
              <w:numPr>
                <w:ilvl w:val="0"/>
                <w:numId w:val="12"/>
              </w:numPr>
              <w:tabs>
                <w:tab w:val="left" w:pos="5137"/>
              </w:tabs>
              <w:spacing w:before="60" w:after="60"/>
              <w:rPr>
                <w:rFonts w:ascii="Arial" w:hAnsi="Arial" w:cs="Arial"/>
                <w:sz w:val="16"/>
                <w:szCs w:val="16"/>
              </w:rPr>
            </w:pPr>
            <w:r>
              <w:rPr>
                <w:rFonts w:ascii="Arial" w:hAnsi="Arial" w:cs="Arial"/>
                <w:sz w:val="16"/>
                <w:szCs w:val="16"/>
              </w:rPr>
              <w:t>Occupation health and safety management</w:t>
            </w:r>
            <w:r>
              <w:rPr>
                <w:rFonts w:ascii="Arial" w:hAnsi="Arial" w:cs="Arial"/>
                <w:sz w:val="16"/>
                <w:szCs w:val="16"/>
              </w:rPr>
              <w:tab/>
              <w:t>new threshold $500,000, formerly $200,000.</w:t>
            </w:r>
          </w:p>
          <w:p w:rsidR="005E3920" w:rsidRDefault="005E3920" w:rsidP="005E3920">
            <w:pPr>
              <w:pStyle w:val="ListParagraph"/>
              <w:numPr>
                <w:ilvl w:val="0"/>
                <w:numId w:val="12"/>
              </w:numPr>
              <w:tabs>
                <w:tab w:val="left" w:pos="5137"/>
              </w:tabs>
              <w:spacing w:before="60" w:after="60"/>
              <w:rPr>
                <w:rFonts w:ascii="Arial" w:hAnsi="Arial" w:cs="Arial"/>
                <w:sz w:val="16"/>
                <w:szCs w:val="16"/>
              </w:rPr>
            </w:pPr>
            <w:r>
              <w:rPr>
                <w:rFonts w:ascii="Arial" w:hAnsi="Arial" w:cs="Arial"/>
                <w:sz w:val="16"/>
                <w:szCs w:val="16"/>
              </w:rPr>
              <w:t>Industrial relations management</w:t>
            </w:r>
            <w:r>
              <w:rPr>
                <w:rFonts w:ascii="Arial" w:hAnsi="Arial" w:cs="Arial"/>
                <w:sz w:val="16"/>
                <w:szCs w:val="16"/>
              </w:rPr>
              <w:tab/>
              <w:t>new threshold $200,000, formerly $150,000.</w:t>
            </w:r>
          </w:p>
          <w:p w:rsidR="005E3920" w:rsidRDefault="005E3920" w:rsidP="005E3920">
            <w:pPr>
              <w:tabs>
                <w:tab w:val="left" w:pos="5137"/>
              </w:tabs>
              <w:spacing w:before="60" w:after="60"/>
              <w:rPr>
                <w:rFonts w:ascii="Arial" w:hAnsi="Arial" w:cs="Arial"/>
                <w:sz w:val="16"/>
                <w:szCs w:val="16"/>
              </w:rPr>
            </w:pPr>
            <w:r>
              <w:rPr>
                <w:rFonts w:ascii="Arial" w:hAnsi="Arial" w:cs="Arial"/>
                <w:sz w:val="16"/>
                <w:szCs w:val="16"/>
              </w:rPr>
              <w:t>Construction Services (all values inclusive of GST)</w:t>
            </w:r>
          </w:p>
          <w:p w:rsidR="005E3920" w:rsidRDefault="005E3920" w:rsidP="005E3920">
            <w:pPr>
              <w:pStyle w:val="ListParagraph"/>
              <w:numPr>
                <w:ilvl w:val="0"/>
                <w:numId w:val="12"/>
              </w:numPr>
              <w:tabs>
                <w:tab w:val="left" w:pos="5137"/>
              </w:tabs>
              <w:spacing w:before="60" w:after="60"/>
              <w:rPr>
                <w:rFonts w:ascii="Arial" w:hAnsi="Arial" w:cs="Arial"/>
                <w:sz w:val="16"/>
                <w:szCs w:val="16"/>
              </w:rPr>
            </w:pPr>
            <w:r>
              <w:rPr>
                <w:rFonts w:ascii="Arial" w:hAnsi="Arial" w:cs="Arial"/>
                <w:sz w:val="16"/>
                <w:szCs w:val="16"/>
              </w:rPr>
              <w:t>Occupation health and safety management</w:t>
            </w:r>
            <w:r>
              <w:rPr>
                <w:rFonts w:ascii="Arial" w:hAnsi="Arial" w:cs="Arial"/>
                <w:sz w:val="16"/>
                <w:szCs w:val="16"/>
              </w:rPr>
              <w:tab/>
              <w:t>new threshold $200,000, formerly $150,000.</w:t>
            </w:r>
          </w:p>
          <w:p w:rsidR="00583B48" w:rsidRDefault="00583B48" w:rsidP="00B5661A">
            <w:pPr>
              <w:spacing w:before="60" w:after="60"/>
              <w:rPr>
                <w:rFonts w:ascii="Arial" w:hAnsi="Arial" w:cs="Arial"/>
                <w:sz w:val="16"/>
                <w:szCs w:val="16"/>
              </w:rPr>
            </w:pPr>
            <w:r>
              <w:rPr>
                <w:rFonts w:ascii="Arial" w:hAnsi="Arial" w:cs="Arial"/>
                <w:sz w:val="16"/>
                <w:szCs w:val="16"/>
              </w:rPr>
              <w:t>Retains approved assurance systems that may be cited as evidence of complying with the mandatory evaluation criteria.</w:t>
            </w:r>
          </w:p>
          <w:p w:rsidR="00583B48" w:rsidRDefault="00583B48" w:rsidP="00B5661A">
            <w:pPr>
              <w:spacing w:before="60" w:after="60"/>
              <w:rPr>
                <w:rFonts w:ascii="Arial" w:hAnsi="Arial" w:cs="Arial"/>
                <w:sz w:val="16"/>
                <w:szCs w:val="16"/>
              </w:rPr>
            </w:pPr>
            <w:r>
              <w:rPr>
                <w:rFonts w:ascii="Arial" w:hAnsi="Arial" w:cs="Arial"/>
                <w:sz w:val="16"/>
                <w:szCs w:val="16"/>
              </w:rPr>
              <w:t xml:space="preserve">Guidance on recommended evaluation criteria is retained in </w:t>
            </w:r>
            <w:r w:rsidR="009A4D80">
              <w:rPr>
                <w:rFonts w:ascii="Arial" w:hAnsi="Arial" w:cs="Arial"/>
                <w:sz w:val="16"/>
                <w:szCs w:val="16"/>
              </w:rPr>
              <w:t>Evaluation criteria (</w:t>
            </w:r>
            <w:r>
              <w:rPr>
                <w:rFonts w:ascii="Arial" w:hAnsi="Arial" w:cs="Arial"/>
                <w:sz w:val="16"/>
                <w:szCs w:val="16"/>
              </w:rPr>
              <w:t>Guidance 3.7</w:t>
            </w:r>
            <w:r w:rsidR="009A4D80">
              <w:rPr>
                <w:rFonts w:ascii="Arial" w:hAnsi="Arial" w:cs="Arial"/>
                <w:sz w:val="16"/>
                <w:szCs w:val="16"/>
              </w:rPr>
              <w:t>)</w:t>
            </w:r>
            <w:r>
              <w:rPr>
                <w:rFonts w:ascii="Arial" w:hAnsi="Arial" w:cs="Arial"/>
                <w:sz w:val="16"/>
                <w:szCs w:val="16"/>
              </w:rPr>
              <w:t>.</w:t>
            </w:r>
          </w:p>
          <w:p w:rsidR="00B5661A" w:rsidRDefault="00B5661A" w:rsidP="00B5661A">
            <w:pPr>
              <w:spacing w:before="60" w:after="60"/>
              <w:rPr>
                <w:rFonts w:ascii="Arial" w:hAnsi="Arial" w:cs="Arial"/>
                <w:sz w:val="16"/>
                <w:szCs w:val="16"/>
              </w:rPr>
            </w:pPr>
            <w:r>
              <w:rPr>
                <w:rFonts w:ascii="Arial" w:hAnsi="Arial" w:cs="Arial"/>
                <w:sz w:val="16"/>
                <w:szCs w:val="16"/>
              </w:rPr>
              <w:t>Cla</w:t>
            </w:r>
            <w:r w:rsidR="00C93D7D">
              <w:rPr>
                <w:rFonts w:ascii="Arial" w:hAnsi="Arial" w:cs="Arial"/>
                <w:sz w:val="16"/>
                <w:szCs w:val="16"/>
              </w:rPr>
              <w:t>rifies that Agencies may, but are</w:t>
            </w:r>
            <w:r>
              <w:rPr>
                <w:rFonts w:ascii="Arial" w:hAnsi="Arial" w:cs="Arial"/>
                <w:sz w:val="16"/>
                <w:szCs w:val="16"/>
              </w:rPr>
              <w:t xml:space="preserve"> </w:t>
            </w:r>
            <w:r w:rsidR="00C93D7D">
              <w:rPr>
                <w:rFonts w:ascii="Arial" w:hAnsi="Arial" w:cs="Arial"/>
                <w:sz w:val="16"/>
                <w:szCs w:val="16"/>
              </w:rPr>
              <w:t>not required to</w:t>
            </w:r>
            <w:r w:rsidR="005E3920">
              <w:rPr>
                <w:rFonts w:ascii="Arial" w:hAnsi="Arial" w:cs="Arial"/>
                <w:sz w:val="16"/>
                <w:szCs w:val="16"/>
              </w:rPr>
              <w:t>,</w:t>
            </w:r>
            <w:r>
              <w:rPr>
                <w:rFonts w:ascii="Arial" w:hAnsi="Arial" w:cs="Arial"/>
                <w:sz w:val="16"/>
                <w:szCs w:val="16"/>
              </w:rPr>
              <w:t xml:space="preserve"> provide tender participants with guidance about the evaluation criteria and indication of the relative importance or weighting of the evaluation criteria, unless the procurement is a covered procurement under an International Agreement.</w:t>
            </w:r>
          </w:p>
        </w:tc>
      </w:tr>
      <w:tr w:rsidR="00EB1FEF" w:rsidRPr="00B97DEA" w:rsidTr="00092BEC">
        <w:trPr>
          <w:cantSplit/>
        </w:trPr>
        <w:tc>
          <w:tcPr>
            <w:tcW w:w="1809" w:type="dxa"/>
          </w:tcPr>
          <w:p w:rsidR="00EB1FEF" w:rsidRDefault="00CD43E4" w:rsidP="005E3920">
            <w:pPr>
              <w:spacing w:before="60" w:after="60"/>
              <w:rPr>
                <w:rFonts w:ascii="Arial" w:hAnsi="Arial" w:cs="Arial"/>
                <w:sz w:val="16"/>
                <w:szCs w:val="16"/>
              </w:rPr>
            </w:pPr>
            <w:r>
              <w:rPr>
                <w:rFonts w:ascii="Arial" w:hAnsi="Arial" w:cs="Arial"/>
                <w:sz w:val="16"/>
                <w:szCs w:val="16"/>
              </w:rPr>
              <w:lastRenderedPageBreak/>
              <w:t>Probity requirements</w:t>
            </w:r>
          </w:p>
        </w:tc>
        <w:tc>
          <w:tcPr>
            <w:tcW w:w="1418" w:type="dxa"/>
          </w:tcPr>
          <w:p w:rsidR="00EB1FEF" w:rsidRDefault="00CD43E4" w:rsidP="005E3920">
            <w:pPr>
              <w:spacing w:before="60" w:after="60"/>
              <w:rPr>
                <w:rFonts w:ascii="Arial" w:hAnsi="Arial" w:cs="Arial"/>
                <w:sz w:val="16"/>
                <w:szCs w:val="16"/>
              </w:rPr>
            </w:pPr>
            <w:r>
              <w:rPr>
                <w:rFonts w:ascii="Arial" w:hAnsi="Arial" w:cs="Arial"/>
                <w:sz w:val="16"/>
                <w:szCs w:val="16"/>
              </w:rPr>
              <w:t>GMD1 cl 2.4</w:t>
            </w:r>
          </w:p>
        </w:tc>
        <w:tc>
          <w:tcPr>
            <w:tcW w:w="1417" w:type="dxa"/>
          </w:tcPr>
          <w:p w:rsidR="00EB1FEF" w:rsidRDefault="00CD43E4" w:rsidP="005E3920">
            <w:pPr>
              <w:spacing w:before="60" w:after="60"/>
              <w:rPr>
                <w:rFonts w:ascii="Arial" w:hAnsi="Arial" w:cs="Arial"/>
                <w:sz w:val="16"/>
                <w:szCs w:val="16"/>
              </w:rPr>
            </w:pPr>
            <w:r>
              <w:rPr>
                <w:rFonts w:ascii="Arial" w:hAnsi="Arial" w:cs="Arial"/>
                <w:sz w:val="16"/>
                <w:szCs w:val="16"/>
              </w:rPr>
              <w:t>Dir 4.1</w:t>
            </w:r>
          </w:p>
          <w:p w:rsidR="00CD43E4" w:rsidRDefault="00CD43E4" w:rsidP="005E3920">
            <w:pPr>
              <w:spacing w:before="60" w:after="60"/>
              <w:rPr>
                <w:rFonts w:ascii="Arial" w:hAnsi="Arial" w:cs="Arial"/>
                <w:sz w:val="16"/>
                <w:szCs w:val="16"/>
              </w:rPr>
            </w:pPr>
            <w:r>
              <w:rPr>
                <w:rFonts w:ascii="Arial" w:hAnsi="Arial" w:cs="Arial"/>
                <w:sz w:val="16"/>
                <w:szCs w:val="16"/>
              </w:rPr>
              <w:t>Inst 4.1</w:t>
            </w:r>
          </w:p>
          <w:p w:rsidR="001E71FA" w:rsidRDefault="001E71FA" w:rsidP="005E3920">
            <w:pPr>
              <w:spacing w:before="60" w:after="60"/>
              <w:rPr>
                <w:rFonts w:ascii="Arial" w:hAnsi="Arial" w:cs="Arial"/>
                <w:sz w:val="16"/>
                <w:szCs w:val="16"/>
              </w:rPr>
            </w:pPr>
            <w:r>
              <w:rPr>
                <w:rFonts w:ascii="Arial" w:hAnsi="Arial" w:cs="Arial"/>
                <w:sz w:val="16"/>
                <w:szCs w:val="16"/>
              </w:rPr>
              <w:t>Dir 4.2</w:t>
            </w:r>
          </w:p>
          <w:p w:rsidR="001E71FA" w:rsidRDefault="001E71FA" w:rsidP="005E3920">
            <w:pPr>
              <w:spacing w:before="60" w:after="60"/>
              <w:rPr>
                <w:rFonts w:ascii="Arial" w:hAnsi="Arial" w:cs="Arial"/>
                <w:sz w:val="16"/>
                <w:szCs w:val="16"/>
              </w:rPr>
            </w:pPr>
            <w:r>
              <w:rPr>
                <w:rFonts w:ascii="Arial" w:hAnsi="Arial" w:cs="Arial"/>
                <w:sz w:val="16"/>
                <w:szCs w:val="16"/>
              </w:rPr>
              <w:t>Inst 4.2</w:t>
            </w:r>
          </w:p>
        </w:tc>
        <w:tc>
          <w:tcPr>
            <w:tcW w:w="9530" w:type="dxa"/>
          </w:tcPr>
          <w:p w:rsidR="00CD43E4" w:rsidRDefault="00CD43E4" w:rsidP="00CD43E4">
            <w:pPr>
              <w:spacing w:before="60" w:after="60"/>
              <w:rPr>
                <w:rFonts w:ascii="Arial" w:hAnsi="Arial" w:cs="Arial"/>
                <w:sz w:val="16"/>
                <w:szCs w:val="16"/>
              </w:rPr>
            </w:pPr>
            <w:r>
              <w:rPr>
                <w:rFonts w:ascii="Arial" w:hAnsi="Arial" w:cs="Arial"/>
                <w:sz w:val="16"/>
                <w:szCs w:val="16"/>
              </w:rPr>
              <w:t>Retains the requirements to:</w:t>
            </w:r>
          </w:p>
          <w:p w:rsidR="00EB1FEF" w:rsidRDefault="00CD43E4" w:rsidP="00CD43E4">
            <w:pPr>
              <w:pStyle w:val="ListParagraph"/>
              <w:numPr>
                <w:ilvl w:val="0"/>
                <w:numId w:val="15"/>
              </w:numPr>
              <w:spacing w:before="60" w:after="60"/>
              <w:rPr>
                <w:rFonts w:ascii="Arial" w:hAnsi="Arial" w:cs="Arial"/>
                <w:sz w:val="16"/>
                <w:szCs w:val="16"/>
              </w:rPr>
            </w:pPr>
            <w:r w:rsidRPr="00CD43E4">
              <w:rPr>
                <w:rFonts w:ascii="Arial" w:hAnsi="Arial" w:cs="Arial"/>
                <w:sz w:val="16"/>
                <w:szCs w:val="16"/>
              </w:rPr>
              <w:t xml:space="preserve">conduct procurement in a manner that meets public sector </w:t>
            </w:r>
            <w:r>
              <w:rPr>
                <w:rFonts w:ascii="Arial" w:hAnsi="Arial" w:cs="Arial"/>
                <w:sz w:val="16"/>
                <w:szCs w:val="16"/>
              </w:rPr>
              <w:t>probity requirements;</w:t>
            </w:r>
          </w:p>
          <w:p w:rsidR="00CD43E4" w:rsidRDefault="00CD43E4" w:rsidP="00CD43E4">
            <w:pPr>
              <w:pStyle w:val="ListParagraph"/>
              <w:numPr>
                <w:ilvl w:val="0"/>
                <w:numId w:val="15"/>
              </w:numPr>
              <w:spacing w:before="60" w:after="60"/>
              <w:rPr>
                <w:rFonts w:ascii="Arial" w:hAnsi="Arial" w:cs="Arial"/>
                <w:sz w:val="16"/>
                <w:szCs w:val="16"/>
              </w:rPr>
            </w:pPr>
            <w:r>
              <w:rPr>
                <w:rFonts w:ascii="Arial" w:hAnsi="Arial" w:cs="Arial"/>
                <w:sz w:val="16"/>
                <w:szCs w:val="16"/>
              </w:rPr>
              <w:t>treat tender participants fairly and equally; and</w:t>
            </w:r>
          </w:p>
          <w:p w:rsidR="00CD43E4" w:rsidRDefault="00CD43E4" w:rsidP="00CD43E4">
            <w:pPr>
              <w:pStyle w:val="ListParagraph"/>
              <w:numPr>
                <w:ilvl w:val="0"/>
                <w:numId w:val="15"/>
              </w:numPr>
              <w:spacing w:before="60" w:after="60"/>
              <w:rPr>
                <w:rFonts w:ascii="Arial" w:hAnsi="Arial" w:cs="Arial"/>
                <w:sz w:val="16"/>
                <w:szCs w:val="16"/>
              </w:rPr>
            </w:pPr>
            <w:r>
              <w:rPr>
                <w:rFonts w:ascii="Arial" w:hAnsi="Arial" w:cs="Arial"/>
                <w:sz w:val="16"/>
                <w:szCs w:val="16"/>
              </w:rPr>
              <w:t>maintain confidentiality of tender participant’s commercially sensitive information and intellectual property.</w:t>
            </w:r>
          </w:p>
          <w:p w:rsidR="00CD43E4" w:rsidRDefault="00CD43E4" w:rsidP="00CD43E4">
            <w:pPr>
              <w:spacing w:before="60" w:after="60"/>
              <w:rPr>
                <w:rFonts w:ascii="Arial" w:hAnsi="Arial" w:cs="Arial"/>
                <w:sz w:val="16"/>
                <w:szCs w:val="16"/>
              </w:rPr>
            </w:pPr>
            <w:r>
              <w:rPr>
                <w:rFonts w:ascii="Arial" w:hAnsi="Arial" w:cs="Arial"/>
                <w:sz w:val="16"/>
                <w:szCs w:val="16"/>
              </w:rPr>
              <w:t xml:space="preserve">Clarifies </w:t>
            </w:r>
            <w:r w:rsidR="00C93D7D">
              <w:rPr>
                <w:rFonts w:ascii="Arial" w:hAnsi="Arial" w:cs="Arial"/>
                <w:sz w:val="16"/>
                <w:szCs w:val="16"/>
              </w:rPr>
              <w:t xml:space="preserve">the requirement </w:t>
            </w:r>
            <w:r>
              <w:rPr>
                <w:rFonts w:ascii="Arial" w:hAnsi="Arial" w:cs="Arial"/>
                <w:sz w:val="16"/>
                <w:szCs w:val="16"/>
              </w:rPr>
              <w:t>that tender processes, negotiations, evaluation pro</w:t>
            </w:r>
            <w:r w:rsidR="00C93D7D">
              <w:rPr>
                <w:rFonts w:ascii="Arial" w:hAnsi="Arial" w:cs="Arial"/>
                <w:sz w:val="16"/>
                <w:szCs w:val="16"/>
              </w:rPr>
              <w:t xml:space="preserve">cesses and contract management </w:t>
            </w:r>
            <w:r>
              <w:rPr>
                <w:rFonts w:ascii="Arial" w:hAnsi="Arial" w:cs="Arial"/>
                <w:sz w:val="16"/>
                <w:szCs w:val="16"/>
              </w:rPr>
              <w:t>processes are auditable, transparent and accountable.</w:t>
            </w:r>
          </w:p>
          <w:p w:rsidR="00CD43E4" w:rsidRDefault="00CD43E4" w:rsidP="00CD43E4">
            <w:pPr>
              <w:spacing w:before="60" w:after="60"/>
              <w:rPr>
                <w:rFonts w:ascii="Arial" w:hAnsi="Arial" w:cs="Arial"/>
                <w:sz w:val="16"/>
                <w:szCs w:val="16"/>
              </w:rPr>
            </w:pPr>
            <w:r>
              <w:rPr>
                <w:rFonts w:ascii="Arial" w:hAnsi="Arial" w:cs="Arial"/>
                <w:sz w:val="16"/>
                <w:szCs w:val="16"/>
              </w:rPr>
              <w:t>Clarifies the requirement to proactively identify and manage conflicts of interest.</w:t>
            </w:r>
          </w:p>
          <w:p w:rsidR="00CD43E4" w:rsidRDefault="00CD43E4" w:rsidP="001E71FA">
            <w:pPr>
              <w:spacing w:before="60" w:after="60"/>
              <w:rPr>
                <w:rFonts w:ascii="Arial" w:hAnsi="Arial" w:cs="Arial"/>
                <w:sz w:val="16"/>
                <w:szCs w:val="16"/>
              </w:rPr>
            </w:pPr>
            <w:r>
              <w:rPr>
                <w:rFonts w:ascii="Arial" w:hAnsi="Arial" w:cs="Arial"/>
                <w:sz w:val="16"/>
                <w:szCs w:val="16"/>
              </w:rPr>
              <w:t xml:space="preserve">Retains </w:t>
            </w:r>
            <w:r w:rsidR="001E71FA">
              <w:rPr>
                <w:rFonts w:ascii="Arial" w:hAnsi="Arial" w:cs="Arial"/>
                <w:sz w:val="16"/>
                <w:szCs w:val="16"/>
              </w:rPr>
              <w:t xml:space="preserve">the </w:t>
            </w:r>
            <w:r>
              <w:rPr>
                <w:rFonts w:ascii="Arial" w:hAnsi="Arial" w:cs="Arial"/>
                <w:sz w:val="16"/>
                <w:szCs w:val="16"/>
              </w:rPr>
              <w:t xml:space="preserve">requirement to obtain commitments from tender participants </w:t>
            </w:r>
            <w:r w:rsidR="001E71FA">
              <w:rPr>
                <w:rFonts w:ascii="Arial" w:hAnsi="Arial" w:cs="Arial"/>
                <w:sz w:val="16"/>
                <w:szCs w:val="16"/>
              </w:rPr>
              <w:t>that they have acted fairly and honestly.</w:t>
            </w:r>
          </w:p>
          <w:p w:rsidR="001E71FA" w:rsidRPr="00CD43E4" w:rsidRDefault="001E71FA" w:rsidP="007D28DD">
            <w:pPr>
              <w:spacing w:before="60" w:after="60"/>
              <w:rPr>
                <w:rFonts w:ascii="Arial" w:hAnsi="Arial" w:cs="Arial"/>
                <w:sz w:val="16"/>
                <w:szCs w:val="16"/>
              </w:rPr>
            </w:pPr>
            <w:r>
              <w:rPr>
                <w:rFonts w:ascii="Arial" w:hAnsi="Arial" w:cs="Arial"/>
                <w:sz w:val="16"/>
                <w:szCs w:val="16"/>
              </w:rPr>
              <w:t xml:space="preserve">Makes explicit the long standing requirement to prepare a probity plan where the Works or Construction Services are likely to exceed </w:t>
            </w:r>
            <w:r w:rsidR="007D28DD">
              <w:rPr>
                <w:rFonts w:ascii="Arial" w:hAnsi="Arial" w:cs="Arial"/>
                <w:sz w:val="16"/>
                <w:szCs w:val="16"/>
              </w:rPr>
              <w:t>$</w:t>
            </w:r>
            <w:r>
              <w:rPr>
                <w:rFonts w:ascii="Arial" w:hAnsi="Arial" w:cs="Arial"/>
                <w:sz w:val="16"/>
                <w:szCs w:val="16"/>
              </w:rPr>
              <w:t xml:space="preserve">10 million </w:t>
            </w:r>
            <w:r w:rsidR="007D28DD">
              <w:rPr>
                <w:rFonts w:ascii="Arial" w:hAnsi="Arial" w:cs="Arial"/>
                <w:sz w:val="16"/>
                <w:szCs w:val="16"/>
              </w:rPr>
              <w:t xml:space="preserve">(inclusive of GST) </w:t>
            </w:r>
            <w:r>
              <w:rPr>
                <w:rFonts w:ascii="Arial" w:hAnsi="Arial" w:cs="Arial"/>
                <w:sz w:val="16"/>
                <w:szCs w:val="16"/>
              </w:rPr>
              <w:t>or is complex or otherwise high risk, applies to construction procurement.</w:t>
            </w:r>
          </w:p>
        </w:tc>
      </w:tr>
      <w:tr w:rsidR="00EB1FEF" w:rsidRPr="00B97DEA" w:rsidTr="00092BEC">
        <w:trPr>
          <w:cantSplit/>
        </w:trPr>
        <w:tc>
          <w:tcPr>
            <w:tcW w:w="1809" w:type="dxa"/>
          </w:tcPr>
          <w:p w:rsidR="00EB1FEF" w:rsidRDefault="001E71FA" w:rsidP="005E3920">
            <w:pPr>
              <w:spacing w:before="60" w:after="60"/>
              <w:rPr>
                <w:rFonts w:ascii="Arial" w:hAnsi="Arial" w:cs="Arial"/>
                <w:sz w:val="16"/>
                <w:szCs w:val="16"/>
              </w:rPr>
            </w:pPr>
            <w:r>
              <w:rPr>
                <w:rFonts w:ascii="Arial" w:hAnsi="Arial" w:cs="Arial"/>
                <w:sz w:val="16"/>
                <w:szCs w:val="16"/>
              </w:rPr>
              <w:t>Forward notices</w:t>
            </w:r>
          </w:p>
        </w:tc>
        <w:tc>
          <w:tcPr>
            <w:tcW w:w="1418" w:type="dxa"/>
          </w:tcPr>
          <w:p w:rsidR="00EB1FEF" w:rsidRDefault="00EB1FEF" w:rsidP="005E3920">
            <w:pPr>
              <w:spacing w:before="60" w:after="60"/>
              <w:rPr>
                <w:rFonts w:ascii="Arial" w:hAnsi="Arial" w:cs="Arial"/>
                <w:sz w:val="16"/>
                <w:szCs w:val="16"/>
              </w:rPr>
            </w:pPr>
          </w:p>
        </w:tc>
        <w:tc>
          <w:tcPr>
            <w:tcW w:w="1417" w:type="dxa"/>
          </w:tcPr>
          <w:p w:rsidR="00EB1FEF" w:rsidRDefault="001E71FA" w:rsidP="005E3920">
            <w:pPr>
              <w:spacing w:before="60" w:after="60"/>
              <w:rPr>
                <w:rFonts w:ascii="Arial" w:hAnsi="Arial" w:cs="Arial"/>
                <w:sz w:val="16"/>
                <w:szCs w:val="16"/>
              </w:rPr>
            </w:pPr>
            <w:r>
              <w:rPr>
                <w:rFonts w:ascii="Arial" w:hAnsi="Arial" w:cs="Arial"/>
                <w:sz w:val="16"/>
                <w:szCs w:val="16"/>
              </w:rPr>
              <w:t>Dir 5.1</w:t>
            </w:r>
          </w:p>
          <w:p w:rsidR="001E71FA" w:rsidRDefault="001E71FA" w:rsidP="005E3920">
            <w:pPr>
              <w:spacing w:before="60" w:after="60"/>
              <w:rPr>
                <w:rFonts w:ascii="Arial" w:hAnsi="Arial" w:cs="Arial"/>
                <w:sz w:val="16"/>
                <w:szCs w:val="16"/>
              </w:rPr>
            </w:pPr>
            <w:r>
              <w:rPr>
                <w:rFonts w:ascii="Arial" w:hAnsi="Arial" w:cs="Arial"/>
                <w:sz w:val="16"/>
                <w:szCs w:val="16"/>
              </w:rPr>
              <w:t>Inst 5.1</w:t>
            </w:r>
          </w:p>
        </w:tc>
        <w:tc>
          <w:tcPr>
            <w:tcW w:w="9530" w:type="dxa"/>
          </w:tcPr>
          <w:p w:rsidR="00EB1FEF" w:rsidRDefault="001E71FA" w:rsidP="001E71FA">
            <w:pPr>
              <w:spacing w:before="60" w:after="60"/>
              <w:rPr>
                <w:rFonts w:ascii="Arial" w:hAnsi="Arial" w:cs="Arial"/>
                <w:sz w:val="16"/>
                <w:szCs w:val="16"/>
              </w:rPr>
            </w:pPr>
            <w:r>
              <w:rPr>
                <w:rFonts w:ascii="Arial" w:hAnsi="Arial" w:cs="Arial"/>
                <w:sz w:val="16"/>
                <w:szCs w:val="16"/>
              </w:rPr>
              <w:t xml:space="preserve">New requirement to publish a forward notice, in advance of </w:t>
            </w:r>
            <w:r w:rsidR="00C93D7D">
              <w:rPr>
                <w:rFonts w:ascii="Arial" w:hAnsi="Arial" w:cs="Arial"/>
                <w:sz w:val="16"/>
                <w:szCs w:val="16"/>
              </w:rPr>
              <w:t>a</w:t>
            </w:r>
            <w:r>
              <w:rPr>
                <w:rFonts w:ascii="Arial" w:hAnsi="Arial" w:cs="Arial"/>
                <w:sz w:val="16"/>
                <w:szCs w:val="16"/>
              </w:rPr>
              <w:t xml:space="preserve"> Tender Notice, to promote competition and to allow potential tender participants to plan for and allocate resources to participate</w:t>
            </w:r>
            <w:r w:rsidR="005D3E1A">
              <w:rPr>
                <w:rFonts w:ascii="Arial" w:hAnsi="Arial" w:cs="Arial"/>
                <w:sz w:val="16"/>
                <w:szCs w:val="16"/>
              </w:rPr>
              <w:t xml:space="preserve"> in</w:t>
            </w:r>
            <w:r>
              <w:rPr>
                <w:rFonts w:ascii="Arial" w:hAnsi="Arial" w:cs="Arial"/>
                <w:sz w:val="16"/>
                <w:szCs w:val="16"/>
              </w:rPr>
              <w:t xml:space="preserve"> the tender processes.</w:t>
            </w:r>
          </w:p>
          <w:p w:rsidR="001E71FA" w:rsidRDefault="001E71FA" w:rsidP="001E71FA">
            <w:pPr>
              <w:spacing w:before="60" w:after="60"/>
              <w:rPr>
                <w:rFonts w:ascii="Arial" w:hAnsi="Arial" w:cs="Arial"/>
                <w:sz w:val="16"/>
                <w:szCs w:val="16"/>
              </w:rPr>
            </w:pPr>
            <w:r>
              <w:rPr>
                <w:rFonts w:ascii="Arial" w:hAnsi="Arial" w:cs="Arial"/>
                <w:sz w:val="16"/>
                <w:szCs w:val="16"/>
              </w:rPr>
              <w:t xml:space="preserve">The format and content of forward notices are described in </w:t>
            </w:r>
            <w:r w:rsidR="00D24221">
              <w:rPr>
                <w:rFonts w:ascii="Arial" w:hAnsi="Arial" w:cs="Arial"/>
                <w:sz w:val="16"/>
                <w:szCs w:val="16"/>
              </w:rPr>
              <w:t>Forward notice (</w:t>
            </w:r>
            <w:r>
              <w:rPr>
                <w:rFonts w:ascii="Arial" w:hAnsi="Arial" w:cs="Arial"/>
                <w:sz w:val="16"/>
                <w:szCs w:val="16"/>
              </w:rPr>
              <w:t>Instruction 5.1</w:t>
            </w:r>
            <w:r w:rsidR="00D24221">
              <w:rPr>
                <w:rFonts w:ascii="Arial" w:hAnsi="Arial" w:cs="Arial"/>
                <w:sz w:val="16"/>
                <w:szCs w:val="16"/>
              </w:rPr>
              <w:t>)</w:t>
            </w:r>
            <w:r>
              <w:rPr>
                <w:rFonts w:ascii="Arial" w:hAnsi="Arial" w:cs="Arial"/>
                <w:sz w:val="16"/>
                <w:szCs w:val="16"/>
              </w:rPr>
              <w:t>.</w:t>
            </w:r>
          </w:p>
          <w:p w:rsidR="001E71FA" w:rsidRDefault="001E71FA" w:rsidP="001E71FA">
            <w:pPr>
              <w:spacing w:before="60" w:after="60"/>
              <w:rPr>
                <w:rFonts w:ascii="Arial" w:hAnsi="Arial" w:cs="Arial"/>
                <w:sz w:val="16"/>
                <w:szCs w:val="16"/>
              </w:rPr>
            </w:pPr>
            <w:r>
              <w:rPr>
                <w:rFonts w:ascii="Arial" w:hAnsi="Arial" w:cs="Arial"/>
                <w:sz w:val="16"/>
                <w:szCs w:val="16"/>
              </w:rPr>
              <w:t>Forward notices must be plac</w:t>
            </w:r>
            <w:r w:rsidR="00C93D7D">
              <w:rPr>
                <w:rFonts w:ascii="Arial" w:hAnsi="Arial" w:cs="Arial"/>
                <w:sz w:val="16"/>
                <w:szCs w:val="16"/>
              </w:rPr>
              <w:t xml:space="preserve">ed on </w:t>
            </w:r>
            <w:r w:rsidR="006B3779">
              <w:rPr>
                <w:rFonts w:ascii="Arial" w:hAnsi="Arial" w:cs="Arial"/>
                <w:sz w:val="16"/>
                <w:szCs w:val="16"/>
              </w:rPr>
              <w:t xml:space="preserve">the </w:t>
            </w:r>
            <w:r w:rsidR="00C93D7D">
              <w:rPr>
                <w:rFonts w:ascii="Arial" w:hAnsi="Arial" w:cs="Arial"/>
                <w:sz w:val="16"/>
                <w:szCs w:val="16"/>
              </w:rPr>
              <w:t>website</w:t>
            </w:r>
            <w:r w:rsidR="006B3779">
              <w:rPr>
                <w:rFonts w:ascii="Arial" w:hAnsi="Arial" w:cs="Arial"/>
                <w:sz w:val="16"/>
                <w:szCs w:val="16"/>
              </w:rPr>
              <w:t xml:space="preserve"> or syst</w:t>
            </w:r>
            <w:r w:rsidR="004B613C">
              <w:rPr>
                <w:rFonts w:ascii="Arial" w:hAnsi="Arial" w:cs="Arial"/>
                <w:sz w:val="16"/>
                <w:szCs w:val="16"/>
              </w:rPr>
              <w:t>em nominated by the Secretary of</w:t>
            </w:r>
            <w:r w:rsidR="006B3779">
              <w:rPr>
                <w:rFonts w:ascii="Arial" w:hAnsi="Arial" w:cs="Arial"/>
                <w:sz w:val="16"/>
                <w:szCs w:val="16"/>
              </w:rPr>
              <w:t xml:space="preserve"> the Department of Treasury and Finance</w:t>
            </w:r>
            <w:r w:rsidR="00582D43">
              <w:rPr>
                <w:rFonts w:ascii="Arial" w:hAnsi="Arial" w:cs="Arial"/>
                <w:sz w:val="16"/>
                <w:szCs w:val="16"/>
              </w:rPr>
              <w:t>, currently Tenders VIC</w:t>
            </w:r>
            <w:r w:rsidR="00C93D7D">
              <w:rPr>
                <w:rFonts w:ascii="Arial" w:hAnsi="Arial" w:cs="Arial"/>
                <w:sz w:val="16"/>
                <w:szCs w:val="16"/>
              </w:rPr>
              <w:t xml:space="preserve">. </w:t>
            </w:r>
            <w:r>
              <w:rPr>
                <w:rFonts w:ascii="Arial" w:hAnsi="Arial" w:cs="Arial"/>
                <w:sz w:val="16"/>
                <w:szCs w:val="16"/>
              </w:rPr>
              <w:t xml:space="preserve">Other means of publication may also be used, </w:t>
            </w:r>
            <w:r w:rsidRPr="00582D43">
              <w:rPr>
                <w:rFonts w:ascii="Arial" w:hAnsi="Arial" w:cs="Arial"/>
                <w:sz w:val="16"/>
                <w:szCs w:val="16"/>
              </w:rPr>
              <w:t>in addition to Tenders VIC.</w:t>
            </w:r>
          </w:p>
          <w:p w:rsidR="001E71FA" w:rsidRDefault="001E71FA" w:rsidP="006B3779">
            <w:pPr>
              <w:spacing w:before="60" w:after="60"/>
              <w:rPr>
                <w:rFonts w:ascii="Arial" w:hAnsi="Arial" w:cs="Arial"/>
                <w:sz w:val="16"/>
                <w:szCs w:val="16"/>
              </w:rPr>
            </w:pPr>
            <w:r>
              <w:rPr>
                <w:rFonts w:ascii="Arial" w:hAnsi="Arial" w:cs="Arial"/>
                <w:sz w:val="16"/>
                <w:szCs w:val="16"/>
              </w:rPr>
              <w:t xml:space="preserve">To avoid doubt, the requirement to use the </w:t>
            </w:r>
            <w:r w:rsidR="006B3779">
              <w:rPr>
                <w:rFonts w:ascii="Arial" w:hAnsi="Arial" w:cs="Arial"/>
                <w:sz w:val="16"/>
                <w:szCs w:val="16"/>
              </w:rPr>
              <w:t xml:space="preserve">nominated website of system </w:t>
            </w:r>
            <w:r>
              <w:rPr>
                <w:rFonts w:ascii="Arial" w:hAnsi="Arial" w:cs="Arial"/>
                <w:sz w:val="16"/>
                <w:szCs w:val="16"/>
              </w:rPr>
              <w:t>refers to the publicati</w:t>
            </w:r>
            <w:r w:rsidR="00C93D7D">
              <w:rPr>
                <w:rFonts w:ascii="Arial" w:hAnsi="Arial" w:cs="Arial"/>
                <w:sz w:val="16"/>
                <w:szCs w:val="16"/>
              </w:rPr>
              <w:t xml:space="preserve">on of the forward notice only. </w:t>
            </w:r>
            <w:r>
              <w:rPr>
                <w:rFonts w:ascii="Arial" w:hAnsi="Arial" w:cs="Arial"/>
                <w:sz w:val="16"/>
                <w:szCs w:val="16"/>
              </w:rPr>
              <w:t>The Ministerial Directions do not set any requirement for the location or method for submitting tenders.</w:t>
            </w:r>
          </w:p>
        </w:tc>
      </w:tr>
      <w:tr w:rsidR="00EB1FEF" w:rsidRPr="00B97DEA" w:rsidTr="00092BEC">
        <w:trPr>
          <w:cantSplit/>
        </w:trPr>
        <w:tc>
          <w:tcPr>
            <w:tcW w:w="1809" w:type="dxa"/>
          </w:tcPr>
          <w:p w:rsidR="00EB1FEF" w:rsidRDefault="001E71FA" w:rsidP="005E3920">
            <w:pPr>
              <w:spacing w:before="60" w:after="60"/>
              <w:rPr>
                <w:rFonts w:ascii="Arial" w:hAnsi="Arial" w:cs="Arial"/>
                <w:sz w:val="16"/>
                <w:szCs w:val="16"/>
              </w:rPr>
            </w:pPr>
            <w:r>
              <w:rPr>
                <w:rFonts w:ascii="Arial" w:hAnsi="Arial" w:cs="Arial"/>
                <w:sz w:val="16"/>
                <w:szCs w:val="16"/>
              </w:rPr>
              <w:t>Publishing details of procurements undertaken</w:t>
            </w:r>
          </w:p>
        </w:tc>
        <w:tc>
          <w:tcPr>
            <w:tcW w:w="1418" w:type="dxa"/>
          </w:tcPr>
          <w:p w:rsidR="00EB1FEF" w:rsidRDefault="00EB1FEF" w:rsidP="005E3920">
            <w:pPr>
              <w:spacing w:before="60" w:after="60"/>
              <w:rPr>
                <w:rFonts w:ascii="Arial" w:hAnsi="Arial" w:cs="Arial"/>
                <w:sz w:val="16"/>
                <w:szCs w:val="16"/>
              </w:rPr>
            </w:pPr>
          </w:p>
        </w:tc>
        <w:tc>
          <w:tcPr>
            <w:tcW w:w="1417" w:type="dxa"/>
          </w:tcPr>
          <w:p w:rsidR="00EB1FEF" w:rsidRDefault="001E71FA" w:rsidP="005E3920">
            <w:pPr>
              <w:spacing w:before="60" w:after="60"/>
              <w:rPr>
                <w:rFonts w:ascii="Arial" w:hAnsi="Arial" w:cs="Arial"/>
                <w:sz w:val="16"/>
                <w:szCs w:val="16"/>
              </w:rPr>
            </w:pPr>
            <w:r>
              <w:rPr>
                <w:rFonts w:ascii="Arial" w:hAnsi="Arial" w:cs="Arial"/>
                <w:sz w:val="16"/>
                <w:szCs w:val="16"/>
              </w:rPr>
              <w:t>Dir 5.2</w:t>
            </w:r>
          </w:p>
          <w:p w:rsidR="001E71FA" w:rsidRDefault="001E71FA" w:rsidP="005E3920">
            <w:pPr>
              <w:spacing w:before="60" w:after="60"/>
              <w:rPr>
                <w:rFonts w:ascii="Arial" w:hAnsi="Arial" w:cs="Arial"/>
                <w:sz w:val="16"/>
                <w:szCs w:val="16"/>
              </w:rPr>
            </w:pPr>
            <w:r>
              <w:rPr>
                <w:rFonts w:ascii="Arial" w:hAnsi="Arial" w:cs="Arial"/>
                <w:sz w:val="16"/>
                <w:szCs w:val="16"/>
              </w:rPr>
              <w:t>Inst 5.2</w:t>
            </w:r>
          </w:p>
        </w:tc>
        <w:tc>
          <w:tcPr>
            <w:tcW w:w="9530" w:type="dxa"/>
          </w:tcPr>
          <w:p w:rsidR="00EB1FEF" w:rsidRDefault="001E71FA" w:rsidP="001E71FA">
            <w:pPr>
              <w:spacing w:before="60" w:after="60"/>
              <w:rPr>
                <w:rFonts w:ascii="Arial" w:hAnsi="Arial" w:cs="Arial"/>
                <w:sz w:val="16"/>
                <w:szCs w:val="16"/>
              </w:rPr>
            </w:pPr>
            <w:r w:rsidRPr="001E71FA">
              <w:rPr>
                <w:rFonts w:ascii="Arial" w:hAnsi="Arial" w:cs="Arial"/>
                <w:sz w:val="16"/>
                <w:szCs w:val="16"/>
              </w:rPr>
              <w:t>Makes explici</w:t>
            </w:r>
            <w:r w:rsidR="00ED49AF">
              <w:rPr>
                <w:rFonts w:ascii="Arial" w:hAnsi="Arial" w:cs="Arial"/>
                <w:sz w:val="16"/>
                <w:szCs w:val="16"/>
              </w:rPr>
              <w:t>t the long standing requirement</w:t>
            </w:r>
            <w:r w:rsidRPr="001E71FA">
              <w:rPr>
                <w:rFonts w:ascii="Arial" w:hAnsi="Arial" w:cs="Arial"/>
                <w:sz w:val="16"/>
                <w:szCs w:val="16"/>
              </w:rPr>
              <w:t xml:space="preserve"> to disclose</w:t>
            </w:r>
            <w:r>
              <w:rPr>
                <w:rFonts w:ascii="Arial" w:hAnsi="Arial" w:cs="Arial"/>
                <w:sz w:val="16"/>
                <w:szCs w:val="16"/>
              </w:rPr>
              <w:t xml:space="preserve"> key </w:t>
            </w:r>
            <w:r w:rsidRPr="001E71FA">
              <w:rPr>
                <w:rFonts w:ascii="Arial" w:hAnsi="Arial" w:cs="Arial"/>
                <w:sz w:val="16"/>
                <w:szCs w:val="16"/>
              </w:rPr>
              <w:t xml:space="preserve">details of procurement undertaken applies to construction </w:t>
            </w:r>
            <w:r w:rsidR="00BF51D7">
              <w:rPr>
                <w:rFonts w:ascii="Arial" w:hAnsi="Arial" w:cs="Arial"/>
                <w:sz w:val="16"/>
                <w:szCs w:val="16"/>
              </w:rPr>
              <w:t>contracts for Works or Construction Services</w:t>
            </w:r>
            <w:r w:rsidRPr="001E71FA">
              <w:rPr>
                <w:rFonts w:ascii="Arial" w:hAnsi="Arial" w:cs="Arial"/>
                <w:sz w:val="16"/>
                <w:szCs w:val="16"/>
              </w:rPr>
              <w:t>.</w:t>
            </w:r>
          </w:p>
          <w:p w:rsidR="00B149C9" w:rsidRPr="001E71FA" w:rsidRDefault="00B149C9" w:rsidP="001E71FA">
            <w:pPr>
              <w:spacing w:before="60" w:after="60"/>
              <w:rPr>
                <w:rFonts w:ascii="Arial" w:hAnsi="Arial" w:cs="Arial"/>
                <w:sz w:val="16"/>
                <w:szCs w:val="16"/>
              </w:rPr>
            </w:pPr>
            <w:r>
              <w:rPr>
                <w:rFonts w:ascii="Arial" w:hAnsi="Arial" w:cs="Arial"/>
                <w:sz w:val="16"/>
                <w:szCs w:val="16"/>
              </w:rPr>
              <w:t xml:space="preserve">Makes explicit the long standing requirement of </w:t>
            </w:r>
            <w:r w:rsidRPr="00B149C9">
              <w:rPr>
                <w:rFonts w:ascii="Arial" w:hAnsi="Arial" w:cs="Arial"/>
                <w:b/>
                <w:sz w:val="16"/>
                <w:szCs w:val="16"/>
              </w:rPr>
              <w:t>Financial Reporting Direction 12B</w:t>
            </w:r>
            <w:r>
              <w:rPr>
                <w:rFonts w:ascii="Arial" w:hAnsi="Arial" w:cs="Arial"/>
                <w:sz w:val="16"/>
                <w:szCs w:val="16"/>
              </w:rPr>
              <w:t xml:space="preserve"> (</w:t>
            </w:r>
            <w:r w:rsidRPr="00582D43">
              <w:rPr>
                <w:rFonts w:ascii="Arial" w:hAnsi="Arial" w:cs="Arial"/>
                <w:sz w:val="16"/>
                <w:szCs w:val="16"/>
              </w:rPr>
              <w:t xml:space="preserve">disclosure of the full text of contracts; applies to Departments only) applies to construction </w:t>
            </w:r>
            <w:r w:rsidR="00BF51D7" w:rsidRPr="00582D43">
              <w:rPr>
                <w:rFonts w:ascii="Arial" w:hAnsi="Arial" w:cs="Arial"/>
                <w:sz w:val="16"/>
                <w:szCs w:val="16"/>
              </w:rPr>
              <w:t>contracts for Works or Construction Services</w:t>
            </w:r>
            <w:r>
              <w:rPr>
                <w:rFonts w:ascii="Arial" w:hAnsi="Arial" w:cs="Arial"/>
                <w:sz w:val="16"/>
                <w:szCs w:val="16"/>
              </w:rPr>
              <w:t>.</w:t>
            </w:r>
          </w:p>
          <w:p w:rsidR="001E71FA" w:rsidRDefault="00ED49AF" w:rsidP="001E71FA">
            <w:pPr>
              <w:spacing w:before="60" w:after="60"/>
              <w:rPr>
                <w:rFonts w:ascii="Arial" w:hAnsi="Arial" w:cs="Arial"/>
                <w:sz w:val="16"/>
                <w:szCs w:val="16"/>
              </w:rPr>
            </w:pPr>
            <w:r w:rsidRPr="001E71FA">
              <w:rPr>
                <w:rFonts w:ascii="Arial" w:hAnsi="Arial" w:cs="Arial"/>
                <w:sz w:val="16"/>
                <w:szCs w:val="16"/>
              </w:rPr>
              <w:t>Makes explici</w:t>
            </w:r>
            <w:r>
              <w:rPr>
                <w:rFonts w:ascii="Arial" w:hAnsi="Arial" w:cs="Arial"/>
                <w:sz w:val="16"/>
                <w:szCs w:val="16"/>
              </w:rPr>
              <w:t>t the long standing requirement</w:t>
            </w:r>
            <w:r w:rsidRPr="001E71FA">
              <w:rPr>
                <w:rFonts w:ascii="Arial" w:hAnsi="Arial" w:cs="Arial"/>
                <w:sz w:val="16"/>
                <w:szCs w:val="16"/>
              </w:rPr>
              <w:t xml:space="preserve"> </w:t>
            </w:r>
            <w:r>
              <w:rPr>
                <w:rFonts w:ascii="Arial" w:hAnsi="Arial" w:cs="Arial"/>
                <w:sz w:val="16"/>
                <w:szCs w:val="16"/>
              </w:rPr>
              <w:t xml:space="preserve">that </w:t>
            </w:r>
            <w:r w:rsidR="007D28DD">
              <w:rPr>
                <w:rFonts w:ascii="Arial" w:hAnsi="Arial" w:cs="Arial"/>
                <w:sz w:val="16"/>
                <w:szCs w:val="16"/>
              </w:rPr>
              <w:t>d</w:t>
            </w:r>
            <w:r w:rsidR="001E71FA">
              <w:rPr>
                <w:rFonts w:ascii="Arial" w:hAnsi="Arial" w:cs="Arial"/>
                <w:sz w:val="16"/>
                <w:szCs w:val="16"/>
              </w:rPr>
              <w:t xml:space="preserve">isclosure </w:t>
            </w:r>
            <w:r>
              <w:rPr>
                <w:rFonts w:ascii="Arial" w:hAnsi="Arial" w:cs="Arial"/>
                <w:sz w:val="16"/>
                <w:szCs w:val="16"/>
              </w:rPr>
              <w:t xml:space="preserve">of </w:t>
            </w:r>
            <w:r w:rsidR="001E71FA">
              <w:rPr>
                <w:rFonts w:ascii="Arial" w:hAnsi="Arial" w:cs="Arial"/>
                <w:sz w:val="16"/>
                <w:szCs w:val="16"/>
              </w:rPr>
              <w:t xml:space="preserve">procurement undertaken must be made on the </w:t>
            </w:r>
            <w:r>
              <w:rPr>
                <w:rFonts w:ascii="Arial" w:hAnsi="Arial" w:cs="Arial"/>
                <w:sz w:val="16"/>
                <w:szCs w:val="16"/>
              </w:rPr>
              <w:t>website</w:t>
            </w:r>
            <w:r w:rsidR="009C3D2B">
              <w:rPr>
                <w:rFonts w:ascii="Arial" w:hAnsi="Arial" w:cs="Arial"/>
                <w:sz w:val="16"/>
                <w:szCs w:val="16"/>
              </w:rPr>
              <w:t xml:space="preserve"> or syst</w:t>
            </w:r>
            <w:r w:rsidR="004B613C">
              <w:rPr>
                <w:rFonts w:ascii="Arial" w:hAnsi="Arial" w:cs="Arial"/>
                <w:sz w:val="16"/>
                <w:szCs w:val="16"/>
              </w:rPr>
              <w:t>em nominated by the Secretary of</w:t>
            </w:r>
            <w:r w:rsidR="009C3D2B">
              <w:rPr>
                <w:rFonts w:ascii="Arial" w:hAnsi="Arial" w:cs="Arial"/>
                <w:sz w:val="16"/>
                <w:szCs w:val="16"/>
              </w:rPr>
              <w:t xml:space="preserve"> the Department of Treasury and Finance</w:t>
            </w:r>
            <w:r w:rsidR="00582D43">
              <w:rPr>
                <w:rFonts w:ascii="Arial" w:hAnsi="Arial" w:cs="Arial"/>
                <w:sz w:val="16"/>
                <w:szCs w:val="16"/>
              </w:rPr>
              <w:t>, currently Tenders VIC.</w:t>
            </w:r>
          </w:p>
          <w:p w:rsidR="001E71FA" w:rsidRDefault="00B149C9" w:rsidP="005E3920">
            <w:pPr>
              <w:spacing w:before="60" w:after="60"/>
              <w:rPr>
                <w:rFonts w:ascii="Arial" w:hAnsi="Arial" w:cs="Arial"/>
                <w:sz w:val="16"/>
                <w:szCs w:val="16"/>
              </w:rPr>
            </w:pPr>
            <w:r>
              <w:rPr>
                <w:rFonts w:ascii="Arial" w:hAnsi="Arial" w:cs="Arial"/>
                <w:sz w:val="16"/>
                <w:szCs w:val="16"/>
              </w:rPr>
              <w:t>Establishes the types of contracts subject to disclosure:</w:t>
            </w:r>
          </w:p>
          <w:p w:rsidR="00B149C9" w:rsidRDefault="00B149C9" w:rsidP="00B149C9">
            <w:pPr>
              <w:pStyle w:val="ListParagraph"/>
              <w:numPr>
                <w:ilvl w:val="0"/>
                <w:numId w:val="17"/>
              </w:numPr>
              <w:spacing w:before="60" w:after="60"/>
              <w:rPr>
                <w:rFonts w:ascii="Arial" w:hAnsi="Arial" w:cs="Arial"/>
                <w:sz w:val="16"/>
                <w:szCs w:val="16"/>
              </w:rPr>
            </w:pPr>
            <w:r>
              <w:rPr>
                <w:rFonts w:ascii="Arial" w:hAnsi="Arial" w:cs="Arial"/>
                <w:sz w:val="16"/>
                <w:szCs w:val="16"/>
              </w:rPr>
              <w:t>agreements for procurements of Works or Construction Services;</w:t>
            </w:r>
          </w:p>
          <w:p w:rsidR="00B149C9" w:rsidRDefault="00B149C9" w:rsidP="00B149C9">
            <w:pPr>
              <w:pStyle w:val="ListParagraph"/>
              <w:numPr>
                <w:ilvl w:val="0"/>
                <w:numId w:val="17"/>
              </w:numPr>
              <w:spacing w:before="60" w:after="60"/>
              <w:rPr>
                <w:rFonts w:ascii="Arial" w:hAnsi="Arial" w:cs="Arial"/>
                <w:sz w:val="16"/>
                <w:szCs w:val="16"/>
              </w:rPr>
            </w:pPr>
            <w:r>
              <w:rPr>
                <w:rFonts w:ascii="Arial" w:hAnsi="Arial" w:cs="Arial"/>
                <w:sz w:val="16"/>
                <w:szCs w:val="16"/>
              </w:rPr>
              <w:t>head agreements, such as standing offer arrangements or panels;</w:t>
            </w:r>
          </w:p>
          <w:p w:rsidR="00B149C9" w:rsidRDefault="00B149C9" w:rsidP="00B149C9">
            <w:pPr>
              <w:pStyle w:val="ListParagraph"/>
              <w:numPr>
                <w:ilvl w:val="0"/>
                <w:numId w:val="17"/>
              </w:numPr>
              <w:spacing w:before="60" w:after="60"/>
              <w:rPr>
                <w:rFonts w:ascii="Arial" w:hAnsi="Arial" w:cs="Arial"/>
                <w:sz w:val="16"/>
                <w:szCs w:val="16"/>
              </w:rPr>
            </w:pPr>
            <w:r>
              <w:rPr>
                <w:rFonts w:ascii="Arial" w:hAnsi="Arial" w:cs="Arial"/>
                <w:sz w:val="16"/>
                <w:szCs w:val="16"/>
              </w:rPr>
              <w:t xml:space="preserve">agreements entered into under head agreements  (requirement </w:t>
            </w:r>
            <w:r w:rsidR="00BF51D7">
              <w:rPr>
                <w:rFonts w:ascii="Arial" w:hAnsi="Arial" w:cs="Arial"/>
                <w:sz w:val="16"/>
                <w:szCs w:val="16"/>
              </w:rPr>
              <w:t xml:space="preserve">specific </w:t>
            </w:r>
            <w:r>
              <w:rPr>
                <w:rFonts w:ascii="Arial" w:hAnsi="Arial" w:cs="Arial"/>
                <w:sz w:val="16"/>
                <w:szCs w:val="16"/>
              </w:rPr>
              <w:t>to construction procurement; note this requirement differs from the V</w:t>
            </w:r>
            <w:r w:rsidR="009C3D2B">
              <w:rPr>
                <w:rFonts w:ascii="Arial" w:hAnsi="Arial" w:cs="Arial"/>
                <w:sz w:val="16"/>
                <w:szCs w:val="16"/>
              </w:rPr>
              <w:t xml:space="preserve">ictorian </w:t>
            </w:r>
            <w:r>
              <w:rPr>
                <w:rFonts w:ascii="Arial" w:hAnsi="Arial" w:cs="Arial"/>
                <w:sz w:val="16"/>
                <w:szCs w:val="16"/>
              </w:rPr>
              <w:t>G</w:t>
            </w:r>
            <w:r w:rsidR="009C3D2B">
              <w:rPr>
                <w:rFonts w:ascii="Arial" w:hAnsi="Arial" w:cs="Arial"/>
                <w:sz w:val="16"/>
                <w:szCs w:val="16"/>
              </w:rPr>
              <w:t xml:space="preserve">overnment </w:t>
            </w:r>
            <w:r>
              <w:rPr>
                <w:rFonts w:ascii="Arial" w:hAnsi="Arial" w:cs="Arial"/>
                <w:sz w:val="16"/>
                <w:szCs w:val="16"/>
              </w:rPr>
              <w:t>P</w:t>
            </w:r>
            <w:r w:rsidR="009C3D2B">
              <w:rPr>
                <w:rFonts w:ascii="Arial" w:hAnsi="Arial" w:cs="Arial"/>
                <w:sz w:val="16"/>
                <w:szCs w:val="16"/>
              </w:rPr>
              <w:t xml:space="preserve">urchasing </w:t>
            </w:r>
            <w:r>
              <w:rPr>
                <w:rFonts w:ascii="Arial" w:hAnsi="Arial" w:cs="Arial"/>
                <w:sz w:val="16"/>
                <w:szCs w:val="16"/>
              </w:rPr>
              <w:t>B</w:t>
            </w:r>
            <w:r w:rsidR="009C3D2B">
              <w:rPr>
                <w:rFonts w:ascii="Arial" w:hAnsi="Arial" w:cs="Arial"/>
                <w:sz w:val="16"/>
                <w:szCs w:val="16"/>
              </w:rPr>
              <w:t>oard</w:t>
            </w:r>
            <w:r>
              <w:rPr>
                <w:rFonts w:ascii="Arial" w:hAnsi="Arial" w:cs="Arial"/>
                <w:sz w:val="16"/>
                <w:szCs w:val="16"/>
              </w:rPr>
              <w:t xml:space="preserve"> policy</w:t>
            </w:r>
            <w:r w:rsidRPr="00B149C9">
              <w:rPr>
                <w:rFonts w:ascii="Arial" w:hAnsi="Arial" w:cs="Arial"/>
                <w:sz w:val="16"/>
                <w:szCs w:val="16"/>
              </w:rPr>
              <w:t>)</w:t>
            </w:r>
            <w:r>
              <w:rPr>
                <w:rFonts w:ascii="Arial" w:hAnsi="Arial" w:cs="Arial"/>
                <w:sz w:val="16"/>
                <w:szCs w:val="16"/>
              </w:rPr>
              <w:t>;</w:t>
            </w:r>
          </w:p>
          <w:p w:rsidR="00B149C9" w:rsidRDefault="00B149C9" w:rsidP="00B149C9">
            <w:pPr>
              <w:pStyle w:val="ListParagraph"/>
              <w:numPr>
                <w:ilvl w:val="0"/>
                <w:numId w:val="17"/>
              </w:numPr>
              <w:spacing w:before="60" w:after="60"/>
              <w:rPr>
                <w:rFonts w:ascii="Arial" w:hAnsi="Arial" w:cs="Arial"/>
                <w:sz w:val="16"/>
                <w:szCs w:val="16"/>
              </w:rPr>
            </w:pPr>
            <w:r>
              <w:rPr>
                <w:rFonts w:ascii="Arial" w:hAnsi="Arial" w:cs="Arial"/>
                <w:sz w:val="16"/>
                <w:szCs w:val="16"/>
              </w:rPr>
              <w:t>agreements entered into with suppliers from a register; and</w:t>
            </w:r>
          </w:p>
          <w:p w:rsidR="00B149C9" w:rsidRDefault="00B149C9" w:rsidP="00B149C9">
            <w:pPr>
              <w:pStyle w:val="ListParagraph"/>
              <w:numPr>
                <w:ilvl w:val="0"/>
                <w:numId w:val="17"/>
              </w:numPr>
              <w:spacing w:before="60" w:after="60"/>
              <w:rPr>
                <w:rFonts w:ascii="Arial" w:hAnsi="Arial" w:cs="Arial"/>
                <w:sz w:val="16"/>
                <w:szCs w:val="16"/>
              </w:rPr>
            </w:pPr>
            <w:r>
              <w:rPr>
                <w:rFonts w:ascii="Arial" w:hAnsi="Arial" w:cs="Arial"/>
                <w:sz w:val="16"/>
                <w:szCs w:val="16"/>
              </w:rPr>
              <w:t>agreements to vary any of the forgoing.</w:t>
            </w:r>
          </w:p>
          <w:p w:rsidR="005E3920" w:rsidRPr="005E3920" w:rsidRDefault="005E3920" w:rsidP="005E3920">
            <w:pPr>
              <w:spacing w:before="60" w:after="60"/>
              <w:rPr>
                <w:rFonts w:ascii="Arial" w:hAnsi="Arial" w:cs="Arial"/>
                <w:sz w:val="16"/>
                <w:szCs w:val="16"/>
              </w:rPr>
            </w:pPr>
            <w:r>
              <w:rPr>
                <w:rFonts w:ascii="Arial" w:hAnsi="Arial" w:cs="Arial"/>
                <w:sz w:val="16"/>
                <w:szCs w:val="16"/>
              </w:rPr>
              <w:t>Establishes guidelines for disclosing certain documents comprising part of a contract, how to disclose variations to contracts, and presentation of contract documents subject to redaction</w:t>
            </w:r>
            <w:r w:rsidR="00D24221">
              <w:rPr>
                <w:rFonts w:ascii="Arial" w:hAnsi="Arial" w:cs="Arial"/>
                <w:sz w:val="16"/>
                <w:szCs w:val="16"/>
              </w:rPr>
              <w:t xml:space="preserve"> (Instruction 5.1 Attachment 1)</w:t>
            </w:r>
            <w:r>
              <w:rPr>
                <w:rFonts w:ascii="Arial" w:hAnsi="Arial" w:cs="Arial"/>
                <w:sz w:val="16"/>
                <w:szCs w:val="16"/>
              </w:rPr>
              <w:t>.</w:t>
            </w:r>
          </w:p>
        </w:tc>
      </w:tr>
      <w:tr w:rsidR="00EB1FEF" w:rsidRPr="00B97DEA" w:rsidTr="00092BEC">
        <w:trPr>
          <w:cantSplit/>
        </w:trPr>
        <w:tc>
          <w:tcPr>
            <w:tcW w:w="1809" w:type="dxa"/>
          </w:tcPr>
          <w:p w:rsidR="00EB1FEF" w:rsidRDefault="00A60853" w:rsidP="00A60853">
            <w:pPr>
              <w:spacing w:before="60" w:after="60"/>
              <w:rPr>
                <w:rFonts w:ascii="Arial" w:hAnsi="Arial" w:cs="Arial"/>
                <w:sz w:val="16"/>
                <w:szCs w:val="16"/>
              </w:rPr>
            </w:pPr>
            <w:r>
              <w:rPr>
                <w:rFonts w:ascii="Arial" w:hAnsi="Arial" w:cs="Arial"/>
                <w:sz w:val="16"/>
                <w:szCs w:val="16"/>
              </w:rPr>
              <w:t>Use of Registers and Panels</w:t>
            </w:r>
          </w:p>
        </w:tc>
        <w:tc>
          <w:tcPr>
            <w:tcW w:w="1418" w:type="dxa"/>
          </w:tcPr>
          <w:p w:rsidR="00EB1FEF" w:rsidRDefault="00A60853" w:rsidP="005E3920">
            <w:pPr>
              <w:spacing w:before="60" w:after="60"/>
              <w:rPr>
                <w:rFonts w:ascii="Arial" w:hAnsi="Arial" w:cs="Arial"/>
                <w:sz w:val="16"/>
                <w:szCs w:val="16"/>
              </w:rPr>
            </w:pPr>
            <w:r>
              <w:rPr>
                <w:rFonts w:ascii="Arial" w:hAnsi="Arial" w:cs="Arial"/>
                <w:sz w:val="16"/>
                <w:szCs w:val="16"/>
              </w:rPr>
              <w:t>GMD1 cl 3</w:t>
            </w:r>
          </w:p>
          <w:p w:rsidR="00583B48" w:rsidRDefault="00583B48" w:rsidP="005E3920">
            <w:pPr>
              <w:spacing w:before="60" w:after="60"/>
              <w:rPr>
                <w:rFonts w:ascii="Arial" w:hAnsi="Arial" w:cs="Arial"/>
                <w:sz w:val="16"/>
                <w:szCs w:val="16"/>
              </w:rPr>
            </w:pPr>
            <w:r>
              <w:rPr>
                <w:rFonts w:ascii="Arial" w:hAnsi="Arial" w:cs="Arial"/>
                <w:sz w:val="16"/>
                <w:szCs w:val="16"/>
              </w:rPr>
              <w:t>GMD1 cl 3.4</w:t>
            </w:r>
          </w:p>
        </w:tc>
        <w:tc>
          <w:tcPr>
            <w:tcW w:w="1417" w:type="dxa"/>
          </w:tcPr>
          <w:p w:rsidR="00EB1FEF" w:rsidRDefault="00A60853" w:rsidP="005E3920">
            <w:pPr>
              <w:spacing w:before="60" w:after="60"/>
              <w:rPr>
                <w:rFonts w:ascii="Arial" w:hAnsi="Arial" w:cs="Arial"/>
                <w:sz w:val="16"/>
                <w:szCs w:val="16"/>
              </w:rPr>
            </w:pPr>
            <w:r>
              <w:rPr>
                <w:rFonts w:ascii="Arial" w:hAnsi="Arial" w:cs="Arial"/>
                <w:sz w:val="16"/>
                <w:szCs w:val="16"/>
              </w:rPr>
              <w:t>Dir 6.1</w:t>
            </w:r>
          </w:p>
          <w:p w:rsidR="00A60853" w:rsidRDefault="00A60853" w:rsidP="005E3920">
            <w:pPr>
              <w:spacing w:before="60" w:after="60"/>
              <w:rPr>
                <w:rFonts w:ascii="Arial" w:hAnsi="Arial" w:cs="Arial"/>
                <w:sz w:val="16"/>
                <w:szCs w:val="16"/>
              </w:rPr>
            </w:pPr>
            <w:r>
              <w:rPr>
                <w:rFonts w:ascii="Arial" w:hAnsi="Arial" w:cs="Arial"/>
                <w:sz w:val="16"/>
                <w:szCs w:val="16"/>
              </w:rPr>
              <w:t>Inst 6.1</w:t>
            </w:r>
          </w:p>
        </w:tc>
        <w:tc>
          <w:tcPr>
            <w:tcW w:w="9530" w:type="dxa"/>
          </w:tcPr>
          <w:p w:rsidR="00EB1FEF" w:rsidRDefault="005E3920" w:rsidP="005E3920">
            <w:pPr>
              <w:spacing w:before="60" w:after="60"/>
              <w:rPr>
                <w:rFonts w:ascii="Arial" w:hAnsi="Arial" w:cs="Arial"/>
                <w:sz w:val="16"/>
                <w:szCs w:val="16"/>
              </w:rPr>
            </w:pPr>
            <w:r>
              <w:rPr>
                <w:rFonts w:ascii="Arial" w:hAnsi="Arial" w:cs="Arial"/>
                <w:sz w:val="16"/>
                <w:szCs w:val="16"/>
              </w:rPr>
              <w:t xml:space="preserve">Retains the requirement for approval by the Secretary </w:t>
            </w:r>
            <w:r w:rsidR="00582D43">
              <w:rPr>
                <w:rFonts w:ascii="Arial" w:hAnsi="Arial" w:cs="Arial"/>
                <w:sz w:val="16"/>
                <w:szCs w:val="16"/>
              </w:rPr>
              <w:t>of</w:t>
            </w:r>
            <w:r w:rsidR="009C3D2B">
              <w:rPr>
                <w:rFonts w:ascii="Arial" w:hAnsi="Arial" w:cs="Arial"/>
                <w:sz w:val="16"/>
                <w:szCs w:val="16"/>
              </w:rPr>
              <w:t xml:space="preserve"> the Department of Treasury and Finance </w:t>
            </w:r>
            <w:r>
              <w:rPr>
                <w:rFonts w:ascii="Arial" w:hAnsi="Arial" w:cs="Arial"/>
                <w:sz w:val="16"/>
                <w:szCs w:val="16"/>
              </w:rPr>
              <w:t>for Registers of prequalified suppliers.  Registers may</w:t>
            </w:r>
            <w:r w:rsidR="00191723">
              <w:rPr>
                <w:rFonts w:ascii="Arial" w:hAnsi="Arial" w:cs="Arial"/>
                <w:sz w:val="16"/>
                <w:szCs w:val="16"/>
              </w:rPr>
              <w:t xml:space="preserve"> be</w:t>
            </w:r>
            <w:r>
              <w:rPr>
                <w:rFonts w:ascii="Arial" w:hAnsi="Arial" w:cs="Arial"/>
                <w:sz w:val="16"/>
                <w:szCs w:val="16"/>
              </w:rPr>
              <w:t xml:space="preserve"> open for use by whole of government, or may be specific to an Agency.  Retains the conditions for accreditation of Registers.</w:t>
            </w:r>
          </w:p>
          <w:p w:rsidR="005E3920" w:rsidRDefault="00583B48" w:rsidP="00C6366F">
            <w:pPr>
              <w:spacing w:before="60" w:after="60"/>
              <w:rPr>
                <w:rFonts w:ascii="Arial" w:hAnsi="Arial" w:cs="Arial"/>
                <w:sz w:val="16"/>
                <w:szCs w:val="16"/>
              </w:rPr>
            </w:pPr>
            <w:r>
              <w:rPr>
                <w:rFonts w:ascii="Arial" w:hAnsi="Arial" w:cs="Arial"/>
                <w:sz w:val="16"/>
                <w:szCs w:val="16"/>
              </w:rPr>
              <w:t xml:space="preserve">Retains the requirement that panels of suppliers be established through a suitable </w:t>
            </w:r>
            <w:r w:rsidR="00C6366F">
              <w:rPr>
                <w:rFonts w:ascii="Arial" w:hAnsi="Arial" w:cs="Arial"/>
                <w:sz w:val="16"/>
                <w:szCs w:val="16"/>
              </w:rPr>
              <w:t>procurement</w:t>
            </w:r>
            <w:r>
              <w:rPr>
                <w:rFonts w:ascii="Arial" w:hAnsi="Arial" w:cs="Arial"/>
                <w:sz w:val="16"/>
                <w:szCs w:val="16"/>
              </w:rPr>
              <w:t xml:space="preserve"> process.</w:t>
            </w:r>
          </w:p>
        </w:tc>
      </w:tr>
      <w:tr w:rsidR="00EB1FEF" w:rsidRPr="00B97DEA" w:rsidTr="00092BEC">
        <w:trPr>
          <w:cantSplit/>
        </w:trPr>
        <w:tc>
          <w:tcPr>
            <w:tcW w:w="1809" w:type="dxa"/>
          </w:tcPr>
          <w:p w:rsidR="00EB1FEF" w:rsidRDefault="007D28DD" w:rsidP="005E3920">
            <w:pPr>
              <w:spacing w:before="60" w:after="60"/>
              <w:rPr>
                <w:rFonts w:ascii="Arial" w:hAnsi="Arial" w:cs="Arial"/>
                <w:sz w:val="16"/>
                <w:szCs w:val="16"/>
              </w:rPr>
            </w:pPr>
            <w:r>
              <w:rPr>
                <w:rFonts w:ascii="Arial" w:hAnsi="Arial" w:cs="Arial"/>
                <w:sz w:val="16"/>
                <w:szCs w:val="16"/>
              </w:rPr>
              <w:lastRenderedPageBreak/>
              <w:t>Contracting requirements</w:t>
            </w:r>
          </w:p>
        </w:tc>
        <w:tc>
          <w:tcPr>
            <w:tcW w:w="1418" w:type="dxa"/>
          </w:tcPr>
          <w:p w:rsidR="00EB1FEF" w:rsidRDefault="007D28DD" w:rsidP="005E3920">
            <w:pPr>
              <w:spacing w:before="60" w:after="60"/>
              <w:rPr>
                <w:rFonts w:ascii="Arial" w:hAnsi="Arial" w:cs="Arial"/>
                <w:sz w:val="16"/>
                <w:szCs w:val="16"/>
              </w:rPr>
            </w:pPr>
            <w:r>
              <w:rPr>
                <w:rFonts w:ascii="Arial" w:hAnsi="Arial" w:cs="Arial"/>
                <w:sz w:val="16"/>
                <w:szCs w:val="16"/>
              </w:rPr>
              <w:t>MD2 cl 2.1</w:t>
            </w:r>
          </w:p>
        </w:tc>
        <w:tc>
          <w:tcPr>
            <w:tcW w:w="1417" w:type="dxa"/>
          </w:tcPr>
          <w:p w:rsidR="00EB1FEF" w:rsidRDefault="007D28DD" w:rsidP="005E3920">
            <w:pPr>
              <w:spacing w:before="60" w:after="60"/>
              <w:rPr>
                <w:rFonts w:ascii="Arial" w:hAnsi="Arial" w:cs="Arial"/>
                <w:sz w:val="16"/>
                <w:szCs w:val="16"/>
              </w:rPr>
            </w:pPr>
            <w:r>
              <w:rPr>
                <w:rFonts w:ascii="Arial" w:hAnsi="Arial" w:cs="Arial"/>
                <w:sz w:val="16"/>
                <w:szCs w:val="16"/>
              </w:rPr>
              <w:t>Dir 7.1</w:t>
            </w:r>
          </w:p>
          <w:p w:rsidR="007D28DD" w:rsidRDefault="007D28DD" w:rsidP="005E3920">
            <w:pPr>
              <w:spacing w:before="60" w:after="60"/>
              <w:rPr>
                <w:rFonts w:ascii="Arial" w:hAnsi="Arial" w:cs="Arial"/>
                <w:sz w:val="16"/>
                <w:szCs w:val="16"/>
              </w:rPr>
            </w:pPr>
            <w:r>
              <w:rPr>
                <w:rFonts w:ascii="Arial" w:hAnsi="Arial" w:cs="Arial"/>
                <w:sz w:val="16"/>
                <w:szCs w:val="16"/>
              </w:rPr>
              <w:t>Inst 7.1</w:t>
            </w:r>
          </w:p>
        </w:tc>
        <w:tc>
          <w:tcPr>
            <w:tcW w:w="9530" w:type="dxa"/>
          </w:tcPr>
          <w:p w:rsidR="00063C05" w:rsidRPr="00D55853" w:rsidRDefault="00063C05" w:rsidP="00D55853">
            <w:pPr>
              <w:spacing w:before="60" w:after="60"/>
              <w:rPr>
                <w:rFonts w:ascii="Arial" w:hAnsi="Arial" w:cs="Arial"/>
                <w:sz w:val="16"/>
                <w:szCs w:val="16"/>
              </w:rPr>
            </w:pPr>
            <w:r w:rsidRPr="00D55853">
              <w:rPr>
                <w:rFonts w:ascii="Arial" w:hAnsi="Arial" w:cs="Arial"/>
                <w:sz w:val="16"/>
                <w:szCs w:val="16"/>
              </w:rPr>
              <w:t>Retains the use of mandatory standard forms of construction contract, referred to collectively as the Victorian Public Construction Contracts.</w:t>
            </w:r>
          </w:p>
          <w:p w:rsidR="00270A39" w:rsidRPr="00D55853" w:rsidRDefault="00270A39" w:rsidP="00D55853">
            <w:pPr>
              <w:spacing w:before="60" w:after="60"/>
              <w:rPr>
                <w:rFonts w:ascii="Arial" w:hAnsi="Arial" w:cs="Arial"/>
                <w:sz w:val="16"/>
                <w:szCs w:val="16"/>
              </w:rPr>
            </w:pPr>
            <w:r w:rsidRPr="00D55853">
              <w:rPr>
                <w:rFonts w:ascii="Arial" w:hAnsi="Arial" w:cs="Arial"/>
                <w:sz w:val="16"/>
                <w:szCs w:val="16"/>
              </w:rPr>
              <w:t xml:space="preserve">Retains </w:t>
            </w:r>
            <w:r w:rsidR="00063C05" w:rsidRPr="00D55853">
              <w:rPr>
                <w:rFonts w:ascii="Arial" w:hAnsi="Arial" w:cs="Arial"/>
                <w:sz w:val="16"/>
                <w:szCs w:val="16"/>
              </w:rPr>
              <w:t xml:space="preserve">the requirement </w:t>
            </w:r>
            <w:r w:rsidRPr="00D55853">
              <w:rPr>
                <w:rFonts w:ascii="Arial" w:hAnsi="Arial" w:cs="Arial"/>
                <w:sz w:val="16"/>
                <w:szCs w:val="16"/>
              </w:rPr>
              <w:t>to use appropriate forms and consistent forms of contract to promote efficiency.</w:t>
            </w:r>
          </w:p>
          <w:p w:rsidR="004B4C68" w:rsidRPr="00D55853" w:rsidRDefault="004B4C68" w:rsidP="00D55853">
            <w:pPr>
              <w:spacing w:before="60" w:after="60"/>
              <w:rPr>
                <w:rFonts w:ascii="Arial" w:hAnsi="Arial" w:cs="Arial"/>
                <w:sz w:val="16"/>
                <w:szCs w:val="16"/>
              </w:rPr>
            </w:pPr>
            <w:r w:rsidRPr="00D55853">
              <w:rPr>
                <w:rFonts w:ascii="Arial" w:hAnsi="Arial" w:cs="Arial"/>
                <w:sz w:val="16"/>
                <w:szCs w:val="16"/>
              </w:rPr>
              <w:t>Retains the requirement that where amendments are made to a contract known to the market, amendments to the contract are to be clearly identified and kept to a minimum.</w:t>
            </w:r>
          </w:p>
          <w:p w:rsidR="00063C05" w:rsidRPr="00D55853" w:rsidRDefault="00063C05" w:rsidP="00D55853">
            <w:pPr>
              <w:spacing w:before="60" w:after="60"/>
              <w:rPr>
                <w:rFonts w:ascii="Arial" w:hAnsi="Arial" w:cs="Arial"/>
                <w:sz w:val="16"/>
                <w:szCs w:val="16"/>
              </w:rPr>
            </w:pPr>
            <w:r w:rsidRPr="00D55853">
              <w:rPr>
                <w:rFonts w:ascii="Arial" w:hAnsi="Arial" w:cs="Arial"/>
                <w:sz w:val="16"/>
                <w:szCs w:val="16"/>
              </w:rPr>
              <w:t>While use of one of the Victorian Public Construction Contracts is the expectation, the requirements of a project may require amendments to a standard contract before release to market, during tender negotiations, or during the life of the contract. New processes have been established for the approval of such amendments.</w:t>
            </w:r>
          </w:p>
          <w:p w:rsidR="00D55853" w:rsidRPr="00D55853" w:rsidRDefault="00D55853" w:rsidP="00D55853">
            <w:pPr>
              <w:spacing w:before="60" w:after="60"/>
              <w:rPr>
                <w:rFonts w:ascii="Arial" w:hAnsi="Arial" w:cs="Arial"/>
                <w:sz w:val="16"/>
                <w:szCs w:val="16"/>
              </w:rPr>
            </w:pPr>
            <w:r w:rsidRPr="00D55853">
              <w:rPr>
                <w:rFonts w:ascii="Arial" w:eastAsia="MS Mincho" w:hAnsi="Arial" w:cs="Arial"/>
                <w:sz w:val="16"/>
                <w:szCs w:val="16"/>
              </w:rPr>
              <w:t xml:space="preserve">An Agency may issue an amended </w:t>
            </w:r>
            <w:r w:rsidRPr="00D55853">
              <w:rPr>
                <w:rFonts w:ascii="Arial" w:hAnsi="Arial" w:cs="Arial"/>
                <w:sz w:val="16"/>
                <w:szCs w:val="16"/>
              </w:rPr>
              <w:t>Victorian Public Construction Contract or an alternative form of contract if one or more of the following circumstances apply:</w:t>
            </w:r>
          </w:p>
          <w:p w:rsidR="00D55853" w:rsidRPr="00D55853" w:rsidRDefault="00D55853" w:rsidP="00D55853">
            <w:pPr>
              <w:pStyle w:val="ListParagraph"/>
              <w:numPr>
                <w:ilvl w:val="0"/>
                <w:numId w:val="22"/>
              </w:numPr>
              <w:spacing w:before="60" w:after="60"/>
              <w:rPr>
                <w:rFonts w:ascii="Arial" w:hAnsi="Arial" w:cs="Arial"/>
                <w:sz w:val="16"/>
                <w:szCs w:val="16"/>
              </w:rPr>
            </w:pPr>
            <w:r w:rsidRPr="00D55853">
              <w:rPr>
                <w:rFonts w:ascii="Arial" w:hAnsi="Arial" w:cs="Arial"/>
                <w:sz w:val="16"/>
                <w:szCs w:val="16"/>
              </w:rPr>
              <w:t>Victorian Public Construction Contracts are inappropriate for the type of works being procured;</w:t>
            </w:r>
          </w:p>
          <w:p w:rsidR="00D55853" w:rsidRPr="00D55853" w:rsidRDefault="00D55853" w:rsidP="00D55853">
            <w:pPr>
              <w:pStyle w:val="ListParagraph"/>
              <w:numPr>
                <w:ilvl w:val="0"/>
                <w:numId w:val="22"/>
              </w:numPr>
              <w:spacing w:before="60" w:after="60"/>
              <w:rPr>
                <w:rFonts w:ascii="Arial" w:hAnsi="Arial" w:cs="Arial"/>
                <w:sz w:val="16"/>
                <w:szCs w:val="16"/>
              </w:rPr>
            </w:pPr>
            <w:r w:rsidRPr="00D55853">
              <w:rPr>
                <w:rFonts w:ascii="Arial" w:hAnsi="Arial" w:cs="Arial"/>
                <w:sz w:val="16"/>
                <w:szCs w:val="16"/>
              </w:rPr>
              <w:t>Victorian Public Construction Contracts do not sufficiently address interface issues where there are multiple contractors working on a site or where the works are undertaken on an operational site; or</w:t>
            </w:r>
          </w:p>
          <w:p w:rsidR="00D55853" w:rsidRPr="00D55853" w:rsidRDefault="00D55853" w:rsidP="00D55853">
            <w:pPr>
              <w:pStyle w:val="ListParagraph"/>
              <w:numPr>
                <w:ilvl w:val="0"/>
                <w:numId w:val="22"/>
              </w:numPr>
              <w:spacing w:before="60" w:after="60"/>
              <w:ind w:left="714" w:hanging="357"/>
              <w:rPr>
                <w:rFonts w:ascii="Arial" w:eastAsia="MS Mincho" w:hAnsi="Arial" w:cs="Arial"/>
                <w:sz w:val="16"/>
                <w:szCs w:val="16"/>
              </w:rPr>
            </w:pPr>
            <w:r w:rsidRPr="00D55853">
              <w:rPr>
                <w:rFonts w:ascii="Arial" w:hAnsi="Arial" w:cs="Arial"/>
                <w:sz w:val="16"/>
                <w:szCs w:val="16"/>
              </w:rPr>
              <w:t>the Works or Construction Services relate to leased premises or third party property where the form of contract is required to be approved by the lessor or such third party.</w:t>
            </w:r>
          </w:p>
          <w:p w:rsidR="00D55853" w:rsidRPr="00D55853" w:rsidRDefault="00D55853" w:rsidP="00D55853">
            <w:pPr>
              <w:spacing w:before="60" w:after="60"/>
              <w:rPr>
                <w:rFonts w:ascii="Arial" w:hAnsi="Arial" w:cs="Arial"/>
                <w:sz w:val="16"/>
                <w:szCs w:val="16"/>
              </w:rPr>
            </w:pPr>
            <w:r w:rsidRPr="00D55853">
              <w:rPr>
                <w:rFonts w:ascii="Arial" w:hAnsi="Arial" w:cs="Arial"/>
                <w:sz w:val="16"/>
                <w:szCs w:val="16"/>
              </w:rPr>
              <w:t>The concept of a material contract departure is introduced. A material contract departure is one that, taking into account the value, complexity and risk of the Works or Construction Services, could substantially impact the manner in which public construction procurement is undertaken by other Agencies.</w:t>
            </w:r>
          </w:p>
          <w:p w:rsidR="00D55853" w:rsidRPr="00D55853" w:rsidRDefault="00D55853" w:rsidP="00D55853">
            <w:pPr>
              <w:spacing w:before="60" w:after="60"/>
              <w:rPr>
                <w:rFonts w:ascii="Arial" w:hAnsi="Arial" w:cs="Arial"/>
                <w:sz w:val="16"/>
                <w:szCs w:val="16"/>
              </w:rPr>
            </w:pPr>
            <w:r w:rsidRPr="00D55853">
              <w:rPr>
                <w:rFonts w:ascii="Arial" w:hAnsi="Arial" w:cs="Arial"/>
                <w:sz w:val="16"/>
                <w:szCs w:val="16"/>
              </w:rPr>
              <w:t xml:space="preserve">During tender negotiations, a material contract departure must only be accepted following approval by the Secretary </w:t>
            </w:r>
            <w:r w:rsidR="000E6E85">
              <w:rPr>
                <w:rFonts w:ascii="Arial" w:hAnsi="Arial" w:cs="Arial"/>
                <w:sz w:val="16"/>
                <w:szCs w:val="16"/>
              </w:rPr>
              <w:t>of</w:t>
            </w:r>
            <w:r w:rsidRPr="00D55853">
              <w:rPr>
                <w:rFonts w:ascii="Arial" w:hAnsi="Arial" w:cs="Arial"/>
                <w:sz w:val="16"/>
                <w:szCs w:val="16"/>
              </w:rPr>
              <w:t xml:space="preserve"> the Department of Treasury and Finance or a person authorised in writing by the Secreta</w:t>
            </w:r>
            <w:r w:rsidR="000E6E85">
              <w:rPr>
                <w:rFonts w:ascii="Arial" w:hAnsi="Arial" w:cs="Arial"/>
                <w:sz w:val="16"/>
                <w:szCs w:val="16"/>
              </w:rPr>
              <w:t>ry of</w:t>
            </w:r>
            <w:r w:rsidRPr="00D55853">
              <w:rPr>
                <w:rFonts w:ascii="Arial" w:hAnsi="Arial" w:cs="Arial"/>
                <w:sz w:val="16"/>
                <w:szCs w:val="16"/>
              </w:rPr>
              <w:t xml:space="preserve"> the Department of Treasury and Finance.</w:t>
            </w:r>
          </w:p>
          <w:p w:rsidR="00063C05" w:rsidRPr="00D55853" w:rsidRDefault="00D55853" w:rsidP="00582D43">
            <w:pPr>
              <w:spacing w:before="60" w:after="60"/>
              <w:rPr>
                <w:rFonts w:ascii="Arial" w:hAnsi="Arial" w:cs="Arial"/>
                <w:sz w:val="16"/>
                <w:szCs w:val="16"/>
              </w:rPr>
            </w:pPr>
            <w:r w:rsidRPr="00D55853">
              <w:rPr>
                <w:rFonts w:ascii="Arial" w:hAnsi="Arial" w:cs="Arial"/>
                <w:sz w:val="16"/>
                <w:szCs w:val="16"/>
              </w:rPr>
              <w:t xml:space="preserve">During the life of the contract, a material contract amendment must only be agreed to following approval by the Secretary </w:t>
            </w:r>
            <w:r w:rsidR="000E6E85">
              <w:rPr>
                <w:rFonts w:ascii="Arial" w:hAnsi="Arial" w:cs="Arial"/>
                <w:sz w:val="16"/>
                <w:szCs w:val="16"/>
              </w:rPr>
              <w:t>of</w:t>
            </w:r>
            <w:r w:rsidRPr="00D55853">
              <w:rPr>
                <w:rFonts w:ascii="Arial" w:hAnsi="Arial" w:cs="Arial"/>
                <w:sz w:val="16"/>
                <w:szCs w:val="16"/>
              </w:rPr>
              <w:t xml:space="preserve"> the Department of Treasury and Finance or a person authorised in writing by the Secretary </w:t>
            </w:r>
            <w:r w:rsidR="000E6E85">
              <w:rPr>
                <w:rFonts w:ascii="Arial" w:hAnsi="Arial" w:cs="Arial"/>
                <w:sz w:val="16"/>
                <w:szCs w:val="16"/>
              </w:rPr>
              <w:t>of</w:t>
            </w:r>
            <w:r w:rsidRPr="00D55853">
              <w:rPr>
                <w:rFonts w:ascii="Arial" w:hAnsi="Arial" w:cs="Arial"/>
                <w:sz w:val="16"/>
                <w:szCs w:val="16"/>
              </w:rPr>
              <w:t xml:space="preserve"> the Department of Treasury a</w:t>
            </w:r>
            <w:r w:rsidR="00582D43">
              <w:rPr>
                <w:rFonts w:ascii="Arial" w:hAnsi="Arial" w:cs="Arial"/>
                <w:sz w:val="16"/>
                <w:szCs w:val="16"/>
              </w:rPr>
              <w:t>nd Finance</w:t>
            </w:r>
            <w:r w:rsidRPr="00D55853">
              <w:rPr>
                <w:rFonts w:ascii="Arial" w:hAnsi="Arial" w:cs="Arial"/>
                <w:sz w:val="16"/>
                <w:szCs w:val="16"/>
              </w:rPr>
              <w:t>.</w:t>
            </w:r>
          </w:p>
        </w:tc>
      </w:tr>
      <w:tr w:rsidR="00EB1FEF" w:rsidRPr="00B97DEA" w:rsidTr="00092BEC">
        <w:trPr>
          <w:cantSplit/>
        </w:trPr>
        <w:tc>
          <w:tcPr>
            <w:tcW w:w="1809" w:type="dxa"/>
          </w:tcPr>
          <w:p w:rsidR="00EB1FEF" w:rsidRDefault="007D28DD" w:rsidP="005E3920">
            <w:pPr>
              <w:spacing w:before="60" w:after="60"/>
              <w:rPr>
                <w:rFonts w:ascii="Arial" w:hAnsi="Arial" w:cs="Arial"/>
                <w:sz w:val="16"/>
                <w:szCs w:val="16"/>
              </w:rPr>
            </w:pPr>
            <w:r>
              <w:rPr>
                <w:rFonts w:ascii="Arial" w:hAnsi="Arial" w:cs="Arial"/>
                <w:sz w:val="16"/>
                <w:szCs w:val="16"/>
              </w:rPr>
              <w:lastRenderedPageBreak/>
              <w:t>Contractual terms and conditions</w:t>
            </w:r>
          </w:p>
        </w:tc>
        <w:tc>
          <w:tcPr>
            <w:tcW w:w="1418" w:type="dxa"/>
          </w:tcPr>
          <w:p w:rsidR="00EB1FEF" w:rsidRDefault="007D28DD" w:rsidP="005E3920">
            <w:pPr>
              <w:spacing w:before="60" w:after="60"/>
              <w:rPr>
                <w:rFonts w:ascii="Arial" w:hAnsi="Arial" w:cs="Arial"/>
                <w:sz w:val="16"/>
                <w:szCs w:val="16"/>
              </w:rPr>
            </w:pPr>
            <w:r>
              <w:rPr>
                <w:rFonts w:ascii="Arial" w:hAnsi="Arial" w:cs="Arial"/>
                <w:sz w:val="16"/>
                <w:szCs w:val="16"/>
              </w:rPr>
              <w:t>MD2 cl 2.2</w:t>
            </w:r>
          </w:p>
        </w:tc>
        <w:tc>
          <w:tcPr>
            <w:tcW w:w="1417" w:type="dxa"/>
          </w:tcPr>
          <w:p w:rsidR="007D28DD" w:rsidRDefault="007D28DD" w:rsidP="007D28DD">
            <w:pPr>
              <w:spacing w:before="60" w:after="60"/>
              <w:rPr>
                <w:rFonts w:ascii="Arial" w:hAnsi="Arial" w:cs="Arial"/>
                <w:sz w:val="16"/>
                <w:szCs w:val="16"/>
              </w:rPr>
            </w:pPr>
            <w:r>
              <w:rPr>
                <w:rFonts w:ascii="Arial" w:hAnsi="Arial" w:cs="Arial"/>
                <w:sz w:val="16"/>
                <w:szCs w:val="16"/>
              </w:rPr>
              <w:t>Dir 7.2</w:t>
            </w:r>
          </w:p>
          <w:p w:rsidR="00EB1FEF" w:rsidRDefault="007D28DD" w:rsidP="007D28DD">
            <w:pPr>
              <w:spacing w:before="60" w:after="60"/>
              <w:rPr>
                <w:rFonts w:ascii="Arial" w:hAnsi="Arial" w:cs="Arial"/>
                <w:sz w:val="16"/>
                <w:szCs w:val="16"/>
              </w:rPr>
            </w:pPr>
            <w:r>
              <w:rPr>
                <w:rFonts w:ascii="Arial" w:hAnsi="Arial" w:cs="Arial"/>
                <w:sz w:val="16"/>
                <w:szCs w:val="16"/>
              </w:rPr>
              <w:t>Inst 7.2</w:t>
            </w:r>
          </w:p>
        </w:tc>
        <w:tc>
          <w:tcPr>
            <w:tcW w:w="9530" w:type="dxa"/>
          </w:tcPr>
          <w:p w:rsidR="004B4C68" w:rsidRDefault="004B4C68" w:rsidP="004B4C68">
            <w:pPr>
              <w:spacing w:before="60" w:after="60"/>
              <w:rPr>
                <w:rFonts w:ascii="Arial" w:hAnsi="Arial" w:cs="Arial"/>
                <w:sz w:val="16"/>
                <w:szCs w:val="16"/>
              </w:rPr>
            </w:pPr>
            <w:r w:rsidRPr="00D55853">
              <w:rPr>
                <w:rFonts w:ascii="Arial" w:hAnsi="Arial" w:cs="Arial"/>
                <w:sz w:val="16"/>
                <w:szCs w:val="16"/>
              </w:rPr>
              <w:t>Retains requirement that contractual terms and conditions must address certain provisions.</w:t>
            </w:r>
          </w:p>
          <w:p w:rsidR="00D55853" w:rsidRDefault="00D55853" w:rsidP="00D55853">
            <w:pPr>
              <w:spacing w:before="60" w:after="60"/>
              <w:rPr>
                <w:rFonts w:ascii="Arial" w:hAnsi="Arial" w:cs="Arial"/>
                <w:sz w:val="16"/>
                <w:szCs w:val="16"/>
              </w:rPr>
            </w:pPr>
            <w:r w:rsidRPr="00D55853">
              <w:rPr>
                <w:rFonts w:ascii="Arial" w:hAnsi="Arial" w:cs="Arial"/>
                <w:sz w:val="16"/>
                <w:szCs w:val="16"/>
              </w:rPr>
              <w:t>Makes explicit the longstanding requirement to ensure that government policy and legislative requiremen</w:t>
            </w:r>
            <w:r w:rsidR="00582D43">
              <w:rPr>
                <w:rFonts w:ascii="Arial" w:hAnsi="Arial" w:cs="Arial"/>
                <w:sz w:val="16"/>
                <w:szCs w:val="16"/>
              </w:rPr>
              <w:t xml:space="preserve">ts are addressed in contracts. </w:t>
            </w:r>
            <w:r w:rsidRPr="00D55853">
              <w:rPr>
                <w:rFonts w:ascii="Arial" w:hAnsi="Arial" w:cs="Arial"/>
                <w:sz w:val="16"/>
                <w:szCs w:val="16"/>
              </w:rPr>
              <w:t>Presents a list of government policy and legislative requirements that must be addressed in construction contracts.</w:t>
            </w:r>
          </w:p>
          <w:p w:rsidR="00582D43" w:rsidRPr="00582D43" w:rsidDel="00310378" w:rsidRDefault="00582D43" w:rsidP="00582D43">
            <w:pPr>
              <w:spacing w:before="60" w:after="60"/>
              <w:rPr>
                <w:rFonts w:ascii="Arial" w:hAnsi="Arial" w:cs="Arial"/>
                <w:sz w:val="16"/>
                <w:szCs w:val="16"/>
              </w:rPr>
            </w:pPr>
            <w:r w:rsidRPr="00582D43">
              <w:rPr>
                <w:rFonts w:ascii="Arial" w:hAnsi="Arial" w:cs="Arial"/>
                <w:sz w:val="16"/>
                <w:szCs w:val="16"/>
              </w:rPr>
              <w:t>The concept of non-standard commercial arrangements is introduced. A non-standard commercial arrangements is defined as a term or condition in a contract or deed, including the contents of binding schedules or annexures, that in any way contravenes these Directions or the Instructions, or in all of the circumstances is highly unusual for a procurement of that type and Procurement Model as procured by a prudent Agency, and that is so material as to have potential to impact that market segment generally or contracting practices by the State of Victoria as a whole.</w:t>
            </w:r>
          </w:p>
          <w:p w:rsidR="00582D43" w:rsidRPr="00D55853" w:rsidRDefault="00582D43" w:rsidP="00582D43">
            <w:pPr>
              <w:spacing w:before="60" w:after="60"/>
              <w:rPr>
                <w:rFonts w:ascii="Arial" w:hAnsi="Arial" w:cs="Arial"/>
                <w:sz w:val="16"/>
                <w:szCs w:val="16"/>
              </w:rPr>
            </w:pPr>
            <w:r w:rsidRPr="00582D43">
              <w:rPr>
                <w:rFonts w:ascii="Arial" w:hAnsi="Arial" w:cs="Arial"/>
                <w:sz w:val="16"/>
                <w:szCs w:val="16"/>
              </w:rPr>
              <w:t>Non-Standard Commercial Arrangements must only be proposed or agreed to following approval by the Secretary of the Department of Treasury and Finance or a person authorised in writing by the Secretary of the Department of Treasury and Finance</w:t>
            </w:r>
            <w:r>
              <w:rPr>
                <w:rFonts w:ascii="Arial" w:hAnsi="Arial" w:cs="Arial"/>
                <w:sz w:val="16"/>
                <w:szCs w:val="16"/>
              </w:rPr>
              <w:t>.</w:t>
            </w:r>
          </w:p>
          <w:p w:rsidR="00D55853" w:rsidRDefault="00D55853" w:rsidP="00D55853">
            <w:pPr>
              <w:spacing w:before="60" w:after="60"/>
              <w:rPr>
                <w:rFonts w:ascii="Arial" w:hAnsi="Arial" w:cs="Arial"/>
                <w:sz w:val="16"/>
                <w:szCs w:val="16"/>
              </w:rPr>
            </w:pPr>
            <w:r w:rsidRPr="00D55853">
              <w:rPr>
                <w:rFonts w:ascii="Arial" w:hAnsi="Arial" w:cs="Arial"/>
                <w:sz w:val="16"/>
                <w:szCs w:val="16"/>
              </w:rPr>
              <w:t xml:space="preserve">The </w:t>
            </w:r>
            <w:r w:rsidR="00DD3B63">
              <w:rPr>
                <w:rFonts w:ascii="Arial" w:hAnsi="Arial" w:cs="Arial"/>
                <w:sz w:val="16"/>
                <w:szCs w:val="16"/>
              </w:rPr>
              <w:t xml:space="preserve">most commonly used contracts in the </w:t>
            </w:r>
            <w:r w:rsidRPr="00D55853">
              <w:rPr>
                <w:rFonts w:ascii="Arial" w:hAnsi="Arial" w:cs="Arial"/>
                <w:sz w:val="16"/>
                <w:szCs w:val="16"/>
              </w:rPr>
              <w:t xml:space="preserve">suite of Victorian Public Construction Contracts </w:t>
            </w:r>
            <w:r w:rsidR="00DD3B63">
              <w:rPr>
                <w:rFonts w:ascii="Arial" w:hAnsi="Arial" w:cs="Arial"/>
                <w:sz w:val="16"/>
                <w:szCs w:val="16"/>
              </w:rPr>
              <w:t>have</w:t>
            </w:r>
            <w:r w:rsidRPr="00D55853">
              <w:rPr>
                <w:rFonts w:ascii="Arial" w:hAnsi="Arial" w:cs="Arial"/>
                <w:sz w:val="16"/>
                <w:szCs w:val="16"/>
              </w:rPr>
              <w:t xml:space="preserve"> been updated to reflect government policy and legislative requirements.</w:t>
            </w:r>
          </w:p>
          <w:p w:rsidR="00B452CE" w:rsidRPr="00D55853" w:rsidRDefault="00B452CE" w:rsidP="00B452CE">
            <w:pPr>
              <w:spacing w:before="60" w:after="60"/>
              <w:rPr>
                <w:rFonts w:ascii="Arial" w:hAnsi="Arial" w:cs="Arial"/>
                <w:sz w:val="16"/>
                <w:szCs w:val="16"/>
              </w:rPr>
            </w:pPr>
            <w:r w:rsidRPr="00D55853">
              <w:rPr>
                <w:rFonts w:ascii="Arial" w:hAnsi="Arial" w:cs="Arial"/>
                <w:sz w:val="16"/>
                <w:szCs w:val="16"/>
              </w:rPr>
              <w:t>Refreshed special conditions for AS2124-1994 (version June 2018) and AS4300-1995 (version June 2018) have been published.</w:t>
            </w:r>
          </w:p>
          <w:p w:rsidR="00B452CE" w:rsidRPr="00D55853" w:rsidRDefault="00B452CE" w:rsidP="00B452CE">
            <w:pPr>
              <w:spacing w:before="60" w:after="60"/>
              <w:rPr>
                <w:rFonts w:ascii="Arial" w:hAnsi="Arial" w:cs="Arial"/>
                <w:sz w:val="16"/>
                <w:szCs w:val="16"/>
              </w:rPr>
            </w:pPr>
            <w:r w:rsidRPr="00D55853">
              <w:rPr>
                <w:rFonts w:ascii="Arial" w:hAnsi="Arial" w:cs="Arial"/>
                <w:sz w:val="16"/>
                <w:szCs w:val="16"/>
              </w:rPr>
              <w:t>A refreshed version of the minor works contract (version June 2018) has been published.</w:t>
            </w:r>
          </w:p>
          <w:p w:rsidR="00B452CE" w:rsidRPr="00D55853" w:rsidRDefault="00B452CE" w:rsidP="00B452CE">
            <w:pPr>
              <w:spacing w:before="60" w:after="60"/>
              <w:rPr>
                <w:rFonts w:ascii="Arial" w:hAnsi="Arial" w:cs="Arial"/>
                <w:sz w:val="16"/>
                <w:szCs w:val="16"/>
              </w:rPr>
            </w:pPr>
            <w:r w:rsidRPr="00D55853">
              <w:rPr>
                <w:rFonts w:ascii="Arial" w:hAnsi="Arial" w:cs="Arial"/>
                <w:sz w:val="16"/>
                <w:szCs w:val="16"/>
              </w:rPr>
              <w:t>A new VPS consultancy agreements (long and short forms) (version June 2018) have been published.</w:t>
            </w:r>
          </w:p>
          <w:p w:rsidR="00B452CE" w:rsidRDefault="00B452CE" w:rsidP="00D55853">
            <w:pPr>
              <w:spacing w:before="60" w:after="60"/>
              <w:rPr>
                <w:rFonts w:ascii="Arial" w:hAnsi="Arial" w:cs="Arial"/>
                <w:sz w:val="16"/>
                <w:szCs w:val="16"/>
              </w:rPr>
            </w:pPr>
            <w:r w:rsidRPr="00D55853">
              <w:rPr>
                <w:rFonts w:ascii="Arial" w:hAnsi="Arial" w:cs="Arial"/>
                <w:sz w:val="16"/>
                <w:szCs w:val="16"/>
              </w:rPr>
              <w:t>A refreshed VPS model conditions of tender (version June 2018) has been published.</w:t>
            </w:r>
          </w:p>
          <w:p w:rsidR="00B452CE" w:rsidRPr="00D55853" w:rsidRDefault="00B452CE" w:rsidP="00DD3B63">
            <w:pPr>
              <w:spacing w:before="60" w:after="60"/>
              <w:rPr>
                <w:rFonts w:ascii="Arial" w:hAnsi="Arial" w:cs="Arial"/>
                <w:sz w:val="16"/>
                <w:szCs w:val="16"/>
              </w:rPr>
            </w:pPr>
            <w:r w:rsidRPr="00D55853">
              <w:rPr>
                <w:rFonts w:ascii="Arial" w:hAnsi="Arial" w:cs="Arial"/>
                <w:sz w:val="16"/>
                <w:szCs w:val="16"/>
              </w:rPr>
              <w:t>The</w:t>
            </w:r>
            <w:r w:rsidR="00DD3B63">
              <w:rPr>
                <w:rFonts w:ascii="Arial" w:hAnsi="Arial" w:cs="Arial"/>
                <w:sz w:val="16"/>
                <w:szCs w:val="16"/>
              </w:rPr>
              <w:t>se contracts</w:t>
            </w:r>
            <w:r w:rsidRPr="00D55853">
              <w:rPr>
                <w:rFonts w:ascii="Arial" w:hAnsi="Arial" w:cs="Arial"/>
                <w:sz w:val="16"/>
                <w:szCs w:val="16"/>
              </w:rPr>
              <w:t xml:space="preserve"> are supported by practical guidance to promote a common approach to understanding issues that arise in construction contracts. Recognising that the circumstances of each project may differ, the guidance highlights relevant considerations to enable practitioners to better understand and interpret the standard documentation.</w:t>
            </w:r>
          </w:p>
        </w:tc>
      </w:tr>
      <w:tr w:rsidR="0065104F" w:rsidRPr="00B97DEA" w:rsidTr="00092BEC">
        <w:trPr>
          <w:cantSplit/>
        </w:trPr>
        <w:tc>
          <w:tcPr>
            <w:tcW w:w="1809" w:type="dxa"/>
          </w:tcPr>
          <w:p w:rsidR="0065104F" w:rsidRDefault="00723B4C" w:rsidP="005E3920">
            <w:pPr>
              <w:spacing w:before="60" w:after="60"/>
              <w:rPr>
                <w:rFonts w:ascii="Arial" w:hAnsi="Arial" w:cs="Arial"/>
                <w:sz w:val="16"/>
                <w:szCs w:val="16"/>
              </w:rPr>
            </w:pPr>
            <w:r>
              <w:rPr>
                <w:rFonts w:ascii="Arial" w:hAnsi="Arial" w:cs="Arial"/>
                <w:sz w:val="16"/>
                <w:szCs w:val="16"/>
              </w:rPr>
              <w:t>Debrief for tender participants</w:t>
            </w:r>
          </w:p>
        </w:tc>
        <w:tc>
          <w:tcPr>
            <w:tcW w:w="1418" w:type="dxa"/>
          </w:tcPr>
          <w:p w:rsidR="0065104F" w:rsidRDefault="00723B4C" w:rsidP="005E3920">
            <w:pPr>
              <w:spacing w:before="60" w:after="60"/>
              <w:rPr>
                <w:rFonts w:ascii="Arial" w:hAnsi="Arial" w:cs="Arial"/>
                <w:sz w:val="16"/>
                <w:szCs w:val="16"/>
              </w:rPr>
            </w:pPr>
            <w:r>
              <w:rPr>
                <w:rFonts w:ascii="Arial" w:hAnsi="Arial" w:cs="Arial"/>
                <w:sz w:val="16"/>
                <w:szCs w:val="16"/>
              </w:rPr>
              <w:t>GMD1 cl 2.5</w:t>
            </w:r>
          </w:p>
        </w:tc>
        <w:tc>
          <w:tcPr>
            <w:tcW w:w="1417" w:type="dxa"/>
          </w:tcPr>
          <w:p w:rsidR="0065104F" w:rsidRDefault="00723B4C" w:rsidP="005E3920">
            <w:pPr>
              <w:spacing w:before="60" w:after="60"/>
              <w:rPr>
                <w:rFonts w:ascii="Arial" w:hAnsi="Arial" w:cs="Arial"/>
                <w:sz w:val="16"/>
                <w:szCs w:val="16"/>
              </w:rPr>
            </w:pPr>
            <w:r>
              <w:rPr>
                <w:rFonts w:ascii="Arial" w:hAnsi="Arial" w:cs="Arial"/>
                <w:sz w:val="16"/>
                <w:szCs w:val="16"/>
              </w:rPr>
              <w:t>Dir 8.1</w:t>
            </w:r>
          </w:p>
          <w:p w:rsidR="00723B4C" w:rsidRDefault="00723B4C" w:rsidP="005E3920">
            <w:pPr>
              <w:spacing w:before="60" w:after="60"/>
              <w:rPr>
                <w:rFonts w:ascii="Arial" w:hAnsi="Arial" w:cs="Arial"/>
                <w:sz w:val="16"/>
                <w:szCs w:val="16"/>
              </w:rPr>
            </w:pPr>
            <w:r>
              <w:rPr>
                <w:rFonts w:ascii="Arial" w:hAnsi="Arial" w:cs="Arial"/>
                <w:sz w:val="16"/>
                <w:szCs w:val="16"/>
              </w:rPr>
              <w:t>Inst 8.1</w:t>
            </w:r>
          </w:p>
        </w:tc>
        <w:tc>
          <w:tcPr>
            <w:tcW w:w="9530" w:type="dxa"/>
          </w:tcPr>
          <w:p w:rsidR="00723B4C" w:rsidRDefault="00723B4C" w:rsidP="00723B4C">
            <w:pPr>
              <w:spacing w:before="60" w:after="60"/>
              <w:rPr>
                <w:rFonts w:ascii="Arial" w:hAnsi="Arial" w:cs="Arial"/>
                <w:sz w:val="16"/>
                <w:szCs w:val="16"/>
              </w:rPr>
            </w:pPr>
            <w:r>
              <w:rPr>
                <w:rFonts w:ascii="Arial" w:hAnsi="Arial" w:cs="Arial"/>
                <w:sz w:val="16"/>
                <w:szCs w:val="16"/>
              </w:rPr>
              <w:t>Retains the requirement to inform tender participants of the outcome of the procurement.</w:t>
            </w:r>
          </w:p>
          <w:p w:rsidR="0065104F" w:rsidRDefault="00723B4C" w:rsidP="00723B4C">
            <w:pPr>
              <w:spacing w:before="60" w:after="60"/>
              <w:rPr>
                <w:rFonts w:ascii="Arial" w:hAnsi="Arial" w:cs="Arial"/>
                <w:sz w:val="16"/>
                <w:szCs w:val="16"/>
              </w:rPr>
            </w:pPr>
            <w:r>
              <w:rPr>
                <w:rFonts w:ascii="Arial" w:hAnsi="Arial" w:cs="Arial"/>
                <w:sz w:val="16"/>
                <w:szCs w:val="16"/>
              </w:rPr>
              <w:t>Retains the requirement to offer a debrief to tender participants, conducted by an appropriately senior officer</w:t>
            </w:r>
          </w:p>
        </w:tc>
      </w:tr>
      <w:tr w:rsidR="0065104F" w:rsidRPr="00B97DEA" w:rsidTr="00092BEC">
        <w:trPr>
          <w:cantSplit/>
        </w:trPr>
        <w:tc>
          <w:tcPr>
            <w:tcW w:w="1809" w:type="dxa"/>
          </w:tcPr>
          <w:p w:rsidR="0065104F" w:rsidRDefault="00723B4C" w:rsidP="005E3920">
            <w:pPr>
              <w:spacing w:before="60" w:after="60"/>
              <w:rPr>
                <w:rFonts w:ascii="Arial" w:hAnsi="Arial" w:cs="Arial"/>
                <w:sz w:val="16"/>
                <w:szCs w:val="16"/>
              </w:rPr>
            </w:pPr>
            <w:r>
              <w:rPr>
                <w:rFonts w:ascii="Arial" w:hAnsi="Arial" w:cs="Arial"/>
                <w:sz w:val="16"/>
                <w:szCs w:val="16"/>
              </w:rPr>
              <w:t>Shared reporting regime</w:t>
            </w:r>
          </w:p>
        </w:tc>
        <w:tc>
          <w:tcPr>
            <w:tcW w:w="1418" w:type="dxa"/>
          </w:tcPr>
          <w:p w:rsidR="0065104F" w:rsidRDefault="00723B4C" w:rsidP="005E3920">
            <w:pPr>
              <w:spacing w:before="60" w:after="60"/>
              <w:rPr>
                <w:rFonts w:ascii="Arial" w:hAnsi="Arial" w:cs="Arial"/>
                <w:sz w:val="16"/>
                <w:szCs w:val="16"/>
              </w:rPr>
            </w:pPr>
            <w:r>
              <w:rPr>
                <w:rFonts w:ascii="Arial" w:hAnsi="Arial" w:cs="Arial"/>
                <w:sz w:val="16"/>
                <w:szCs w:val="16"/>
              </w:rPr>
              <w:t>GMD1 cl 5.1</w:t>
            </w:r>
          </w:p>
        </w:tc>
        <w:tc>
          <w:tcPr>
            <w:tcW w:w="1417" w:type="dxa"/>
          </w:tcPr>
          <w:p w:rsidR="00723B4C" w:rsidRDefault="00723B4C" w:rsidP="00723B4C">
            <w:pPr>
              <w:spacing w:before="60" w:after="60"/>
              <w:rPr>
                <w:rFonts w:ascii="Arial" w:hAnsi="Arial" w:cs="Arial"/>
                <w:sz w:val="16"/>
                <w:szCs w:val="16"/>
              </w:rPr>
            </w:pPr>
            <w:r>
              <w:rPr>
                <w:rFonts w:ascii="Arial" w:hAnsi="Arial" w:cs="Arial"/>
                <w:sz w:val="16"/>
                <w:szCs w:val="16"/>
              </w:rPr>
              <w:t>Dir 8.2</w:t>
            </w:r>
          </w:p>
          <w:p w:rsidR="0065104F" w:rsidRDefault="00723B4C" w:rsidP="00723B4C">
            <w:pPr>
              <w:spacing w:before="60" w:after="60"/>
              <w:rPr>
                <w:rFonts w:ascii="Arial" w:hAnsi="Arial" w:cs="Arial"/>
                <w:sz w:val="16"/>
                <w:szCs w:val="16"/>
              </w:rPr>
            </w:pPr>
            <w:r>
              <w:rPr>
                <w:rFonts w:ascii="Arial" w:hAnsi="Arial" w:cs="Arial"/>
                <w:sz w:val="16"/>
                <w:szCs w:val="16"/>
              </w:rPr>
              <w:t>Inst 8.2</w:t>
            </w:r>
          </w:p>
        </w:tc>
        <w:tc>
          <w:tcPr>
            <w:tcW w:w="9530" w:type="dxa"/>
          </w:tcPr>
          <w:p w:rsidR="0065104F" w:rsidRDefault="00723B4C" w:rsidP="00723B4C">
            <w:pPr>
              <w:spacing w:before="60" w:after="60"/>
              <w:rPr>
                <w:rFonts w:ascii="Arial" w:hAnsi="Arial" w:cs="Arial"/>
                <w:sz w:val="16"/>
                <w:szCs w:val="16"/>
              </w:rPr>
            </w:pPr>
            <w:r>
              <w:rPr>
                <w:rFonts w:ascii="Arial" w:hAnsi="Arial" w:cs="Arial"/>
                <w:sz w:val="16"/>
                <w:szCs w:val="16"/>
              </w:rPr>
              <w:t>Retains the requirement to assess how suppliers performed.</w:t>
            </w:r>
          </w:p>
          <w:p w:rsidR="00063C05" w:rsidRDefault="00063C05" w:rsidP="00723B4C">
            <w:pPr>
              <w:spacing w:before="60" w:after="60"/>
              <w:rPr>
                <w:rFonts w:ascii="Arial" w:hAnsi="Arial" w:cs="Arial"/>
                <w:sz w:val="16"/>
                <w:szCs w:val="16"/>
              </w:rPr>
            </w:pPr>
            <w:r>
              <w:rPr>
                <w:rFonts w:ascii="Arial" w:hAnsi="Arial" w:cs="Arial"/>
                <w:sz w:val="16"/>
                <w:szCs w:val="16"/>
              </w:rPr>
              <w:t>Makes explicit that the requirement for shared reporting applies to new procurement started after 1 July 2018.</w:t>
            </w:r>
          </w:p>
          <w:p w:rsidR="0024717B" w:rsidRDefault="0024717B" w:rsidP="0024717B">
            <w:pPr>
              <w:spacing w:before="60" w:after="60"/>
              <w:rPr>
                <w:rFonts w:ascii="Arial" w:hAnsi="Arial" w:cs="Arial"/>
                <w:sz w:val="16"/>
                <w:szCs w:val="16"/>
              </w:rPr>
            </w:pPr>
            <w:r w:rsidRPr="001E71FA">
              <w:rPr>
                <w:rFonts w:ascii="Arial" w:hAnsi="Arial" w:cs="Arial"/>
                <w:sz w:val="16"/>
                <w:szCs w:val="16"/>
              </w:rPr>
              <w:t>Makes explicit</w:t>
            </w:r>
            <w:r>
              <w:rPr>
                <w:rFonts w:ascii="Arial" w:hAnsi="Arial" w:cs="Arial"/>
                <w:sz w:val="16"/>
                <w:szCs w:val="16"/>
              </w:rPr>
              <w:t xml:space="preserve"> the requirement to assess how suppliers performed applies to all contracts for Works or Construction Services when:</w:t>
            </w:r>
          </w:p>
          <w:p w:rsidR="0024717B" w:rsidRDefault="0024717B" w:rsidP="0024717B">
            <w:pPr>
              <w:pStyle w:val="ListParagraph"/>
              <w:numPr>
                <w:ilvl w:val="0"/>
                <w:numId w:val="18"/>
              </w:numPr>
              <w:spacing w:before="60" w:after="60"/>
              <w:rPr>
                <w:rFonts w:ascii="Arial" w:hAnsi="Arial" w:cs="Arial"/>
                <w:sz w:val="16"/>
                <w:szCs w:val="16"/>
              </w:rPr>
            </w:pPr>
            <w:r>
              <w:rPr>
                <w:rFonts w:ascii="Arial" w:hAnsi="Arial" w:cs="Arial"/>
                <w:sz w:val="16"/>
                <w:szCs w:val="16"/>
              </w:rPr>
              <w:t>for suppliers of Works – the value of the contract engaging the supplier is $500,000 (inclusive of GST) o</w:t>
            </w:r>
            <w:r w:rsidR="00DD3B63">
              <w:rPr>
                <w:rFonts w:ascii="Arial" w:hAnsi="Arial" w:cs="Arial"/>
                <w:sz w:val="16"/>
                <w:szCs w:val="16"/>
              </w:rPr>
              <w:t>r</w:t>
            </w:r>
            <w:r>
              <w:rPr>
                <w:rFonts w:ascii="Arial" w:hAnsi="Arial" w:cs="Arial"/>
                <w:sz w:val="16"/>
                <w:szCs w:val="16"/>
              </w:rPr>
              <w:t xml:space="preserve"> higher; or</w:t>
            </w:r>
          </w:p>
          <w:p w:rsidR="0024717B" w:rsidRDefault="0024717B" w:rsidP="0024717B">
            <w:pPr>
              <w:pStyle w:val="ListParagraph"/>
              <w:numPr>
                <w:ilvl w:val="0"/>
                <w:numId w:val="18"/>
              </w:numPr>
              <w:spacing w:before="60" w:after="60"/>
              <w:rPr>
                <w:rFonts w:ascii="Arial" w:hAnsi="Arial" w:cs="Arial"/>
                <w:sz w:val="16"/>
                <w:szCs w:val="16"/>
              </w:rPr>
            </w:pPr>
            <w:r>
              <w:rPr>
                <w:rFonts w:ascii="Arial" w:hAnsi="Arial" w:cs="Arial"/>
                <w:sz w:val="16"/>
                <w:szCs w:val="16"/>
              </w:rPr>
              <w:t>for suppliers of Construction Services – the value of the contract engaging the supplier is $200,000 (inclusive of GST) o</w:t>
            </w:r>
            <w:r w:rsidR="00DD3B63">
              <w:rPr>
                <w:rFonts w:ascii="Arial" w:hAnsi="Arial" w:cs="Arial"/>
                <w:sz w:val="16"/>
                <w:szCs w:val="16"/>
              </w:rPr>
              <w:t>r</w:t>
            </w:r>
            <w:r>
              <w:rPr>
                <w:rFonts w:ascii="Arial" w:hAnsi="Arial" w:cs="Arial"/>
                <w:sz w:val="16"/>
                <w:szCs w:val="16"/>
              </w:rPr>
              <w:t xml:space="preserve"> higher.</w:t>
            </w:r>
          </w:p>
          <w:p w:rsidR="0024717B" w:rsidRDefault="0024717B" w:rsidP="0024717B">
            <w:pPr>
              <w:spacing w:before="60" w:after="60"/>
              <w:rPr>
                <w:rFonts w:ascii="Arial" w:hAnsi="Arial" w:cs="Arial"/>
                <w:sz w:val="16"/>
                <w:szCs w:val="16"/>
              </w:rPr>
            </w:pPr>
            <w:r>
              <w:rPr>
                <w:rFonts w:ascii="Arial" w:hAnsi="Arial" w:cs="Arial"/>
                <w:sz w:val="16"/>
                <w:szCs w:val="16"/>
              </w:rPr>
              <w:t>Establishes:</w:t>
            </w:r>
          </w:p>
          <w:p w:rsidR="0024717B" w:rsidRPr="00063C05" w:rsidRDefault="0024717B" w:rsidP="0024717B">
            <w:pPr>
              <w:pStyle w:val="ListParagraph"/>
              <w:numPr>
                <w:ilvl w:val="0"/>
                <w:numId w:val="19"/>
              </w:numPr>
              <w:spacing w:before="60" w:after="60"/>
              <w:rPr>
                <w:rFonts w:ascii="Arial" w:hAnsi="Arial" w:cs="Arial"/>
                <w:sz w:val="16"/>
                <w:szCs w:val="16"/>
              </w:rPr>
            </w:pPr>
            <w:r w:rsidRPr="0024717B">
              <w:rPr>
                <w:rFonts w:ascii="Arial" w:hAnsi="Arial" w:cs="Arial"/>
                <w:sz w:val="16"/>
                <w:szCs w:val="16"/>
              </w:rPr>
              <w:t xml:space="preserve">the format to be used when </w:t>
            </w:r>
            <w:r w:rsidRPr="00063C05">
              <w:rPr>
                <w:rFonts w:ascii="Arial" w:hAnsi="Arial" w:cs="Arial"/>
                <w:sz w:val="16"/>
                <w:szCs w:val="16"/>
              </w:rPr>
              <w:t>assessing suppliers;</w:t>
            </w:r>
          </w:p>
          <w:p w:rsidR="0024717B" w:rsidRDefault="0024717B" w:rsidP="0024717B">
            <w:pPr>
              <w:pStyle w:val="ListParagraph"/>
              <w:numPr>
                <w:ilvl w:val="0"/>
                <w:numId w:val="19"/>
              </w:numPr>
              <w:spacing w:before="60" w:after="60"/>
              <w:rPr>
                <w:rFonts w:ascii="Arial" w:hAnsi="Arial" w:cs="Arial"/>
                <w:sz w:val="16"/>
                <w:szCs w:val="16"/>
              </w:rPr>
            </w:pPr>
            <w:r>
              <w:rPr>
                <w:rFonts w:ascii="Arial" w:hAnsi="Arial" w:cs="Arial"/>
                <w:sz w:val="16"/>
                <w:szCs w:val="16"/>
              </w:rPr>
              <w:t>when to assess how suppliers perform – generally at six monthly intervals, within 30 days of the date for practical completion, and within 30 days of the end of the defects liability period.</w:t>
            </w:r>
          </w:p>
          <w:p w:rsidR="0024717B" w:rsidRPr="0024717B" w:rsidRDefault="0024717B" w:rsidP="009C3D2B">
            <w:pPr>
              <w:pStyle w:val="ListParagraph"/>
              <w:numPr>
                <w:ilvl w:val="0"/>
                <w:numId w:val="19"/>
              </w:numPr>
              <w:spacing w:before="60" w:after="60"/>
              <w:rPr>
                <w:rFonts w:ascii="Arial" w:hAnsi="Arial" w:cs="Arial"/>
                <w:sz w:val="16"/>
                <w:szCs w:val="16"/>
              </w:rPr>
            </w:pPr>
            <w:r w:rsidRPr="0024717B">
              <w:rPr>
                <w:rFonts w:ascii="Arial" w:hAnsi="Arial" w:cs="Arial"/>
                <w:sz w:val="16"/>
                <w:szCs w:val="16"/>
              </w:rPr>
              <w:t xml:space="preserve">the requirement to submit performance reports to a </w:t>
            </w:r>
            <w:r w:rsidR="009C3D2B">
              <w:rPr>
                <w:rFonts w:ascii="Arial" w:hAnsi="Arial" w:cs="Arial"/>
                <w:sz w:val="16"/>
                <w:szCs w:val="16"/>
              </w:rPr>
              <w:t>website or syst</w:t>
            </w:r>
            <w:r w:rsidR="000E6E85">
              <w:rPr>
                <w:rFonts w:ascii="Arial" w:hAnsi="Arial" w:cs="Arial"/>
                <w:sz w:val="16"/>
                <w:szCs w:val="16"/>
              </w:rPr>
              <w:t>em nominated by the Secretary of</w:t>
            </w:r>
            <w:r w:rsidR="009C3D2B">
              <w:rPr>
                <w:rFonts w:ascii="Arial" w:hAnsi="Arial" w:cs="Arial"/>
                <w:sz w:val="16"/>
                <w:szCs w:val="16"/>
              </w:rPr>
              <w:t xml:space="preserve"> the Department of Treasury and Finance</w:t>
            </w:r>
            <w:r w:rsidRPr="0024717B">
              <w:rPr>
                <w:rFonts w:ascii="Arial" w:hAnsi="Arial" w:cs="Arial"/>
                <w:sz w:val="16"/>
                <w:szCs w:val="16"/>
              </w:rPr>
              <w:t>.</w:t>
            </w:r>
          </w:p>
        </w:tc>
      </w:tr>
      <w:tr w:rsidR="00344732" w:rsidRPr="00B97DEA" w:rsidTr="00092BEC">
        <w:trPr>
          <w:cantSplit/>
        </w:trPr>
        <w:tc>
          <w:tcPr>
            <w:tcW w:w="1809" w:type="dxa"/>
          </w:tcPr>
          <w:p w:rsidR="00344732" w:rsidRDefault="0024717B" w:rsidP="005E3920">
            <w:pPr>
              <w:spacing w:before="60" w:after="60"/>
              <w:rPr>
                <w:rFonts w:ascii="Arial" w:hAnsi="Arial" w:cs="Arial"/>
                <w:sz w:val="16"/>
                <w:szCs w:val="16"/>
              </w:rPr>
            </w:pPr>
            <w:r>
              <w:rPr>
                <w:rFonts w:ascii="Arial" w:hAnsi="Arial" w:cs="Arial"/>
                <w:sz w:val="16"/>
                <w:szCs w:val="16"/>
              </w:rPr>
              <w:t>Complaints</w:t>
            </w:r>
          </w:p>
        </w:tc>
        <w:tc>
          <w:tcPr>
            <w:tcW w:w="1418" w:type="dxa"/>
          </w:tcPr>
          <w:p w:rsidR="00344732" w:rsidRDefault="00344732" w:rsidP="00751A85">
            <w:pPr>
              <w:spacing w:before="60" w:after="60"/>
              <w:rPr>
                <w:rFonts w:ascii="Arial" w:hAnsi="Arial" w:cs="Arial"/>
                <w:sz w:val="16"/>
                <w:szCs w:val="16"/>
              </w:rPr>
            </w:pPr>
          </w:p>
        </w:tc>
        <w:tc>
          <w:tcPr>
            <w:tcW w:w="1417" w:type="dxa"/>
          </w:tcPr>
          <w:p w:rsidR="0024717B" w:rsidRDefault="0024717B" w:rsidP="0024717B">
            <w:pPr>
              <w:spacing w:before="60" w:after="60"/>
              <w:rPr>
                <w:rFonts w:ascii="Arial" w:hAnsi="Arial" w:cs="Arial"/>
                <w:sz w:val="16"/>
                <w:szCs w:val="16"/>
              </w:rPr>
            </w:pPr>
            <w:r>
              <w:rPr>
                <w:rFonts w:ascii="Arial" w:hAnsi="Arial" w:cs="Arial"/>
                <w:sz w:val="16"/>
                <w:szCs w:val="16"/>
              </w:rPr>
              <w:t>Dir 8.3</w:t>
            </w:r>
          </w:p>
          <w:p w:rsidR="00344732" w:rsidRDefault="0024717B" w:rsidP="0024717B">
            <w:pPr>
              <w:spacing w:before="60" w:after="60"/>
              <w:rPr>
                <w:rFonts w:ascii="Arial" w:hAnsi="Arial" w:cs="Arial"/>
                <w:sz w:val="16"/>
                <w:szCs w:val="16"/>
              </w:rPr>
            </w:pPr>
            <w:r>
              <w:rPr>
                <w:rFonts w:ascii="Arial" w:hAnsi="Arial" w:cs="Arial"/>
                <w:sz w:val="16"/>
                <w:szCs w:val="16"/>
              </w:rPr>
              <w:t>Inst 8.3</w:t>
            </w:r>
          </w:p>
        </w:tc>
        <w:tc>
          <w:tcPr>
            <w:tcW w:w="9530" w:type="dxa"/>
          </w:tcPr>
          <w:p w:rsidR="00344732" w:rsidRDefault="0024717B" w:rsidP="009C3D2B">
            <w:pPr>
              <w:spacing w:before="60" w:after="60"/>
              <w:rPr>
                <w:rFonts w:ascii="Arial" w:hAnsi="Arial" w:cs="Arial"/>
                <w:sz w:val="16"/>
                <w:szCs w:val="16"/>
              </w:rPr>
            </w:pPr>
            <w:r w:rsidRPr="001E71FA">
              <w:rPr>
                <w:rFonts w:ascii="Arial" w:hAnsi="Arial" w:cs="Arial"/>
                <w:sz w:val="16"/>
                <w:szCs w:val="16"/>
              </w:rPr>
              <w:t>Makes explicit</w:t>
            </w:r>
            <w:r>
              <w:rPr>
                <w:rFonts w:ascii="Arial" w:hAnsi="Arial" w:cs="Arial"/>
                <w:sz w:val="16"/>
                <w:szCs w:val="16"/>
              </w:rPr>
              <w:t xml:space="preserve"> the long standing requirement that Agencies must establish appropriate processes to respond to complaints raised by tender participants (and potential tender participants).</w:t>
            </w:r>
          </w:p>
        </w:tc>
      </w:tr>
      <w:tr w:rsidR="00344732" w:rsidRPr="00B97DEA" w:rsidTr="00092BEC">
        <w:trPr>
          <w:cantSplit/>
        </w:trPr>
        <w:tc>
          <w:tcPr>
            <w:tcW w:w="1809" w:type="dxa"/>
          </w:tcPr>
          <w:p w:rsidR="00344732" w:rsidRDefault="0024717B" w:rsidP="0034221B">
            <w:pPr>
              <w:spacing w:before="60" w:after="60"/>
              <w:rPr>
                <w:rFonts w:ascii="Arial" w:hAnsi="Arial" w:cs="Arial"/>
                <w:sz w:val="16"/>
                <w:szCs w:val="16"/>
              </w:rPr>
            </w:pPr>
            <w:r>
              <w:rPr>
                <w:rFonts w:ascii="Arial" w:hAnsi="Arial" w:cs="Arial"/>
                <w:sz w:val="16"/>
                <w:szCs w:val="16"/>
              </w:rPr>
              <w:lastRenderedPageBreak/>
              <w:t xml:space="preserve">Public Construction </w:t>
            </w:r>
            <w:r w:rsidR="0034221B">
              <w:rPr>
                <w:rFonts w:ascii="Arial" w:hAnsi="Arial" w:cs="Arial"/>
                <w:sz w:val="16"/>
                <w:szCs w:val="16"/>
              </w:rPr>
              <w:t>P</w:t>
            </w:r>
            <w:r>
              <w:rPr>
                <w:rFonts w:ascii="Arial" w:hAnsi="Arial" w:cs="Arial"/>
                <w:sz w:val="16"/>
                <w:szCs w:val="16"/>
              </w:rPr>
              <w:t>rocurement Committee</w:t>
            </w:r>
          </w:p>
        </w:tc>
        <w:tc>
          <w:tcPr>
            <w:tcW w:w="1418" w:type="dxa"/>
          </w:tcPr>
          <w:p w:rsidR="00344732" w:rsidRDefault="0034221B" w:rsidP="00751A85">
            <w:pPr>
              <w:spacing w:before="60" w:after="60"/>
              <w:rPr>
                <w:rFonts w:ascii="Arial" w:hAnsi="Arial" w:cs="Arial"/>
                <w:sz w:val="16"/>
                <w:szCs w:val="16"/>
              </w:rPr>
            </w:pPr>
            <w:r>
              <w:rPr>
                <w:rFonts w:ascii="Arial" w:hAnsi="Arial" w:cs="Arial"/>
                <w:sz w:val="16"/>
                <w:szCs w:val="16"/>
              </w:rPr>
              <w:t>GMD2 cl 5</w:t>
            </w:r>
          </w:p>
        </w:tc>
        <w:tc>
          <w:tcPr>
            <w:tcW w:w="1417" w:type="dxa"/>
          </w:tcPr>
          <w:p w:rsidR="0024717B" w:rsidRDefault="0024717B" w:rsidP="0024717B">
            <w:pPr>
              <w:spacing w:before="60" w:after="60"/>
              <w:rPr>
                <w:rFonts w:ascii="Arial" w:hAnsi="Arial" w:cs="Arial"/>
                <w:sz w:val="16"/>
                <w:szCs w:val="16"/>
              </w:rPr>
            </w:pPr>
            <w:r>
              <w:rPr>
                <w:rFonts w:ascii="Arial" w:hAnsi="Arial" w:cs="Arial"/>
                <w:sz w:val="16"/>
                <w:szCs w:val="16"/>
              </w:rPr>
              <w:t>Dir 8.4</w:t>
            </w:r>
          </w:p>
          <w:p w:rsidR="00344732" w:rsidRDefault="0024717B" w:rsidP="0024717B">
            <w:pPr>
              <w:spacing w:before="60" w:after="60"/>
              <w:rPr>
                <w:rFonts w:ascii="Arial" w:hAnsi="Arial" w:cs="Arial"/>
                <w:sz w:val="16"/>
                <w:szCs w:val="16"/>
              </w:rPr>
            </w:pPr>
            <w:r>
              <w:rPr>
                <w:rFonts w:ascii="Arial" w:hAnsi="Arial" w:cs="Arial"/>
                <w:sz w:val="16"/>
                <w:szCs w:val="16"/>
              </w:rPr>
              <w:t>Inst 8.4</w:t>
            </w:r>
          </w:p>
        </w:tc>
        <w:tc>
          <w:tcPr>
            <w:tcW w:w="9530" w:type="dxa"/>
          </w:tcPr>
          <w:p w:rsidR="0034221B" w:rsidRDefault="0034221B" w:rsidP="0034221B">
            <w:pPr>
              <w:spacing w:before="60" w:after="60"/>
              <w:rPr>
                <w:rFonts w:ascii="Arial" w:hAnsi="Arial" w:cs="Arial"/>
                <w:sz w:val="16"/>
                <w:szCs w:val="16"/>
              </w:rPr>
            </w:pPr>
            <w:r>
              <w:rPr>
                <w:rFonts w:ascii="Arial" w:hAnsi="Arial" w:cs="Arial"/>
                <w:sz w:val="16"/>
                <w:szCs w:val="16"/>
              </w:rPr>
              <w:t>Retains use of an advisory committee.</w:t>
            </w:r>
            <w:r w:rsidR="00DF5019">
              <w:rPr>
                <w:rFonts w:ascii="Arial" w:hAnsi="Arial" w:cs="Arial"/>
                <w:sz w:val="16"/>
                <w:szCs w:val="16"/>
              </w:rPr>
              <w:t xml:space="preserve">  Formerly called the Construction Contracts Advisory Panel, now called the Public Construction Procurement Committee.</w:t>
            </w:r>
          </w:p>
          <w:p w:rsidR="00344732" w:rsidRDefault="0034221B" w:rsidP="009C3D2B">
            <w:pPr>
              <w:spacing w:before="60" w:after="60"/>
              <w:rPr>
                <w:rFonts w:ascii="Arial" w:hAnsi="Arial" w:cs="Arial"/>
                <w:sz w:val="16"/>
                <w:szCs w:val="16"/>
              </w:rPr>
            </w:pPr>
            <w:r>
              <w:rPr>
                <w:rFonts w:ascii="Arial" w:hAnsi="Arial" w:cs="Arial"/>
                <w:sz w:val="16"/>
                <w:szCs w:val="16"/>
              </w:rPr>
              <w:t>Focus of the advisory committee will be to support implementation of the Directions and to ensure that the Directions remain relevant and responsive to the commercial and regulatory environment</w:t>
            </w:r>
            <w:r w:rsidR="00BF51D7">
              <w:rPr>
                <w:rFonts w:ascii="Arial" w:hAnsi="Arial" w:cs="Arial"/>
                <w:sz w:val="16"/>
                <w:szCs w:val="16"/>
              </w:rPr>
              <w:t>.</w:t>
            </w:r>
          </w:p>
        </w:tc>
      </w:tr>
      <w:tr w:rsidR="0034221B" w:rsidRPr="00B97DEA" w:rsidTr="00092BEC">
        <w:trPr>
          <w:cantSplit/>
        </w:trPr>
        <w:tc>
          <w:tcPr>
            <w:tcW w:w="1809" w:type="dxa"/>
          </w:tcPr>
          <w:p w:rsidR="0034221B" w:rsidRDefault="00DF5019" w:rsidP="00827DDB">
            <w:pPr>
              <w:spacing w:before="60" w:after="60"/>
              <w:rPr>
                <w:rFonts w:ascii="Arial" w:hAnsi="Arial" w:cs="Arial"/>
                <w:sz w:val="16"/>
                <w:szCs w:val="16"/>
              </w:rPr>
            </w:pPr>
            <w:r>
              <w:rPr>
                <w:rFonts w:ascii="Arial" w:hAnsi="Arial" w:cs="Arial"/>
                <w:sz w:val="16"/>
                <w:szCs w:val="16"/>
              </w:rPr>
              <w:t>Standards</w:t>
            </w:r>
          </w:p>
        </w:tc>
        <w:tc>
          <w:tcPr>
            <w:tcW w:w="1418" w:type="dxa"/>
          </w:tcPr>
          <w:p w:rsidR="0034221B" w:rsidRDefault="00DF5019" w:rsidP="00827DDB">
            <w:pPr>
              <w:spacing w:before="60" w:after="60"/>
              <w:rPr>
                <w:rFonts w:ascii="Arial" w:hAnsi="Arial" w:cs="Arial"/>
                <w:sz w:val="16"/>
                <w:szCs w:val="16"/>
              </w:rPr>
            </w:pPr>
            <w:r>
              <w:rPr>
                <w:rFonts w:ascii="Arial" w:hAnsi="Arial" w:cs="Arial"/>
                <w:sz w:val="16"/>
                <w:szCs w:val="16"/>
              </w:rPr>
              <w:t>MD4</w:t>
            </w:r>
          </w:p>
        </w:tc>
        <w:tc>
          <w:tcPr>
            <w:tcW w:w="1417" w:type="dxa"/>
          </w:tcPr>
          <w:p w:rsidR="0034221B" w:rsidRDefault="00DF5019" w:rsidP="00827DDB">
            <w:pPr>
              <w:spacing w:before="60" w:after="60"/>
              <w:rPr>
                <w:rFonts w:ascii="Arial" w:hAnsi="Arial" w:cs="Arial"/>
                <w:sz w:val="16"/>
                <w:szCs w:val="16"/>
              </w:rPr>
            </w:pPr>
            <w:r>
              <w:rPr>
                <w:rFonts w:ascii="Arial" w:hAnsi="Arial" w:cs="Arial"/>
                <w:sz w:val="16"/>
                <w:szCs w:val="16"/>
              </w:rPr>
              <w:t>Dir 9</w:t>
            </w:r>
          </w:p>
          <w:p w:rsidR="00DF5019" w:rsidRDefault="00DF5019" w:rsidP="00827DDB">
            <w:pPr>
              <w:spacing w:before="60" w:after="60"/>
              <w:rPr>
                <w:rFonts w:ascii="Arial" w:hAnsi="Arial" w:cs="Arial"/>
                <w:sz w:val="16"/>
                <w:szCs w:val="16"/>
              </w:rPr>
            </w:pPr>
            <w:r>
              <w:rPr>
                <w:rFonts w:ascii="Arial" w:hAnsi="Arial" w:cs="Arial"/>
                <w:sz w:val="16"/>
                <w:szCs w:val="16"/>
              </w:rPr>
              <w:t>Inst 9.1</w:t>
            </w:r>
          </w:p>
          <w:p w:rsidR="0009569D" w:rsidRDefault="0009569D" w:rsidP="00827DDB">
            <w:pPr>
              <w:spacing w:before="60" w:after="60"/>
              <w:rPr>
                <w:rFonts w:ascii="Arial" w:hAnsi="Arial" w:cs="Arial"/>
                <w:sz w:val="16"/>
                <w:szCs w:val="16"/>
              </w:rPr>
            </w:pPr>
            <w:r>
              <w:rPr>
                <w:rFonts w:ascii="Arial" w:hAnsi="Arial" w:cs="Arial"/>
                <w:sz w:val="16"/>
                <w:szCs w:val="16"/>
              </w:rPr>
              <w:t>Dir 11.1.5</w:t>
            </w:r>
          </w:p>
        </w:tc>
        <w:tc>
          <w:tcPr>
            <w:tcW w:w="9530" w:type="dxa"/>
          </w:tcPr>
          <w:p w:rsidR="0009569D" w:rsidRDefault="00DF5019" w:rsidP="0009569D">
            <w:pPr>
              <w:spacing w:before="60" w:after="60"/>
              <w:rPr>
                <w:rFonts w:ascii="Arial" w:hAnsi="Arial" w:cs="Arial"/>
                <w:sz w:val="16"/>
                <w:szCs w:val="16"/>
              </w:rPr>
            </w:pPr>
            <w:r>
              <w:rPr>
                <w:rFonts w:ascii="Arial" w:hAnsi="Arial" w:cs="Arial"/>
                <w:sz w:val="16"/>
                <w:szCs w:val="16"/>
              </w:rPr>
              <w:t xml:space="preserve">Retains power under the </w:t>
            </w:r>
            <w:r w:rsidRPr="00CB1828">
              <w:rPr>
                <w:rFonts w:ascii="Arial" w:hAnsi="Arial" w:cs="Arial"/>
                <w:b/>
                <w:sz w:val="16"/>
                <w:szCs w:val="16"/>
              </w:rPr>
              <w:t>Project Development and Construction Management Act 1994 (Vic)</w:t>
            </w:r>
            <w:r>
              <w:rPr>
                <w:rFonts w:ascii="Arial" w:hAnsi="Arial" w:cs="Arial"/>
                <w:sz w:val="16"/>
                <w:szCs w:val="16"/>
              </w:rPr>
              <w:t xml:space="preserve"> for the publication of standards.</w:t>
            </w:r>
            <w:r w:rsidR="0009569D">
              <w:rPr>
                <w:rFonts w:ascii="Arial" w:hAnsi="Arial" w:cs="Arial"/>
                <w:sz w:val="16"/>
                <w:szCs w:val="16"/>
              </w:rPr>
              <w:t xml:space="preserve"> Provides the power to the Secretary of the Department of Treasury and Finance to issue Standards.</w:t>
            </w:r>
          </w:p>
          <w:p w:rsidR="00DF5019" w:rsidRDefault="0009569D" w:rsidP="000D3C64">
            <w:pPr>
              <w:spacing w:before="60" w:after="60"/>
              <w:rPr>
                <w:rFonts w:ascii="Arial" w:hAnsi="Arial" w:cs="Arial"/>
                <w:sz w:val="16"/>
                <w:szCs w:val="16"/>
              </w:rPr>
            </w:pPr>
            <w:r>
              <w:rPr>
                <w:rFonts w:ascii="Arial" w:hAnsi="Arial" w:cs="Arial"/>
                <w:sz w:val="16"/>
                <w:szCs w:val="16"/>
              </w:rPr>
              <w:t xml:space="preserve">2016 Ministerial Direction </w:t>
            </w:r>
            <w:r w:rsidR="00D24221">
              <w:rPr>
                <w:rFonts w:ascii="Arial" w:hAnsi="Arial" w:cs="Arial"/>
                <w:sz w:val="16"/>
                <w:szCs w:val="16"/>
              </w:rPr>
              <w:t xml:space="preserve">No. </w:t>
            </w:r>
            <w:r>
              <w:rPr>
                <w:rFonts w:ascii="Arial" w:hAnsi="Arial" w:cs="Arial"/>
                <w:sz w:val="16"/>
                <w:szCs w:val="16"/>
              </w:rPr>
              <w:t xml:space="preserve">4 - </w:t>
            </w:r>
            <w:r w:rsidRPr="008B764C">
              <w:rPr>
                <w:rFonts w:ascii="Arial" w:hAnsi="Arial" w:cs="Arial"/>
                <w:sz w:val="16"/>
                <w:szCs w:val="16"/>
              </w:rPr>
              <w:t>Construction requirements for a community fire refuge</w:t>
            </w:r>
            <w:r>
              <w:rPr>
                <w:rFonts w:ascii="Arial" w:hAnsi="Arial" w:cs="Arial"/>
                <w:sz w:val="16"/>
                <w:szCs w:val="16"/>
              </w:rPr>
              <w:t xml:space="preserve"> has been repealed and </w:t>
            </w:r>
            <w:r w:rsidR="009C3D2B">
              <w:rPr>
                <w:rFonts w:ascii="Arial" w:hAnsi="Arial" w:cs="Arial"/>
                <w:sz w:val="16"/>
                <w:szCs w:val="16"/>
              </w:rPr>
              <w:t xml:space="preserve">is </w:t>
            </w:r>
            <w:r>
              <w:rPr>
                <w:rFonts w:ascii="Arial" w:hAnsi="Arial" w:cs="Arial"/>
                <w:sz w:val="16"/>
                <w:szCs w:val="16"/>
              </w:rPr>
              <w:t>replaced</w:t>
            </w:r>
            <w:r w:rsidR="000D3C64">
              <w:rPr>
                <w:rFonts w:ascii="Arial" w:hAnsi="Arial" w:cs="Arial"/>
                <w:sz w:val="16"/>
                <w:szCs w:val="16"/>
              </w:rPr>
              <w:t xml:space="preserve"> without amendment</w:t>
            </w:r>
            <w:r>
              <w:rPr>
                <w:rFonts w:ascii="Arial" w:hAnsi="Arial" w:cs="Arial"/>
                <w:sz w:val="16"/>
                <w:szCs w:val="16"/>
              </w:rPr>
              <w:t xml:space="preserve"> by 2018 Instruction 9.1.1 Standard for constructing a community fire refuge.</w:t>
            </w:r>
          </w:p>
        </w:tc>
      </w:tr>
      <w:tr w:rsidR="0034221B" w:rsidRPr="00B97DEA" w:rsidTr="00092BEC">
        <w:trPr>
          <w:cantSplit/>
        </w:trPr>
        <w:tc>
          <w:tcPr>
            <w:tcW w:w="1809" w:type="dxa"/>
          </w:tcPr>
          <w:p w:rsidR="0034221B" w:rsidRDefault="00DF5019" w:rsidP="00827DDB">
            <w:pPr>
              <w:spacing w:before="60" w:after="60"/>
              <w:rPr>
                <w:rFonts w:ascii="Arial" w:hAnsi="Arial" w:cs="Arial"/>
                <w:sz w:val="16"/>
                <w:szCs w:val="16"/>
              </w:rPr>
            </w:pPr>
            <w:r>
              <w:rPr>
                <w:rFonts w:ascii="Arial" w:hAnsi="Arial" w:cs="Arial"/>
                <w:sz w:val="16"/>
                <w:szCs w:val="16"/>
              </w:rPr>
              <w:t>Responsibilities of the Accountable Officer</w:t>
            </w:r>
          </w:p>
        </w:tc>
        <w:tc>
          <w:tcPr>
            <w:tcW w:w="1418" w:type="dxa"/>
          </w:tcPr>
          <w:p w:rsidR="0034221B" w:rsidRDefault="0034221B" w:rsidP="00827DDB">
            <w:pPr>
              <w:spacing w:before="60" w:after="60"/>
              <w:rPr>
                <w:rFonts w:ascii="Arial" w:hAnsi="Arial" w:cs="Arial"/>
                <w:sz w:val="16"/>
                <w:szCs w:val="16"/>
              </w:rPr>
            </w:pPr>
          </w:p>
        </w:tc>
        <w:tc>
          <w:tcPr>
            <w:tcW w:w="1417" w:type="dxa"/>
          </w:tcPr>
          <w:p w:rsidR="0034221B" w:rsidRDefault="00DF5019" w:rsidP="00827DDB">
            <w:pPr>
              <w:spacing w:before="60" w:after="60"/>
              <w:rPr>
                <w:rFonts w:ascii="Arial" w:hAnsi="Arial" w:cs="Arial"/>
                <w:sz w:val="16"/>
                <w:szCs w:val="16"/>
              </w:rPr>
            </w:pPr>
            <w:r>
              <w:rPr>
                <w:rFonts w:ascii="Arial" w:hAnsi="Arial" w:cs="Arial"/>
                <w:sz w:val="16"/>
                <w:szCs w:val="16"/>
              </w:rPr>
              <w:t>Dir 10.1</w:t>
            </w:r>
          </w:p>
          <w:p w:rsidR="00DF5019" w:rsidRDefault="00DF5019" w:rsidP="00827DDB">
            <w:pPr>
              <w:spacing w:before="60" w:after="60"/>
              <w:rPr>
                <w:rFonts w:ascii="Arial" w:hAnsi="Arial" w:cs="Arial"/>
                <w:sz w:val="16"/>
                <w:szCs w:val="16"/>
              </w:rPr>
            </w:pPr>
            <w:r>
              <w:rPr>
                <w:rFonts w:ascii="Arial" w:hAnsi="Arial" w:cs="Arial"/>
                <w:sz w:val="16"/>
                <w:szCs w:val="16"/>
              </w:rPr>
              <w:t>Inst 10.1</w:t>
            </w:r>
          </w:p>
        </w:tc>
        <w:tc>
          <w:tcPr>
            <w:tcW w:w="9530" w:type="dxa"/>
          </w:tcPr>
          <w:p w:rsidR="0034221B" w:rsidRDefault="00611B52" w:rsidP="00611B52">
            <w:pPr>
              <w:spacing w:before="60" w:after="60"/>
              <w:rPr>
                <w:rFonts w:ascii="Arial" w:hAnsi="Arial" w:cs="Arial"/>
                <w:sz w:val="16"/>
                <w:szCs w:val="16"/>
              </w:rPr>
            </w:pPr>
            <w:r w:rsidRPr="001E71FA">
              <w:rPr>
                <w:rFonts w:ascii="Arial" w:hAnsi="Arial" w:cs="Arial"/>
                <w:sz w:val="16"/>
                <w:szCs w:val="16"/>
              </w:rPr>
              <w:t>Makes explicit</w:t>
            </w:r>
            <w:r>
              <w:rPr>
                <w:rFonts w:ascii="Arial" w:hAnsi="Arial" w:cs="Arial"/>
                <w:sz w:val="16"/>
                <w:szCs w:val="16"/>
              </w:rPr>
              <w:t xml:space="preserve"> the long standing requirement that the Accountable Officer is responsible to:</w:t>
            </w:r>
          </w:p>
          <w:p w:rsidR="00611B52" w:rsidRDefault="00611B52" w:rsidP="00611B52">
            <w:pPr>
              <w:pStyle w:val="ListParagraph"/>
              <w:numPr>
                <w:ilvl w:val="0"/>
                <w:numId w:val="20"/>
              </w:numPr>
              <w:spacing w:before="60" w:after="60"/>
              <w:rPr>
                <w:rFonts w:ascii="Arial" w:hAnsi="Arial" w:cs="Arial"/>
                <w:sz w:val="16"/>
                <w:szCs w:val="16"/>
              </w:rPr>
            </w:pPr>
            <w:r>
              <w:rPr>
                <w:rFonts w:ascii="Arial" w:hAnsi="Arial" w:cs="Arial"/>
                <w:sz w:val="16"/>
                <w:szCs w:val="16"/>
              </w:rPr>
              <w:t>ensure the Agency is appropriately resourced with staff qualified and skilled to undertake construction procurement;</w:t>
            </w:r>
          </w:p>
          <w:p w:rsidR="00611B52" w:rsidRDefault="00611B52" w:rsidP="00611B52">
            <w:pPr>
              <w:pStyle w:val="ListParagraph"/>
              <w:numPr>
                <w:ilvl w:val="0"/>
                <w:numId w:val="20"/>
              </w:numPr>
              <w:spacing w:before="60" w:after="60"/>
              <w:rPr>
                <w:rFonts w:ascii="Arial" w:hAnsi="Arial" w:cs="Arial"/>
                <w:sz w:val="16"/>
                <w:szCs w:val="16"/>
              </w:rPr>
            </w:pPr>
            <w:r>
              <w:rPr>
                <w:rFonts w:ascii="Arial" w:hAnsi="Arial" w:cs="Arial"/>
                <w:sz w:val="16"/>
                <w:szCs w:val="16"/>
              </w:rPr>
              <w:t>establish appropriate and effective governance frameworks to ensure compliance with the Directions and Instructions including appropriate records management systems;</w:t>
            </w:r>
          </w:p>
          <w:p w:rsidR="00611B52" w:rsidRDefault="00783878" w:rsidP="00611B52">
            <w:pPr>
              <w:pStyle w:val="ListParagraph"/>
              <w:numPr>
                <w:ilvl w:val="0"/>
                <w:numId w:val="20"/>
              </w:numPr>
              <w:spacing w:before="60" w:after="60"/>
              <w:rPr>
                <w:rFonts w:ascii="Arial" w:hAnsi="Arial" w:cs="Arial"/>
                <w:sz w:val="16"/>
                <w:szCs w:val="16"/>
              </w:rPr>
            </w:pPr>
            <w:r>
              <w:rPr>
                <w:rFonts w:ascii="Arial" w:hAnsi="Arial" w:cs="Arial"/>
                <w:sz w:val="16"/>
                <w:szCs w:val="16"/>
              </w:rPr>
              <w:t>ensure appropriate responsibility, authority and accountability for construction procurement; and</w:t>
            </w:r>
          </w:p>
          <w:p w:rsidR="00783878" w:rsidRDefault="00783878" w:rsidP="00783878">
            <w:pPr>
              <w:pStyle w:val="ListParagraph"/>
              <w:numPr>
                <w:ilvl w:val="0"/>
                <w:numId w:val="20"/>
              </w:numPr>
              <w:spacing w:before="60" w:after="60"/>
              <w:rPr>
                <w:rFonts w:ascii="Arial" w:hAnsi="Arial" w:cs="Arial"/>
                <w:sz w:val="16"/>
                <w:szCs w:val="16"/>
              </w:rPr>
            </w:pPr>
            <w:r>
              <w:rPr>
                <w:rFonts w:ascii="Arial" w:hAnsi="Arial" w:cs="Arial"/>
                <w:sz w:val="16"/>
                <w:szCs w:val="16"/>
              </w:rPr>
              <w:t>ensure that exemptions form the Directions and Instructions are sought and implemented appropriately.</w:t>
            </w:r>
          </w:p>
          <w:p w:rsidR="00783878" w:rsidRDefault="00783878" w:rsidP="00783878">
            <w:pPr>
              <w:spacing w:before="60" w:after="60"/>
              <w:rPr>
                <w:rFonts w:ascii="Arial" w:hAnsi="Arial" w:cs="Arial"/>
                <w:sz w:val="16"/>
                <w:szCs w:val="16"/>
              </w:rPr>
            </w:pPr>
            <w:r>
              <w:rPr>
                <w:rFonts w:ascii="Arial" w:hAnsi="Arial" w:cs="Arial"/>
                <w:sz w:val="16"/>
                <w:szCs w:val="16"/>
              </w:rPr>
              <w:t xml:space="preserve">Establishes that the Directions and Instructions are enforced by the </w:t>
            </w:r>
            <w:r w:rsidRPr="00783878">
              <w:rPr>
                <w:rFonts w:ascii="Arial" w:hAnsi="Arial" w:cs="Arial"/>
                <w:b/>
                <w:sz w:val="16"/>
                <w:szCs w:val="16"/>
              </w:rPr>
              <w:t>Financial Management Act Standing Directions of the Minister for Finance 2016</w:t>
            </w:r>
            <w:r>
              <w:rPr>
                <w:rFonts w:ascii="Arial" w:hAnsi="Arial" w:cs="Arial"/>
                <w:b/>
                <w:sz w:val="16"/>
                <w:szCs w:val="16"/>
              </w:rPr>
              <w:t>.</w:t>
            </w:r>
            <w:r>
              <w:rPr>
                <w:rFonts w:ascii="Arial" w:hAnsi="Arial" w:cs="Arial"/>
                <w:sz w:val="16"/>
                <w:szCs w:val="16"/>
              </w:rPr>
              <w:t xml:space="preserve"> </w:t>
            </w:r>
            <w:r w:rsidR="009C3D2B">
              <w:rPr>
                <w:rFonts w:ascii="Arial" w:hAnsi="Arial" w:cs="Arial"/>
                <w:sz w:val="16"/>
                <w:szCs w:val="16"/>
              </w:rPr>
              <w:t xml:space="preserve"> </w:t>
            </w:r>
            <w:r>
              <w:rPr>
                <w:rFonts w:ascii="Arial" w:hAnsi="Arial" w:cs="Arial"/>
                <w:sz w:val="16"/>
                <w:szCs w:val="16"/>
              </w:rPr>
              <w:t>The Standing Directions 2016 set out a number of relevant matters including :</w:t>
            </w:r>
          </w:p>
          <w:p w:rsidR="00783878" w:rsidRDefault="00783878" w:rsidP="00783878">
            <w:pPr>
              <w:pStyle w:val="ListParagraph"/>
              <w:numPr>
                <w:ilvl w:val="0"/>
                <w:numId w:val="21"/>
              </w:numPr>
              <w:spacing w:before="60" w:after="60"/>
              <w:rPr>
                <w:rFonts w:ascii="Arial" w:hAnsi="Arial" w:cs="Arial"/>
                <w:sz w:val="16"/>
                <w:szCs w:val="16"/>
              </w:rPr>
            </w:pPr>
            <w:r>
              <w:rPr>
                <w:rFonts w:ascii="Arial" w:hAnsi="Arial" w:cs="Arial"/>
                <w:sz w:val="16"/>
                <w:szCs w:val="16"/>
              </w:rPr>
              <w:t>Standing Direction 4.2.4 – requires the Agency to apply the Directions</w:t>
            </w:r>
            <w:r w:rsidR="003B5393">
              <w:rPr>
                <w:rFonts w:ascii="Arial" w:hAnsi="Arial" w:cs="Arial"/>
                <w:sz w:val="16"/>
                <w:szCs w:val="16"/>
              </w:rPr>
              <w:t xml:space="preserve"> and Instructions (requirement also exists from the </w:t>
            </w:r>
            <w:r w:rsidR="003B5393" w:rsidRPr="00CB1828">
              <w:rPr>
                <w:rFonts w:ascii="Arial" w:hAnsi="Arial" w:cs="Arial"/>
                <w:b/>
                <w:sz w:val="16"/>
                <w:szCs w:val="16"/>
              </w:rPr>
              <w:t>Project Development and Construction Management Act 1994 (Vic</w:t>
            </w:r>
            <w:r w:rsidR="003B5393">
              <w:rPr>
                <w:rFonts w:ascii="Arial" w:hAnsi="Arial" w:cs="Arial"/>
                <w:b/>
                <w:sz w:val="16"/>
                <w:szCs w:val="16"/>
              </w:rPr>
              <w:t>)</w:t>
            </w:r>
            <w:r w:rsidR="003B5393" w:rsidRPr="003B5393">
              <w:rPr>
                <w:rFonts w:ascii="Arial" w:hAnsi="Arial" w:cs="Arial"/>
                <w:sz w:val="16"/>
                <w:szCs w:val="16"/>
              </w:rPr>
              <w:t>)</w:t>
            </w:r>
            <w:r w:rsidR="003B5393">
              <w:rPr>
                <w:rFonts w:ascii="Arial" w:hAnsi="Arial" w:cs="Arial"/>
                <w:sz w:val="16"/>
                <w:szCs w:val="16"/>
              </w:rPr>
              <w:t xml:space="preserve"> </w:t>
            </w:r>
            <w:r>
              <w:rPr>
                <w:rFonts w:ascii="Arial" w:hAnsi="Arial" w:cs="Arial"/>
                <w:sz w:val="16"/>
                <w:szCs w:val="16"/>
              </w:rPr>
              <w:t>;</w:t>
            </w:r>
          </w:p>
          <w:p w:rsidR="00783878" w:rsidRDefault="00783878" w:rsidP="00783878">
            <w:pPr>
              <w:pStyle w:val="ListParagraph"/>
              <w:numPr>
                <w:ilvl w:val="0"/>
                <w:numId w:val="21"/>
              </w:numPr>
              <w:spacing w:before="60" w:after="60"/>
              <w:rPr>
                <w:rFonts w:ascii="Arial" w:hAnsi="Arial" w:cs="Arial"/>
                <w:sz w:val="16"/>
                <w:szCs w:val="16"/>
              </w:rPr>
            </w:pPr>
            <w:r>
              <w:rPr>
                <w:rFonts w:ascii="Arial" w:hAnsi="Arial" w:cs="Arial"/>
                <w:sz w:val="16"/>
                <w:szCs w:val="16"/>
              </w:rPr>
              <w:t xml:space="preserve">Standing Direction 4.2.1 </w:t>
            </w:r>
            <w:r w:rsidR="003B5393">
              <w:rPr>
                <w:rFonts w:ascii="Arial" w:hAnsi="Arial" w:cs="Arial"/>
                <w:sz w:val="16"/>
                <w:szCs w:val="16"/>
              </w:rPr>
              <w:t>–</w:t>
            </w:r>
            <w:r>
              <w:rPr>
                <w:rFonts w:ascii="Arial" w:hAnsi="Arial" w:cs="Arial"/>
                <w:sz w:val="16"/>
                <w:szCs w:val="16"/>
              </w:rPr>
              <w:t xml:space="preserve"> </w:t>
            </w:r>
            <w:r w:rsidR="003B5393">
              <w:rPr>
                <w:rFonts w:ascii="Arial" w:hAnsi="Arial" w:cs="Arial"/>
                <w:sz w:val="16"/>
                <w:szCs w:val="16"/>
              </w:rPr>
              <w:t>acquisition of assets, goods and services</w:t>
            </w:r>
            <w:r w:rsidR="00ED22EE">
              <w:rPr>
                <w:rFonts w:ascii="Arial" w:hAnsi="Arial" w:cs="Arial"/>
                <w:sz w:val="16"/>
                <w:szCs w:val="16"/>
              </w:rPr>
              <w:t xml:space="preserve"> – procuring goods and services, including commissioning and establish</w:t>
            </w:r>
            <w:r w:rsidR="000D3C64">
              <w:rPr>
                <w:rFonts w:ascii="Arial" w:hAnsi="Arial" w:cs="Arial"/>
                <w:sz w:val="16"/>
                <w:szCs w:val="16"/>
              </w:rPr>
              <w:t>ing</w:t>
            </w:r>
            <w:r w:rsidR="00ED22EE">
              <w:rPr>
                <w:rFonts w:ascii="Arial" w:hAnsi="Arial" w:cs="Arial"/>
                <w:sz w:val="16"/>
                <w:szCs w:val="16"/>
              </w:rPr>
              <w:t xml:space="preserve"> performance and financial standards and processes.</w:t>
            </w:r>
          </w:p>
          <w:p w:rsidR="00783878" w:rsidRDefault="003B5393" w:rsidP="00783878">
            <w:pPr>
              <w:pStyle w:val="ListParagraph"/>
              <w:numPr>
                <w:ilvl w:val="0"/>
                <w:numId w:val="21"/>
              </w:numPr>
              <w:spacing w:before="60" w:after="60"/>
              <w:rPr>
                <w:rFonts w:ascii="Arial" w:hAnsi="Arial" w:cs="Arial"/>
                <w:sz w:val="16"/>
                <w:szCs w:val="16"/>
              </w:rPr>
            </w:pPr>
            <w:r>
              <w:rPr>
                <w:rFonts w:ascii="Arial" w:hAnsi="Arial" w:cs="Arial"/>
                <w:sz w:val="16"/>
                <w:szCs w:val="16"/>
              </w:rPr>
              <w:t xml:space="preserve">Standing Direction 5 - </w:t>
            </w:r>
            <w:r w:rsidR="00783878" w:rsidRPr="00783878">
              <w:rPr>
                <w:rFonts w:ascii="Arial" w:hAnsi="Arial" w:cs="Arial"/>
                <w:sz w:val="16"/>
                <w:szCs w:val="16"/>
              </w:rPr>
              <w:t>the requirement to demonstrate compliance with th</w:t>
            </w:r>
            <w:r w:rsidR="00783878">
              <w:rPr>
                <w:rFonts w:ascii="Arial" w:hAnsi="Arial" w:cs="Arial"/>
                <w:sz w:val="16"/>
                <w:szCs w:val="16"/>
              </w:rPr>
              <w:t xml:space="preserve">e Directions and Instructions. </w:t>
            </w:r>
            <w:r w:rsidR="00783878" w:rsidRPr="00783878">
              <w:rPr>
                <w:rFonts w:ascii="Arial" w:hAnsi="Arial" w:cs="Arial"/>
                <w:sz w:val="16"/>
                <w:szCs w:val="16"/>
              </w:rPr>
              <w:t>This takes the form of a public attestation by the Accountable Officer (or board of a public sector agency) published in the Agency’s annual report.</w:t>
            </w:r>
          </w:p>
          <w:p w:rsidR="00ED22EE" w:rsidRPr="00783878" w:rsidRDefault="00ED22EE" w:rsidP="00ED22EE">
            <w:pPr>
              <w:pStyle w:val="ListParagraph"/>
              <w:numPr>
                <w:ilvl w:val="0"/>
                <w:numId w:val="21"/>
              </w:numPr>
              <w:spacing w:before="60" w:after="60"/>
              <w:rPr>
                <w:rFonts w:ascii="Arial" w:hAnsi="Arial" w:cs="Arial"/>
                <w:sz w:val="16"/>
                <w:szCs w:val="16"/>
              </w:rPr>
            </w:pPr>
            <w:r>
              <w:rPr>
                <w:rFonts w:ascii="Arial" w:hAnsi="Arial" w:cs="Arial"/>
                <w:sz w:val="16"/>
                <w:szCs w:val="16"/>
              </w:rPr>
              <w:t>Standing Direction 5.1.4(c) – the Agency’s audit committee, or alternate review mechanism where there is not audit committee, must review the attestation.</w:t>
            </w:r>
          </w:p>
        </w:tc>
      </w:tr>
      <w:tr w:rsidR="0034221B" w:rsidRPr="00B97DEA" w:rsidTr="00092BEC">
        <w:trPr>
          <w:cantSplit/>
        </w:trPr>
        <w:tc>
          <w:tcPr>
            <w:tcW w:w="1809" w:type="dxa"/>
          </w:tcPr>
          <w:p w:rsidR="0034221B" w:rsidRDefault="00ED22EE" w:rsidP="00827DDB">
            <w:pPr>
              <w:spacing w:before="60" w:after="60"/>
              <w:rPr>
                <w:rFonts w:ascii="Arial" w:hAnsi="Arial" w:cs="Arial"/>
                <w:sz w:val="16"/>
                <w:szCs w:val="16"/>
              </w:rPr>
            </w:pPr>
            <w:r>
              <w:rPr>
                <w:rFonts w:ascii="Arial" w:hAnsi="Arial" w:cs="Arial"/>
                <w:sz w:val="16"/>
                <w:szCs w:val="16"/>
              </w:rPr>
              <w:t>Delegation</w:t>
            </w:r>
          </w:p>
        </w:tc>
        <w:tc>
          <w:tcPr>
            <w:tcW w:w="1418" w:type="dxa"/>
          </w:tcPr>
          <w:p w:rsidR="0034221B" w:rsidRDefault="00ED22EE" w:rsidP="00827DDB">
            <w:pPr>
              <w:spacing w:before="60" w:after="60"/>
              <w:rPr>
                <w:rFonts w:ascii="Arial" w:hAnsi="Arial" w:cs="Arial"/>
                <w:sz w:val="16"/>
                <w:szCs w:val="16"/>
              </w:rPr>
            </w:pPr>
            <w:r>
              <w:rPr>
                <w:rFonts w:ascii="Arial" w:hAnsi="Arial" w:cs="Arial"/>
                <w:sz w:val="16"/>
                <w:szCs w:val="16"/>
              </w:rPr>
              <w:t>MD1 cl 4</w:t>
            </w:r>
          </w:p>
        </w:tc>
        <w:tc>
          <w:tcPr>
            <w:tcW w:w="1417" w:type="dxa"/>
          </w:tcPr>
          <w:p w:rsidR="0034221B" w:rsidRDefault="00ED22EE" w:rsidP="00827DDB">
            <w:pPr>
              <w:spacing w:before="60" w:after="60"/>
              <w:rPr>
                <w:rFonts w:ascii="Arial" w:hAnsi="Arial" w:cs="Arial"/>
                <w:sz w:val="16"/>
                <w:szCs w:val="16"/>
              </w:rPr>
            </w:pPr>
            <w:r>
              <w:rPr>
                <w:rFonts w:ascii="Arial" w:hAnsi="Arial" w:cs="Arial"/>
                <w:sz w:val="16"/>
                <w:szCs w:val="16"/>
              </w:rPr>
              <w:t>Dir 10.2</w:t>
            </w:r>
          </w:p>
        </w:tc>
        <w:tc>
          <w:tcPr>
            <w:tcW w:w="9530" w:type="dxa"/>
          </w:tcPr>
          <w:p w:rsidR="0034221B" w:rsidRDefault="00ED22EE" w:rsidP="00ED22EE">
            <w:pPr>
              <w:spacing w:before="60" w:after="60"/>
              <w:rPr>
                <w:rFonts w:ascii="Arial" w:hAnsi="Arial" w:cs="Arial"/>
                <w:sz w:val="16"/>
                <w:szCs w:val="16"/>
              </w:rPr>
            </w:pPr>
            <w:r>
              <w:rPr>
                <w:rFonts w:ascii="Arial" w:hAnsi="Arial" w:cs="Arial"/>
                <w:sz w:val="16"/>
                <w:szCs w:val="16"/>
              </w:rPr>
              <w:t xml:space="preserve">Retains the </w:t>
            </w:r>
            <w:r w:rsidR="009C3D2B">
              <w:rPr>
                <w:rFonts w:ascii="Arial" w:hAnsi="Arial" w:cs="Arial"/>
                <w:sz w:val="16"/>
                <w:szCs w:val="16"/>
              </w:rPr>
              <w:t xml:space="preserve">ability of the </w:t>
            </w:r>
            <w:r>
              <w:rPr>
                <w:rFonts w:ascii="Arial" w:hAnsi="Arial" w:cs="Arial"/>
                <w:sz w:val="16"/>
                <w:szCs w:val="16"/>
              </w:rPr>
              <w:t xml:space="preserve">Accountable Officer </w:t>
            </w:r>
            <w:r w:rsidR="009C3D2B">
              <w:rPr>
                <w:rFonts w:ascii="Arial" w:hAnsi="Arial" w:cs="Arial"/>
                <w:sz w:val="16"/>
                <w:szCs w:val="16"/>
              </w:rPr>
              <w:t xml:space="preserve">to </w:t>
            </w:r>
            <w:r>
              <w:rPr>
                <w:rFonts w:ascii="Arial" w:hAnsi="Arial" w:cs="Arial"/>
                <w:sz w:val="16"/>
                <w:szCs w:val="16"/>
              </w:rPr>
              <w:t>delegate in writing a power or responsibility under the Directions and Instructions.</w:t>
            </w:r>
          </w:p>
          <w:p w:rsidR="00ED22EE" w:rsidRDefault="00ED22EE" w:rsidP="00ED22EE">
            <w:pPr>
              <w:spacing w:before="60" w:after="60"/>
              <w:rPr>
                <w:rFonts w:ascii="Arial" w:hAnsi="Arial" w:cs="Arial"/>
                <w:sz w:val="16"/>
                <w:szCs w:val="16"/>
              </w:rPr>
            </w:pPr>
            <w:r>
              <w:rPr>
                <w:rFonts w:ascii="Arial" w:hAnsi="Arial" w:cs="Arial"/>
                <w:sz w:val="16"/>
                <w:szCs w:val="16"/>
              </w:rPr>
              <w:t>Clarifies that the Accountable Officer cannot delegate this power of delegation and the certification of Special Circumstance under Instruction 3.2.2(j).</w:t>
            </w:r>
          </w:p>
        </w:tc>
      </w:tr>
    </w:tbl>
    <w:p w:rsidR="00751A85" w:rsidRPr="00B97DEA" w:rsidRDefault="00751A85" w:rsidP="00B97DEA">
      <w:pPr>
        <w:spacing w:after="120" w:line="240" w:lineRule="auto"/>
        <w:rPr>
          <w:rFonts w:ascii="Arial" w:hAnsi="Arial" w:cs="Arial"/>
          <w:sz w:val="20"/>
          <w:szCs w:val="20"/>
        </w:rPr>
      </w:pPr>
    </w:p>
    <w:sectPr w:rsidR="00751A85" w:rsidRPr="00B97DEA" w:rsidSect="00092BEC">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B9A" w:rsidRDefault="00525B9A" w:rsidP="00B97DEA">
      <w:pPr>
        <w:spacing w:after="0" w:line="240" w:lineRule="auto"/>
      </w:pPr>
      <w:r>
        <w:separator/>
      </w:r>
    </w:p>
  </w:endnote>
  <w:endnote w:type="continuationSeparator" w:id="0">
    <w:p w:rsidR="00525B9A" w:rsidRDefault="00525B9A" w:rsidP="00B97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20" w:rsidRDefault="005E3920" w:rsidP="004C1ABA">
    <w:pPr>
      <w:pStyle w:val="Footer"/>
      <w:jc w:val="center"/>
      <w:rPr>
        <w:rFonts w:ascii="Arial" w:hAnsi="Arial" w:cs="Arial"/>
        <w:b/>
        <w:color w:val="FF0000"/>
        <w:sz w:val="29"/>
      </w:rPr>
    </w:pPr>
    <w:bookmarkStart w:id="1" w:name="aliashProtectiveMarkings1FooterEvenPages"/>
  </w:p>
  <w:bookmarkEnd w:id="1"/>
  <w:p w:rsidR="005E3920" w:rsidRDefault="005E3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20" w:rsidRPr="0065104F" w:rsidRDefault="00192AAC" w:rsidP="00AD32F7">
    <w:pPr>
      <w:pStyle w:val="Footer"/>
      <w:tabs>
        <w:tab w:val="clear" w:pos="4513"/>
        <w:tab w:val="clear" w:pos="9026"/>
        <w:tab w:val="center" w:pos="6946"/>
        <w:tab w:val="right" w:pos="14034"/>
      </w:tabs>
      <w:rPr>
        <w:rFonts w:ascii="Arial" w:hAnsi="Arial" w:cs="Arial"/>
        <w:sz w:val="18"/>
        <w:szCs w:val="18"/>
      </w:rPr>
    </w:pPr>
    <w:r>
      <w:rPr>
        <w:rFonts w:ascii="Arial" w:hAnsi="Arial" w:cs="Arial"/>
        <w:b/>
        <w:noProof/>
        <w:color w:val="4F81BD" w:themeColor="accent1"/>
        <w:sz w:val="18"/>
        <w:szCs w:val="18"/>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7103110</wp:posOffset>
              </wp:positionV>
              <wp:extent cx="10692130" cy="266700"/>
              <wp:effectExtent l="0" t="0" r="0" b="0"/>
              <wp:wrapNone/>
              <wp:docPr id="1" name="MSIPCMac1d4c7e9927a12aaba2c382" descr="{&quot;HashCode&quot;:-126760350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92AAC" w:rsidRPr="00192AAC" w:rsidRDefault="00192AAC" w:rsidP="00192AAC">
                          <w:pPr>
                            <w:spacing w:after="0"/>
                            <w:rPr>
                              <w:rFonts w:ascii="Calibri" w:hAnsi="Calibri" w:cs="Calibri"/>
                              <w:color w:val="000000"/>
                            </w:rPr>
                          </w:pPr>
                          <w:r w:rsidRPr="00192AA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c1d4c7e9927a12aaba2c382" o:spid="_x0000_s1026" type="#_x0000_t202" alt="{&quot;HashCode&quot;:-1267603503,&quot;Height&quot;:595.0,&quot;Width&quot;:841.0,&quot;Placement&quot;:&quot;Footer&quot;,&quot;Index&quot;:&quot;Primary&quot;,&quot;Section&quot;:1,&quot;Top&quot;:0.0,&quot;Left&quot;:0.0}" style="position:absolute;margin-left:0;margin-top:559.3pt;width:841.9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" o:allowincell="f" filled="f" stroked="f" strokeweight=".5pt">
              <v:fill o:detectmouseclick="t"/>
              <v:textbox inset="20pt,0,,0">
                <w:txbxContent>
                  <w:p w:rsidR="00192AAC" w:rsidRPr="00192AAC" w:rsidRDefault="00192AAC" w:rsidP="00192AAC">
                    <w:pPr>
                      <w:spacing w:after="0"/>
                      <w:rPr>
                        <w:rFonts w:ascii="Calibri" w:hAnsi="Calibri" w:cs="Calibri"/>
                        <w:color w:val="000000"/>
                      </w:rPr>
                    </w:pPr>
                    <w:r w:rsidRPr="00192AAC">
                      <w:rPr>
                        <w:rFonts w:ascii="Calibri" w:hAnsi="Calibri" w:cs="Calibri"/>
                        <w:color w:val="000000"/>
                      </w:rPr>
                      <w:t>OFFICIAL</w:t>
                    </w:r>
                  </w:p>
                </w:txbxContent>
              </v:textbox>
              <w10:wrap anchorx="page" anchory="page"/>
            </v:shape>
          </w:pict>
        </mc:Fallback>
      </mc:AlternateContent>
    </w:r>
    <w:r w:rsidR="005E3920" w:rsidRPr="00AD32F7">
      <w:rPr>
        <w:rFonts w:ascii="Arial" w:hAnsi="Arial" w:cs="Arial"/>
        <w:b/>
        <w:color w:val="4F81BD" w:themeColor="accent1"/>
        <w:sz w:val="18"/>
        <w:szCs w:val="18"/>
      </w:rPr>
      <w:fldChar w:fldCharType="begin"/>
    </w:r>
    <w:r w:rsidR="005E3920" w:rsidRPr="00AD32F7">
      <w:rPr>
        <w:rFonts w:ascii="Arial" w:hAnsi="Arial" w:cs="Arial"/>
        <w:b/>
        <w:color w:val="4F81BD" w:themeColor="accent1"/>
        <w:sz w:val="18"/>
        <w:szCs w:val="18"/>
      </w:rPr>
      <w:instrText xml:space="preserve"> StyleRef “Title” </w:instrText>
    </w:r>
    <w:r w:rsidR="005E3920" w:rsidRPr="00AD32F7">
      <w:rPr>
        <w:rFonts w:ascii="Arial" w:hAnsi="Arial" w:cs="Arial"/>
        <w:b/>
        <w:color w:val="4F81BD" w:themeColor="accent1"/>
        <w:sz w:val="18"/>
        <w:szCs w:val="18"/>
      </w:rPr>
      <w:fldChar w:fldCharType="separate"/>
    </w:r>
    <w:r>
      <w:rPr>
        <w:rFonts w:ascii="Arial" w:hAnsi="Arial" w:cs="Arial"/>
        <w:b/>
        <w:noProof/>
        <w:color w:val="4F81BD" w:themeColor="accent1"/>
        <w:sz w:val="18"/>
        <w:szCs w:val="18"/>
      </w:rPr>
      <w:t>Fact sheet - Comparison of former and current Ministerial Directions for Public Construction</w:t>
    </w:r>
    <w:r w:rsidR="005E3920" w:rsidRPr="00AD32F7">
      <w:rPr>
        <w:rFonts w:ascii="Arial" w:hAnsi="Arial" w:cs="Arial"/>
        <w:b/>
        <w:color w:val="4F81BD" w:themeColor="accent1"/>
        <w:sz w:val="18"/>
        <w:szCs w:val="18"/>
      </w:rPr>
      <w:fldChar w:fldCharType="end"/>
    </w:r>
    <w:r w:rsidR="005E3920" w:rsidRPr="00AD32F7">
      <w:rPr>
        <w:rFonts w:ascii="Arial" w:hAnsi="Arial" w:cs="Arial"/>
        <w:b/>
        <w:color w:val="4F81BD" w:themeColor="accent1"/>
        <w:sz w:val="18"/>
        <w:szCs w:val="18"/>
      </w:rPr>
      <w:br/>
    </w:r>
    <w:r w:rsidR="005E3920" w:rsidRPr="00AD32F7">
      <w:rPr>
        <w:rFonts w:ascii="Arial" w:hAnsi="Arial" w:cs="Arial"/>
        <w:sz w:val="18"/>
        <w:szCs w:val="18"/>
      </w:rPr>
      <w:fldChar w:fldCharType="begin"/>
    </w:r>
    <w:r w:rsidR="005E3920" w:rsidRPr="00AD32F7">
      <w:rPr>
        <w:rFonts w:ascii="Arial" w:hAnsi="Arial" w:cs="Arial"/>
        <w:sz w:val="18"/>
        <w:szCs w:val="18"/>
      </w:rPr>
      <w:instrText xml:space="preserve"> StyleRef “Tertiary Title” </w:instrText>
    </w:r>
    <w:r w:rsidR="005E3920" w:rsidRPr="00AD32F7">
      <w:rPr>
        <w:rFonts w:ascii="Arial" w:hAnsi="Arial" w:cs="Arial"/>
        <w:sz w:val="18"/>
        <w:szCs w:val="18"/>
      </w:rPr>
      <w:fldChar w:fldCharType="separate"/>
    </w:r>
    <w:r>
      <w:rPr>
        <w:rFonts w:ascii="Arial" w:hAnsi="Arial" w:cs="Arial"/>
        <w:noProof/>
        <w:sz w:val="18"/>
        <w:szCs w:val="18"/>
      </w:rPr>
      <w:t>Help and support</w:t>
    </w:r>
    <w:r w:rsidR="005E3920" w:rsidRPr="00AD32F7">
      <w:rPr>
        <w:rFonts w:ascii="Arial" w:hAnsi="Arial" w:cs="Arial"/>
        <w:sz w:val="18"/>
        <w:szCs w:val="18"/>
      </w:rPr>
      <w:fldChar w:fldCharType="end"/>
    </w:r>
    <w:r w:rsidR="005E3920" w:rsidRPr="00AD32F7">
      <w:rPr>
        <w:rFonts w:ascii="Arial" w:hAnsi="Arial" w:cs="Arial"/>
        <w:sz w:val="18"/>
        <w:szCs w:val="18"/>
      </w:rPr>
      <w:tab/>
    </w:r>
    <w:r w:rsidR="005E3920">
      <w:rPr>
        <w:rFonts w:ascii="Arial" w:hAnsi="Arial" w:cs="Arial"/>
        <w:sz w:val="18"/>
        <w:szCs w:val="18"/>
      </w:rPr>
      <w:tab/>
    </w:r>
    <w:r w:rsidR="005E3920" w:rsidRPr="0065104F">
      <w:rPr>
        <w:rFonts w:ascii="Arial" w:hAnsi="Arial" w:cs="Arial"/>
        <w:sz w:val="18"/>
        <w:szCs w:val="18"/>
      </w:rPr>
      <w:t xml:space="preserve">Page </w:t>
    </w:r>
    <w:r w:rsidR="005E3920" w:rsidRPr="0065104F">
      <w:rPr>
        <w:rStyle w:val="PageNumber"/>
        <w:rFonts w:ascii="Arial" w:hAnsi="Arial" w:cs="Arial"/>
        <w:sz w:val="18"/>
        <w:szCs w:val="18"/>
      </w:rPr>
      <w:fldChar w:fldCharType="begin"/>
    </w:r>
    <w:r w:rsidR="005E3920" w:rsidRPr="0065104F">
      <w:rPr>
        <w:rStyle w:val="PageNumber"/>
        <w:rFonts w:ascii="Arial" w:hAnsi="Arial" w:cs="Arial"/>
        <w:sz w:val="18"/>
        <w:szCs w:val="18"/>
      </w:rPr>
      <w:instrText xml:space="preserve"> Page </w:instrText>
    </w:r>
    <w:r w:rsidR="005E3920" w:rsidRPr="0065104F">
      <w:rPr>
        <w:rStyle w:val="PageNumber"/>
        <w:rFonts w:ascii="Arial" w:hAnsi="Arial" w:cs="Arial"/>
        <w:sz w:val="18"/>
        <w:szCs w:val="18"/>
      </w:rPr>
      <w:fldChar w:fldCharType="separate"/>
    </w:r>
    <w:r w:rsidR="00DF3F76">
      <w:rPr>
        <w:rStyle w:val="PageNumber"/>
        <w:rFonts w:ascii="Arial" w:hAnsi="Arial" w:cs="Arial"/>
        <w:noProof/>
        <w:sz w:val="18"/>
        <w:szCs w:val="18"/>
      </w:rPr>
      <w:t>9</w:t>
    </w:r>
    <w:r w:rsidR="005E3920" w:rsidRPr="0065104F">
      <w:rPr>
        <w:rStyle w:val="PageNumber"/>
        <w:rFonts w:ascii="Arial" w:hAnsi="Arial" w:cs="Arial"/>
        <w:sz w:val="18"/>
        <w:szCs w:val="18"/>
      </w:rPr>
      <w:fldChar w:fldCharType="end"/>
    </w:r>
    <w:r w:rsidR="005E3920" w:rsidRPr="0065104F">
      <w:rPr>
        <w:rStyle w:val="PageNumber"/>
        <w:rFonts w:ascii="Arial" w:hAnsi="Arial" w:cs="Arial"/>
        <w:sz w:val="18"/>
        <w:szCs w:val="18"/>
      </w:rPr>
      <w:t xml:space="preserve"> </w:t>
    </w:r>
    <w:r w:rsidR="005E3920" w:rsidRPr="0065104F">
      <w:rPr>
        <w:rFonts w:ascii="Arial" w:hAnsi="Arial" w:cs="Arial"/>
        <w:sz w:val="18"/>
        <w:szCs w:val="18"/>
      </w:rPr>
      <w:t xml:space="preserve">of </w:t>
    </w:r>
    <w:r w:rsidR="005E3920" w:rsidRPr="0065104F">
      <w:rPr>
        <w:rFonts w:ascii="Arial" w:hAnsi="Arial" w:cs="Arial"/>
        <w:bCs/>
        <w:sz w:val="18"/>
        <w:szCs w:val="18"/>
      </w:rPr>
      <w:fldChar w:fldCharType="begin"/>
    </w:r>
    <w:r w:rsidR="005E3920" w:rsidRPr="0065104F">
      <w:rPr>
        <w:rFonts w:ascii="Arial" w:hAnsi="Arial" w:cs="Arial"/>
        <w:bCs/>
        <w:sz w:val="18"/>
        <w:szCs w:val="18"/>
      </w:rPr>
      <w:instrText xml:space="preserve"> NUMPAGES  </w:instrText>
    </w:r>
    <w:r w:rsidR="005E3920" w:rsidRPr="0065104F">
      <w:rPr>
        <w:rFonts w:ascii="Arial" w:hAnsi="Arial" w:cs="Arial"/>
        <w:bCs/>
        <w:sz w:val="18"/>
        <w:szCs w:val="18"/>
      </w:rPr>
      <w:fldChar w:fldCharType="separate"/>
    </w:r>
    <w:r w:rsidR="00DF3F76">
      <w:rPr>
        <w:rFonts w:ascii="Arial" w:hAnsi="Arial" w:cs="Arial"/>
        <w:bCs/>
        <w:noProof/>
        <w:sz w:val="18"/>
        <w:szCs w:val="18"/>
      </w:rPr>
      <w:t>9</w:t>
    </w:r>
    <w:r w:rsidR="005E3920" w:rsidRPr="0065104F">
      <w:rPr>
        <w:rFonts w:ascii="Arial" w:hAnsi="Arial"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20" w:rsidRDefault="005E3920" w:rsidP="004C1ABA">
    <w:pPr>
      <w:pStyle w:val="Footer"/>
      <w:jc w:val="center"/>
      <w:rPr>
        <w:rFonts w:ascii="Arial" w:hAnsi="Arial" w:cs="Arial"/>
        <w:b/>
        <w:color w:val="FF0000"/>
        <w:sz w:val="29"/>
      </w:rPr>
    </w:pPr>
    <w:bookmarkStart w:id="2" w:name="aliashProtectiveMarkings1FooterFirstPage"/>
  </w:p>
  <w:bookmarkEnd w:id="2"/>
  <w:p w:rsidR="005E3920" w:rsidRDefault="005E3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B9A" w:rsidRDefault="00525B9A" w:rsidP="00B97DEA">
      <w:pPr>
        <w:spacing w:after="0" w:line="240" w:lineRule="auto"/>
      </w:pPr>
      <w:r>
        <w:separator/>
      </w:r>
    </w:p>
  </w:footnote>
  <w:footnote w:type="continuationSeparator" w:id="0">
    <w:p w:rsidR="00525B9A" w:rsidRDefault="00525B9A" w:rsidP="00B97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ABA" w:rsidRDefault="004C1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20" w:rsidRDefault="005E3920">
    <w:pPr>
      <w:pStyle w:val="Header"/>
    </w:pPr>
    <w:r>
      <w:rPr>
        <w:noProof/>
        <w:lang w:eastAsia="en-AU"/>
      </w:rPr>
      <w:drawing>
        <wp:anchor distT="0" distB="0" distL="114300" distR="114300" simplePos="0" relativeHeight="251661312" behindDoc="0" locked="0" layoutInCell="1" allowOverlap="1" wp14:anchorId="1709A6DE" wp14:editId="685343F3">
          <wp:simplePos x="0" y="0"/>
          <wp:positionH relativeFrom="column">
            <wp:posOffset>-274955</wp:posOffset>
          </wp:positionH>
          <wp:positionV relativeFrom="page">
            <wp:posOffset>191770</wp:posOffset>
          </wp:positionV>
          <wp:extent cx="1183640" cy="3524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183640" cy="3524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0" locked="0" layoutInCell="1" allowOverlap="1" wp14:anchorId="5D62AF0C" wp14:editId="2DE23D2C">
          <wp:simplePos x="0" y="0"/>
          <wp:positionH relativeFrom="column">
            <wp:posOffset>-2275840</wp:posOffset>
          </wp:positionH>
          <wp:positionV relativeFrom="page">
            <wp:posOffset>67945</wp:posOffset>
          </wp:positionV>
          <wp:extent cx="13157835" cy="548640"/>
          <wp:effectExtent l="0" t="0" r="571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2" cstate="print">
                    <a:extLst>
                      <a:ext uri="{28A0092B-C50C-407E-A947-70E740481C1C}">
                        <a14:useLocalDpi xmlns:a14="http://schemas.microsoft.com/office/drawing/2010/main" val="0"/>
                      </a:ext>
                    </a:extLst>
                  </a:blip>
                  <a:srcRect b="13750"/>
                  <a:stretch/>
                </pic:blipFill>
                <pic:spPr bwMode="auto">
                  <a:xfrm>
                    <a:off x="0" y="0"/>
                    <a:ext cx="13157835"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ABA" w:rsidRDefault="004C1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622D"/>
    <w:multiLevelType w:val="hybridMultilevel"/>
    <w:tmpl w:val="406E0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317B0"/>
    <w:multiLevelType w:val="hybridMultilevel"/>
    <w:tmpl w:val="DD6E7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74DDA"/>
    <w:multiLevelType w:val="hybridMultilevel"/>
    <w:tmpl w:val="4DFAE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3A9"/>
    <w:multiLevelType w:val="hybridMultilevel"/>
    <w:tmpl w:val="7304E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E37BEF"/>
    <w:multiLevelType w:val="hybridMultilevel"/>
    <w:tmpl w:val="93E42EA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2F0D352D"/>
    <w:multiLevelType w:val="hybridMultilevel"/>
    <w:tmpl w:val="69BE2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3F1732"/>
    <w:multiLevelType w:val="hybridMultilevel"/>
    <w:tmpl w:val="21529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F0309C"/>
    <w:multiLevelType w:val="hybridMultilevel"/>
    <w:tmpl w:val="34FC1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3E3FD6"/>
    <w:multiLevelType w:val="hybridMultilevel"/>
    <w:tmpl w:val="65224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4565771F"/>
    <w:multiLevelType w:val="hybridMultilevel"/>
    <w:tmpl w:val="78BA1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1B7B99"/>
    <w:multiLevelType w:val="hybridMultilevel"/>
    <w:tmpl w:val="D0BE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F746EA"/>
    <w:multiLevelType w:val="hybridMultilevel"/>
    <w:tmpl w:val="E87A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1B2AFB"/>
    <w:multiLevelType w:val="hybridMultilevel"/>
    <w:tmpl w:val="10ACD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02499C"/>
    <w:multiLevelType w:val="hybridMultilevel"/>
    <w:tmpl w:val="35F67AE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5" w15:restartNumberingAfterBreak="0">
    <w:nsid w:val="5AE30904"/>
    <w:multiLevelType w:val="hybridMultilevel"/>
    <w:tmpl w:val="2206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4E58FD"/>
    <w:multiLevelType w:val="hybridMultilevel"/>
    <w:tmpl w:val="497C7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8759E0"/>
    <w:multiLevelType w:val="hybridMultilevel"/>
    <w:tmpl w:val="43265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7B1D91"/>
    <w:multiLevelType w:val="hybridMultilevel"/>
    <w:tmpl w:val="E0026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BA72E0"/>
    <w:multiLevelType w:val="hybridMultilevel"/>
    <w:tmpl w:val="BA1A2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6C2375"/>
    <w:multiLevelType w:val="hybridMultilevel"/>
    <w:tmpl w:val="0D2E1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7F7B43"/>
    <w:multiLevelType w:val="hybridMultilevel"/>
    <w:tmpl w:val="20888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5"/>
  </w:num>
  <w:num w:numId="5">
    <w:abstractNumId w:val="4"/>
  </w:num>
  <w:num w:numId="6">
    <w:abstractNumId w:val="14"/>
  </w:num>
  <w:num w:numId="7">
    <w:abstractNumId w:val="12"/>
  </w:num>
  <w:num w:numId="8">
    <w:abstractNumId w:val="13"/>
  </w:num>
  <w:num w:numId="9">
    <w:abstractNumId w:val="9"/>
  </w:num>
  <w:num w:numId="10">
    <w:abstractNumId w:val="11"/>
  </w:num>
  <w:num w:numId="11">
    <w:abstractNumId w:val="8"/>
  </w:num>
  <w:num w:numId="12">
    <w:abstractNumId w:val="1"/>
  </w:num>
  <w:num w:numId="13">
    <w:abstractNumId w:val="3"/>
  </w:num>
  <w:num w:numId="14">
    <w:abstractNumId w:val="20"/>
  </w:num>
  <w:num w:numId="15">
    <w:abstractNumId w:val="7"/>
  </w:num>
  <w:num w:numId="16">
    <w:abstractNumId w:val="15"/>
  </w:num>
  <w:num w:numId="17">
    <w:abstractNumId w:val="16"/>
  </w:num>
  <w:num w:numId="18">
    <w:abstractNumId w:val="17"/>
  </w:num>
  <w:num w:numId="19">
    <w:abstractNumId w:val="19"/>
  </w:num>
  <w:num w:numId="20">
    <w:abstractNumId w:val="0"/>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DEA"/>
    <w:rsid w:val="0003709C"/>
    <w:rsid w:val="00063C05"/>
    <w:rsid w:val="00077786"/>
    <w:rsid w:val="00092BEC"/>
    <w:rsid w:val="0009569D"/>
    <w:rsid w:val="000A1851"/>
    <w:rsid w:val="000D3C64"/>
    <w:rsid w:val="000E6E85"/>
    <w:rsid w:val="000F5A35"/>
    <w:rsid w:val="001037B2"/>
    <w:rsid w:val="0016220A"/>
    <w:rsid w:val="00191723"/>
    <w:rsid w:val="00192AAC"/>
    <w:rsid w:val="001968D3"/>
    <w:rsid w:val="001A745A"/>
    <w:rsid w:val="001B27A9"/>
    <w:rsid w:val="001E71FA"/>
    <w:rsid w:val="00237BA3"/>
    <w:rsid w:val="00243CE3"/>
    <w:rsid w:val="0024717B"/>
    <w:rsid w:val="00250984"/>
    <w:rsid w:val="00270A39"/>
    <w:rsid w:val="002A254B"/>
    <w:rsid w:val="002C3FF9"/>
    <w:rsid w:val="002F7795"/>
    <w:rsid w:val="0034221B"/>
    <w:rsid w:val="00344732"/>
    <w:rsid w:val="003B5393"/>
    <w:rsid w:val="003F1FAA"/>
    <w:rsid w:val="00402E8F"/>
    <w:rsid w:val="004322DB"/>
    <w:rsid w:val="00465780"/>
    <w:rsid w:val="0047032E"/>
    <w:rsid w:val="00486F94"/>
    <w:rsid w:val="0049248C"/>
    <w:rsid w:val="004B4C68"/>
    <w:rsid w:val="004B613C"/>
    <w:rsid w:val="004C1ABA"/>
    <w:rsid w:val="00525B9A"/>
    <w:rsid w:val="00571141"/>
    <w:rsid w:val="005722D3"/>
    <w:rsid w:val="00582D43"/>
    <w:rsid w:val="00583B48"/>
    <w:rsid w:val="005D3E1A"/>
    <w:rsid w:val="005E3920"/>
    <w:rsid w:val="00611B52"/>
    <w:rsid w:val="0065104F"/>
    <w:rsid w:val="00667C8D"/>
    <w:rsid w:val="006719E4"/>
    <w:rsid w:val="00676B72"/>
    <w:rsid w:val="006B3779"/>
    <w:rsid w:val="00715FE9"/>
    <w:rsid w:val="00723B4C"/>
    <w:rsid w:val="00751A85"/>
    <w:rsid w:val="00783878"/>
    <w:rsid w:val="007A08A9"/>
    <w:rsid w:val="007D28DD"/>
    <w:rsid w:val="008265AE"/>
    <w:rsid w:val="00841847"/>
    <w:rsid w:val="00847706"/>
    <w:rsid w:val="008B764C"/>
    <w:rsid w:val="008D66CC"/>
    <w:rsid w:val="009438E1"/>
    <w:rsid w:val="00973264"/>
    <w:rsid w:val="009A4D80"/>
    <w:rsid w:val="009C3D2B"/>
    <w:rsid w:val="009C4F99"/>
    <w:rsid w:val="00A60853"/>
    <w:rsid w:val="00AD32F7"/>
    <w:rsid w:val="00AD49C5"/>
    <w:rsid w:val="00B018E9"/>
    <w:rsid w:val="00B149C9"/>
    <w:rsid w:val="00B413DD"/>
    <w:rsid w:val="00B452CE"/>
    <w:rsid w:val="00B5661A"/>
    <w:rsid w:val="00B659A6"/>
    <w:rsid w:val="00B83718"/>
    <w:rsid w:val="00B97DEA"/>
    <w:rsid w:val="00BE7F2F"/>
    <w:rsid w:val="00BF51D7"/>
    <w:rsid w:val="00C3127D"/>
    <w:rsid w:val="00C40608"/>
    <w:rsid w:val="00C6366F"/>
    <w:rsid w:val="00C93D7D"/>
    <w:rsid w:val="00CA2CBC"/>
    <w:rsid w:val="00CB1828"/>
    <w:rsid w:val="00CD43E4"/>
    <w:rsid w:val="00CD7E9E"/>
    <w:rsid w:val="00CE22FC"/>
    <w:rsid w:val="00D24221"/>
    <w:rsid w:val="00D26FEE"/>
    <w:rsid w:val="00D55853"/>
    <w:rsid w:val="00D660F6"/>
    <w:rsid w:val="00D8392F"/>
    <w:rsid w:val="00DD3B63"/>
    <w:rsid w:val="00DD491B"/>
    <w:rsid w:val="00DF3F76"/>
    <w:rsid w:val="00DF5019"/>
    <w:rsid w:val="00E046A0"/>
    <w:rsid w:val="00EB1FEF"/>
    <w:rsid w:val="00EC582A"/>
    <w:rsid w:val="00ED22EE"/>
    <w:rsid w:val="00ED49AF"/>
    <w:rsid w:val="00F0261A"/>
    <w:rsid w:val="00F0434F"/>
    <w:rsid w:val="00F2465D"/>
    <w:rsid w:val="00F44480"/>
    <w:rsid w:val="00F55A8A"/>
    <w:rsid w:val="00FC2B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55DFB"/>
  <w15:docId w15:val="{8049E80F-5192-4B9E-BEC1-8BA1E2BF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847706"/>
    <w:pPr>
      <w:keepNext/>
      <w:keepLines/>
      <w:spacing w:before="280" w:after="240"/>
      <w:outlineLvl w:val="1"/>
    </w:pPr>
    <w:rPr>
      <w:rFonts w:asciiTheme="majorHAnsi" w:eastAsiaTheme="majorEastAsia" w:hAnsiTheme="majorHAnsi" w:cstheme="majorBidi"/>
      <w:b/>
      <w:bCs/>
      <w:color w:val="4F81BD" w:themeColor="accent1"/>
      <w:spacing w:val="2"/>
      <w:sz w:val="28"/>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7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EA"/>
    <w:pPr>
      <w:ind w:left="720"/>
      <w:contextualSpacing/>
    </w:pPr>
  </w:style>
  <w:style w:type="paragraph" w:styleId="Header">
    <w:name w:val="header"/>
    <w:basedOn w:val="Normal"/>
    <w:link w:val="HeaderChar"/>
    <w:uiPriority w:val="99"/>
    <w:unhideWhenUsed/>
    <w:rsid w:val="00B97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DEA"/>
  </w:style>
  <w:style w:type="paragraph" w:styleId="Footer">
    <w:name w:val="footer"/>
    <w:basedOn w:val="Normal"/>
    <w:link w:val="FooterChar"/>
    <w:uiPriority w:val="24"/>
    <w:unhideWhenUsed/>
    <w:rsid w:val="00B97DEA"/>
    <w:pPr>
      <w:tabs>
        <w:tab w:val="center" w:pos="4513"/>
        <w:tab w:val="right" w:pos="9026"/>
      </w:tabs>
      <w:spacing w:after="0" w:line="240" w:lineRule="auto"/>
    </w:pPr>
  </w:style>
  <w:style w:type="character" w:customStyle="1" w:styleId="FooterChar">
    <w:name w:val="Footer Char"/>
    <w:basedOn w:val="DefaultParagraphFont"/>
    <w:link w:val="Footer"/>
    <w:uiPriority w:val="24"/>
    <w:rsid w:val="00B97DEA"/>
  </w:style>
  <w:style w:type="paragraph" w:customStyle="1" w:styleId="TertiaryTitle">
    <w:name w:val="Tertiary Title"/>
    <w:next w:val="Normal"/>
    <w:uiPriority w:val="98"/>
    <w:rsid w:val="00AD49C5"/>
    <w:pPr>
      <w:spacing w:after="0" w:line="440" w:lineRule="exact"/>
    </w:pPr>
    <w:rPr>
      <w:rFonts w:asciiTheme="majorHAnsi" w:eastAsia="Times New Roman" w:hAnsiTheme="majorHAnsi" w:cstheme="majorHAnsi"/>
      <w:color w:val="4F81BD" w:themeColor="accent1"/>
      <w:spacing w:val="-2"/>
      <w:szCs w:val="40"/>
    </w:rPr>
  </w:style>
  <w:style w:type="paragraph" w:styleId="Title">
    <w:name w:val="Title"/>
    <w:link w:val="TitleChar"/>
    <w:uiPriority w:val="97"/>
    <w:rsid w:val="00AD49C5"/>
    <w:pPr>
      <w:spacing w:after="40" w:line="252" w:lineRule="auto"/>
    </w:pPr>
    <w:rPr>
      <w:rFonts w:asciiTheme="majorHAnsi" w:eastAsia="Times New Roman" w:hAnsiTheme="majorHAnsi" w:cstheme="majorHAnsi"/>
      <w:b/>
      <w:color w:val="4F81BD" w:themeColor="accent1"/>
      <w:spacing w:val="-2"/>
      <w:sz w:val="52"/>
      <w:szCs w:val="52"/>
      <w:lang w:eastAsia="en-AU"/>
    </w:rPr>
  </w:style>
  <w:style w:type="character" w:customStyle="1" w:styleId="TitleChar">
    <w:name w:val="Title Char"/>
    <w:basedOn w:val="DefaultParagraphFont"/>
    <w:link w:val="Title"/>
    <w:uiPriority w:val="97"/>
    <w:rsid w:val="00AD49C5"/>
    <w:rPr>
      <w:rFonts w:asciiTheme="majorHAnsi" w:eastAsia="Times New Roman" w:hAnsiTheme="majorHAnsi" w:cstheme="majorHAnsi"/>
      <w:b/>
      <w:color w:val="4F81BD" w:themeColor="accent1"/>
      <w:spacing w:val="-2"/>
      <w:sz w:val="52"/>
      <w:szCs w:val="52"/>
      <w:lang w:eastAsia="en-AU"/>
    </w:rPr>
  </w:style>
  <w:style w:type="character" w:styleId="PageNumber">
    <w:name w:val="page number"/>
    <w:uiPriority w:val="49"/>
    <w:semiHidden/>
    <w:rsid w:val="00AD32F7"/>
    <w:rPr>
      <w:b w:val="0"/>
      <w:color w:val="000000" w:themeColor="text1"/>
    </w:rPr>
  </w:style>
  <w:style w:type="paragraph" w:customStyle="1" w:styleId="Bullet1">
    <w:name w:val="Bullet 1"/>
    <w:uiPriority w:val="1"/>
    <w:qFormat/>
    <w:rsid w:val="008B764C"/>
    <w:pPr>
      <w:numPr>
        <w:numId w:val="9"/>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8B764C"/>
    <w:pPr>
      <w:numPr>
        <w:ilvl w:val="1"/>
      </w:numPr>
    </w:pPr>
  </w:style>
  <w:style w:type="paragraph" w:customStyle="1" w:styleId="Bulletindent">
    <w:name w:val="Bullet indent"/>
    <w:basedOn w:val="Bullet2"/>
    <w:uiPriority w:val="9"/>
    <w:qFormat/>
    <w:rsid w:val="008B764C"/>
    <w:pPr>
      <w:numPr>
        <w:ilvl w:val="2"/>
      </w:numPr>
    </w:pPr>
  </w:style>
  <w:style w:type="paragraph" w:styleId="NormalIndent">
    <w:name w:val="Normal Indent"/>
    <w:basedOn w:val="Normal"/>
    <w:uiPriority w:val="9"/>
    <w:qFormat/>
    <w:rsid w:val="008B764C"/>
    <w:pPr>
      <w:spacing w:before="160" w:after="100" w:line="252" w:lineRule="auto"/>
      <w:ind w:left="792"/>
    </w:pPr>
    <w:rPr>
      <w:rFonts w:eastAsiaTheme="minorEastAsia"/>
      <w:spacing w:val="2"/>
      <w:sz w:val="20"/>
      <w:szCs w:val="20"/>
      <w:lang w:eastAsia="en-AU"/>
    </w:rPr>
  </w:style>
  <w:style w:type="paragraph" w:customStyle="1" w:styleId="Bulletindent2">
    <w:name w:val="Bullet indent 2"/>
    <w:basedOn w:val="Normal"/>
    <w:uiPriority w:val="9"/>
    <w:qFormat/>
    <w:rsid w:val="008B764C"/>
    <w:pPr>
      <w:numPr>
        <w:ilvl w:val="3"/>
        <w:numId w:val="9"/>
      </w:numPr>
      <w:spacing w:before="100" w:after="100"/>
      <w:contextualSpacing/>
    </w:pPr>
    <w:rPr>
      <w:rFonts w:eastAsiaTheme="minorEastAsia"/>
      <w:spacing w:val="2"/>
      <w:sz w:val="20"/>
      <w:szCs w:val="20"/>
      <w:lang w:eastAsia="en-AU"/>
    </w:rPr>
  </w:style>
  <w:style w:type="table" w:styleId="LightShading">
    <w:name w:val="Light Shading"/>
    <w:basedOn w:val="TableNormal"/>
    <w:uiPriority w:val="60"/>
    <w:rsid w:val="0065104F"/>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B1828"/>
    <w:rPr>
      <w:color w:val="0000FF" w:themeColor="hyperlink"/>
      <w:u w:val="single"/>
    </w:rPr>
  </w:style>
  <w:style w:type="paragraph" w:styleId="BalloonText">
    <w:name w:val="Balloon Text"/>
    <w:basedOn w:val="Normal"/>
    <w:link w:val="BalloonTextChar"/>
    <w:uiPriority w:val="99"/>
    <w:semiHidden/>
    <w:unhideWhenUsed/>
    <w:rsid w:val="005D3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E1A"/>
    <w:rPr>
      <w:rFonts w:ascii="Tahoma" w:hAnsi="Tahoma" w:cs="Tahoma"/>
      <w:sz w:val="16"/>
      <w:szCs w:val="16"/>
    </w:rPr>
  </w:style>
  <w:style w:type="paragraph" w:styleId="Revision">
    <w:name w:val="Revision"/>
    <w:hidden/>
    <w:uiPriority w:val="99"/>
    <w:semiHidden/>
    <w:rsid w:val="00191723"/>
    <w:pPr>
      <w:spacing w:after="0" w:line="240" w:lineRule="auto"/>
    </w:pPr>
  </w:style>
  <w:style w:type="character" w:customStyle="1" w:styleId="Heading2Char">
    <w:name w:val="Heading 2 Char"/>
    <w:basedOn w:val="DefaultParagraphFont"/>
    <w:link w:val="Heading2"/>
    <w:rsid w:val="00847706"/>
    <w:rPr>
      <w:rFonts w:asciiTheme="majorHAnsi" w:eastAsiaTheme="majorEastAsia" w:hAnsiTheme="majorHAnsi" w:cstheme="majorBidi"/>
      <w:b/>
      <w:bCs/>
      <w:color w:val="4F81BD" w:themeColor="accent1"/>
      <w:spacing w:val="2"/>
      <w:sz w:val="28"/>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tf.vic.gov.au/public-construction-policy-and-resources/ministerial-directions-and-instructions-public-construction-procure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tf.vic.gov.au/Publications/Government-Financial-Management-publications/Standing-Directions-of-the-Minister-for-Finance-2016/Standing-Directions-2016-publica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tf.vic.gov.au/practitioners-toolkit-fact-sheets-public-construction-procur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struction.procurement@dtf.vic.gov.au?subject=Feedback%20on%20Draft%20Revised%20Ministerial%20Direction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870DBC9-6394-4408-BDE8-8FFAD88B695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9</Pages>
  <Words>4073</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Fact-sheet-Comparison-of-former-and-current-Ministerial-Directions-for-Public-Construction</dc:title>
  <dc:creator>Athena Rozenberg</dc:creator>
  <cp:lastModifiedBy>Athena Rozenberg (DTF)</cp:lastModifiedBy>
  <cp:revision>44</cp:revision>
  <cp:lastPrinted>2018-07-09T23:00:00Z</cp:lastPrinted>
  <dcterms:created xsi:type="dcterms:W3CDTF">2018-02-28T21:36:00Z</dcterms:created>
  <dcterms:modified xsi:type="dcterms:W3CDTF">2020-01-03T04:29:00Z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5b2087a3-abc3-4166-a1e5-d962c8b205a4</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athena.rozenberg@dtf.vic.gov.au</vt:lpwstr>
  </property>
  <property fmtid="{D5CDD505-2E9C-101B-9397-08002B2CF9AE}" pid="7" name="MSIP_Label_7158ebbd-6c5e-441f-bfc9-4eb8c11e3978_SetDate">
    <vt:lpwstr>2020-01-03T04:29:47.3896169Z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