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5521E" w14:textId="453C1D7A" w:rsidR="00402D1B" w:rsidRPr="005E58B9" w:rsidRDefault="00402D1B" w:rsidP="005E58B9">
      <w:pPr>
        <w:pStyle w:val="Heading1"/>
        <w:keepLines w:val="0"/>
        <w:spacing w:before="200" w:after="240" w:line="240" w:lineRule="auto"/>
        <w:rPr>
          <w:rFonts w:ascii="Calibri" w:eastAsia="Times New Roman" w:hAnsi="Calibri" w:cs="Calibri"/>
          <w:bCs w:val="0"/>
          <w:color w:val="7030A0"/>
          <w:spacing w:val="0"/>
          <w:szCs w:val="36"/>
          <w:lang w:eastAsia="en-US"/>
        </w:rPr>
      </w:pPr>
      <w:bookmarkStart w:id="0" w:name="_Toc442780672"/>
      <w:r w:rsidRPr="005E58B9">
        <w:rPr>
          <w:rFonts w:ascii="Calibri" w:eastAsia="Times New Roman" w:hAnsi="Calibri" w:cs="Calibri"/>
          <w:bCs w:val="0"/>
          <w:color w:val="7030A0"/>
          <w:spacing w:val="0"/>
          <w:szCs w:val="36"/>
          <w:lang w:eastAsia="en-US"/>
        </w:rPr>
        <w:t xml:space="preserve">Arbitration clause – </w:t>
      </w:r>
      <w:r w:rsidR="00D35545" w:rsidRPr="005E58B9">
        <w:rPr>
          <w:rFonts w:ascii="Calibri" w:eastAsia="Times New Roman" w:hAnsi="Calibri" w:cs="Calibri"/>
          <w:bCs w:val="0"/>
          <w:color w:val="7030A0"/>
          <w:spacing w:val="0"/>
          <w:szCs w:val="36"/>
          <w:lang w:eastAsia="en-US"/>
        </w:rPr>
        <w:t>International agreements</w:t>
      </w:r>
    </w:p>
    <w:p w14:paraId="27EC212A" w14:textId="77777777" w:rsidR="00402D1B" w:rsidRPr="005E58B9" w:rsidRDefault="00402D1B" w:rsidP="008C592F">
      <w:pPr>
        <w:pStyle w:val="Heading2"/>
        <w:keepLines w:val="0"/>
        <w:numPr>
          <w:ilvl w:val="2"/>
          <w:numId w:val="1"/>
        </w:numPr>
        <w:tabs>
          <w:tab w:val="clear" w:pos="792"/>
        </w:tabs>
        <w:spacing w:before="240" w:after="120" w:line="240" w:lineRule="auto"/>
        <w:ind w:left="0" w:firstLine="0"/>
        <w:rPr>
          <w:rFonts w:ascii="Calibri" w:eastAsia="Times New Roman" w:hAnsi="Calibri" w:cs="Calibri"/>
          <w:bCs w:val="0"/>
          <w:color w:val="7030A0"/>
          <w:spacing w:val="0"/>
          <w:szCs w:val="22"/>
          <w:lang w:eastAsia="en-US"/>
        </w:rPr>
      </w:pPr>
      <w:bookmarkStart w:id="1" w:name="_Ref531102700"/>
      <w:r w:rsidRPr="005E58B9">
        <w:rPr>
          <w:rFonts w:ascii="Calibri" w:eastAsia="Times New Roman" w:hAnsi="Calibri" w:cs="Calibri"/>
          <w:bCs w:val="0"/>
          <w:color w:val="7030A0"/>
          <w:spacing w:val="0"/>
          <w:szCs w:val="22"/>
          <w:lang w:eastAsia="en-US"/>
        </w:rPr>
        <w:t>Complaints or challenges</w:t>
      </w:r>
      <w:bookmarkEnd w:id="1"/>
    </w:p>
    <w:p w14:paraId="28C1210D" w14:textId="77777777" w:rsidR="00402D1B" w:rsidRPr="005E58B9" w:rsidRDefault="00402D1B" w:rsidP="008C592F">
      <w:pPr>
        <w:pStyle w:val="Heading3"/>
        <w:keepLines w:val="0"/>
        <w:numPr>
          <w:ilvl w:val="3"/>
          <w:numId w:val="1"/>
        </w:numPr>
        <w:tabs>
          <w:tab w:val="clear" w:pos="792"/>
        </w:tabs>
        <w:spacing w:line="240" w:lineRule="auto"/>
        <w:ind w:left="0" w:firstLine="0"/>
        <w:rPr>
          <w:rFonts w:ascii="Calibri" w:eastAsia="Times New Roman" w:hAnsi="Calibri" w:cs="Calibri"/>
          <w:bCs w:val="0"/>
          <w:color w:val="7030A0"/>
          <w:spacing w:val="0"/>
          <w:sz w:val="24"/>
          <w:lang w:eastAsia="en-US"/>
        </w:rPr>
      </w:pPr>
      <w:r w:rsidRPr="005E58B9">
        <w:rPr>
          <w:rFonts w:ascii="Calibri" w:eastAsia="Times New Roman" w:hAnsi="Calibri" w:cs="Calibri"/>
          <w:bCs w:val="0"/>
          <w:color w:val="7030A0"/>
          <w:spacing w:val="0"/>
          <w:sz w:val="24"/>
          <w:lang w:eastAsia="en-US"/>
        </w:rPr>
        <w:t xml:space="preserve">Application of this </w:t>
      </w:r>
      <w:r w:rsidRPr="005E6113">
        <w:rPr>
          <w:rFonts w:ascii="Calibri" w:eastAsia="Times New Roman" w:hAnsi="Calibri" w:cs="Calibri"/>
          <w:bCs w:val="0"/>
          <w:color w:val="7030A0"/>
          <w:spacing w:val="0"/>
          <w:sz w:val="24"/>
          <w:highlight w:val="yellow"/>
          <w:lang w:eastAsia="en-US"/>
        </w:rPr>
        <w:t>[clause/condition]</w:t>
      </w:r>
    </w:p>
    <w:p w14:paraId="141DAC91" w14:textId="17ED99C7" w:rsidR="00402D1B" w:rsidRPr="005E58B9" w:rsidRDefault="00402D1B" w:rsidP="005E58B9">
      <w:pPr>
        <w:spacing w:before="120" w:after="120" w:line="264" w:lineRule="auto"/>
        <w:ind w:left="709"/>
        <w:rPr>
          <w:rFonts w:ascii="Calibri" w:eastAsia="Times New Roman" w:hAnsi="Calibri" w:cs="Calibri"/>
          <w:spacing w:val="0"/>
          <w:sz w:val="22"/>
          <w:szCs w:val="22"/>
        </w:rPr>
      </w:pPr>
      <w:r w:rsidRPr="005E58B9">
        <w:rPr>
          <w:rFonts w:ascii="Calibri" w:eastAsia="Times New Roman" w:hAnsi="Calibri" w:cs="Calibri"/>
          <w:spacing w:val="0"/>
          <w:sz w:val="22"/>
          <w:szCs w:val="22"/>
        </w:rPr>
        <w:t xml:space="preserve">This </w:t>
      </w:r>
      <w:r w:rsidRPr="005E6113">
        <w:rPr>
          <w:rFonts w:ascii="Calibri" w:eastAsia="Times New Roman" w:hAnsi="Calibri" w:cs="Calibri"/>
          <w:spacing w:val="0"/>
          <w:sz w:val="22"/>
          <w:szCs w:val="22"/>
          <w:highlight w:val="yellow"/>
        </w:rPr>
        <w:t>[clause/condition]</w:t>
      </w:r>
      <w:r w:rsidRPr="005E58B9">
        <w:rPr>
          <w:rFonts w:ascii="Calibri" w:eastAsia="Times New Roman" w:hAnsi="Calibri" w:cs="Calibri"/>
          <w:spacing w:val="0"/>
          <w:sz w:val="22"/>
          <w:szCs w:val="22"/>
        </w:rPr>
        <w:t xml:space="preserve"> applies only:</w:t>
      </w:r>
    </w:p>
    <w:p w14:paraId="5171FD08" w14:textId="77777777" w:rsidR="00402D1B" w:rsidRPr="005E58B9" w:rsidRDefault="00402D1B" w:rsidP="008C592F">
      <w:pPr>
        <w:pStyle w:val="Listnumindent"/>
        <w:numPr>
          <w:ilvl w:val="6"/>
          <w:numId w:val="1"/>
        </w:numPr>
        <w:spacing w:before="120" w:after="120" w:line="264" w:lineRule="auto"/>
        <w:ind w:left="1299" w:hanging="505"/>
        <w:rPr>
          <w:rFonts w:ascii="Calibri" w:hAnsi="Calibri" w:cs="Calibri"/>
          <w:sz w:val="22"/>
          <w:szCs w:val="22"/>
        </w:rPr>
      </w:pPr>
      <w:r w:rsidRPr="005E58B9">
        <w:rPr>
          <w:rFonts w:ascii="Calibri" w:hAnsi="Calibri" w:cs="Calibri"/>
          <w:sz w:val="22"/>
          <w:szCs w:val="22"/>
        </w:rPr>
        <w:t xml:space="preserve">if this </w:t>
      </w:r>
      <w:r w:rsidRPr="005E6113">
        <w:rPr>
          <w:rFonts w:ascii="Calibri" w:hAnsi="Calibri" w:cs="Calibri"/>
          <w:sz w:val="22"/>
          <w:szCs w:val="22"/>
          <w:highlight w:val="yellow"/>
        </w:rPr>
        <w:t>[RFP etc]</w:t>
      </w:r>
      <w:r w:rsidRPr="005E58B9">
        <w:rPr>
          <w:rFonts w:ascii="Calibri" w:hAnsi="Calibri" w:cs="Calibri"/>
          <w:sz w:val="22"/>
          <w:szCs w:val="22"/>
        </w:rPr>
        <w:t xml:space="preserve"> is a covered procurement; and</w:t>
      </w:r>
    </w:p>
    <w:p w14:paraId="1D050B41" w14:textId="6316AC58" w:rsidR="00402D1B" w:rsidRPr="005E58B9" w:rsidRDefault="00402D1B" w:rsidP="008C592F">
      <w:pPr>
        <w:pStyle w:val="Listnumindent"/>
        <w:numPr>
          <w:ilvl w:val="6"/>
          <w:numId w:val="1"/>
        </w:numPr>
        <w:spacing w:before="120" w:after="120" w:line="264" w:lineRule="auto"/>
        <w:ind w:left="1299" w:hanging="505"/>
        <w:rPr>
          <w:rFonts w:ascii="Calibri" w:hAnsi="Calibri" w:cs="Calibri"/>
          <w:sz w:val="22"/>
          <w:szCs w:val="22"/>
        </w:rPr>
      </w:pPr>
      <w:r w:rsidRPr="005E58B9">
        <w:rPr>
          <w:rFonts w:ascii="Calibri" w:hAnsi="Calibri" w:cs="Calibri"/>
          <w:sz w:val="22"/>
          <w:szCs w:val="22"/>
        </w:rPr>
        <w:t xml:space="preserve">to suppliers (as defined in </w:t>
      </w:r>
      <w:r w:rsidRPr="005E6113">
        <w:rPr>
          <w:rFonts w:ascii="Calibri" w:hAnsi="Calibri" w:cs="Calibri"/>
          <w:sz w:val="22"/>
          <w:szCs w:val="22"/>
          <w:highlight w:val="yellow"/>
        </w:rPr>
        <w:t>[sub-clause/condition]</w:t>
      </w:r>
      <w:r w:rsidRPr="005E58B9">
        <w:rPr>
          <w:rFonts w:ascii="Calibri" w:hAnsi="Calibri" w:cs="Calibri"/>
          <w:sz w:val="22"/>
          <w:szCs w:val="22"/>
        </w:rPr>
        <w:t xml:space="preserve"> </w:t>
      </w:r>
      <w:r w:rsidRPr="005E58B9">
        <w:rPr>
          <w:rFonts w:ascii="Calibri" w:hAnsi="Calibri" w:cs="Calibri"/>
          <w:sz w:val="22"/>
          <w:szCs w:val="22"/>
        </w:rPr>
        <w:fldChar w:fldCharType="begin"/>
      </w:r>
      <w:r w:rsidRPr="005E58B9">
        <w:rPr>
          <w:rFonts w:ascii="Calibri" w:hAnsi="Calibri" w:cs="Calibri"/>
          <w:sz w:val="22"/>
          <w:szCs w:val="22"/>
        </w:rPr>
        <w:instrText xml:space="preserve"> REF _Ref531102631 \r \h </w:instrText>
      </w:r>
      <w:r w:rsidR="005E58B9" w:rsidRPr="005E58B9">
        <w:rPr>
          <w:rFonts w:ascii="Calibri" w:hAnsi="Calibri" w:cs="Calibri"/>
          <w:sz w:val="22"/>
          <w:szCs w:val="22"/>
        </w:rPr>
        <w:instrText xml:space="preserve"> \* MERGEFORMAT </w:instrText>
      </w:r>
      <w:r w:rsidRPr="005E58B9">
        <w:rPr>
          <w:rFonts w:ascii="Calibri" w:hAnsi="Calibri" w:cs="Calibri"/>
          <w:sz w:val="22"/>
          <w:szCs w:val="22"/>
        </w:rPr>
      </w:r>
      <w:r w:rsidRPr="005E58B9">
        <w:rPr>
          <w:rFonts w:ascii="Calibri" w:hAnsi="Calibri" w:cs="Calibri"/>
          <w:sz w:val="22"/>
          <w:szCs w:val="22"/>
        </w:rPr>
        <w:fldChar w:fldCharType="separate"/>
      </w:r>
      <w:r w:rsidR="009D6EDF" w:rsidRPr="005E58B9">
        <w:rPr>
          <w:rFonts w:ascii="Calibri" w:hAnsi="Calibri" w:cs="Calibri"/>
          <w:sz w:val="22"/>
          <w:szCs w:val="22"/>
        </w:rPr>
        <w:t>1.2</w:t>
      </w:r>
      <w:r w:rsidRPr="005E58B9">
        <w:rPr>
          <w:rFonts w:ascii="Calibri" w:hAnsi="Calibri" w:cs="Calibri"/>
          <w:sz w:val="22"/>
          <w:szCs w:val="22"/>
        </w:rPr>
        <w:fldChar w:fldCharType="end"/>
      </w:r>
      <w:r w:rsidRPr="005E58B9">
        <w:rPr>
          <w:rFonts w:ascii="Calibri" w:hAnsi="Calibri" w:cs="Calibri"/>
          <w:sz w:val="22"/>
          <w:szCs w:val="22"/>
        </w:rPr>
        <w:t xml:space="preserve"> following) with their principal place of business in relevant jurisdictions</w:t>
      </w:r>
      <w:r w:rsidR="00535CF7" w:rsidRPr="005E58B9">
        <w:rPr>
          <w:rFonts w:ascii="Calibri" w:hAnsi="Calibri" w:cs="Calibri"/>
          <w:sz w:val="22"/>
          <w:szCs w:val="22"/>
        </w:rPr>
        <w:t>.</w:t>
      </w:r>
    </w:p>
    <w:p w14:paraId="658D6CF1" w14:textId="77777777" w:rsidR="00402D1B" w:rsidRPr="005E58B9" w:rsidRDefault="00402D1B" w:rsidP="008C592F">
      <w:pPr>
        <w:pStyle w:val="Heading3"/>
        <w:keepLines w:val="0"/>
        <w:numPr>
          <w:ilvl w:val="3"/>
          <w:numId w:val="1"/>
        </w:numPr>
        <w:tabs>
          <w:tab w:val="clear" w:pos="792"/>
        </w:tabs>
        <w:spacing w:line="240" w:lineRule="auto"/>
        <w:ind w:left="0" w:firstLine="0"/>
        <w:rPr>
          <w:rFonts w:ascii="Calibri" w:eastAsia="Times New Roman" w:hAnsi="Calibri" w:cs="Calibri"/>
          <w:bCs w:val="0"/>
          <w:color w:val="7030A0"/>
          <w:spacing w:val="0"/>
          <w:sz w:val="24"/>
          <w:lang w:eastAsia="en-US"/>
        </w:rPr>
      </w:pPr>
      <w:bookmarkStart w:id="2" w:name="_Ref531102631"/>
      <w:r w:rsidRPr="005E58B9">
        <w:rPr>
          <w:rFonts w:ascii="Calibri" w:eastAsia="Times New Roman" w:hAnsi="Calibri" w:cs="Calibri"/>
          <w:bCs w:val="0"/>
          <w:color w:val="7030A0"/>
          <w:spacing w:val="0"/>
          <w:sz w:val="24"/>
          <w:lang w:eastAsia="en-US"/>
        </w:rPr>
        <w:t>Definitions</w:t>
      </w:r>
      <w:bookmarkEnd w:id="2"/>
    </w:p>
    <w:p w14:paraId="7D993975" w14:textId="77777777" w:rsidR="00402D1B" w:rsidRPr="005E58B9" w:rsidRDefault="00402D1B" w:rsidP="005E58B9">
      <w:pPr>
        <w:pStyle w:val="NormalIndent"/>
        <w:spacing w:before="120" w:after="120" w:line="264" w:lineRule="auto"/>
        <w:ind w:left="1299" w:hanging="505"/>
        <w:rPr>
          <w:rFonts w:ascii="Calibri" w:hAnsi="Calibri" w:cs="Calibri"/>
          <w:sz w:val="22"/>
          <w:szCs w:val="22"/>
        </w:rPr>
      </w:pPr>
      <w:r w:rsidRPr="005E58B9">
        <w:rPr>
          <w:rFonts w:ascii="Calibri" w:hAnsi="Calibri" w:cs="Calibri"/>
          <w:sz w:val="22"/>
          <w:szCs w:val="22"/>
        </w:rPr>
        <w:t xml:space="preserve">For the purpose of this </w:t>
      </w:r>
      <w:r w:rsidRPr="005E6113">
        <w:rPr>
          <w:rFonts w:ascii="Calibri" w:hAnsi="Calibri" w:cs="Calibri"/>
          <w:sz w:val="22"/>
          <w:szCs w:val="22"/>
          <w:highlight w:val="yellow"/>
        </w:rPr>
        <w:t>[clause/condition]</w:t>
      </w:r>
      <w:r w:rsidRPr="005E58B9">
        <w:rPr>
          <w:rFonts w:ascii="Calibri" w:hAnsi="Calibri" w:cs="Calibri"/>
          <w:sz w:val="22"/>
          <w:szCs w:val="22"/>
        </w:rPr>
        <w:t>:</w:t>
      </w:r>
    </w:p>
    <w:p w14:paraId="7A3E2A85" w14:textId="709BCA94" w:rsidR="00215BEF" w:rsidRPr="005E58B9" w:rsidRDefault="00215BEF" w:rsidP="008C592F">
      <w:pPr>
        <w:pStyle w:val="Listnumindent"/>
        <w:numPr>
          <w:ilvl w:val="6"/>
          <w:numId w:val="1"/>
        </w:numPr>
        <w:spacing w:before="120" w:after="120" w:line="264" w:lineRule="auto"/>
        <w:ind w:left="1299" w:hanging="505"/>
        <w:rPr>
          <w:rFonts w:ascii="Calibri" w:hAnsi="Calibri" w:cs="Calibri"/>
          <w:sz w:val="22"/>
          <w:szCs w:val="22"/>
        </w:rPr>
      </w:pPr>
      <w:r w:rsidRPr="005E58B9">
        <w:rPr>
          <w:rFonts w:ascii="Calibri" w:hAnsi="Calibri" w:cs="Calibri"/>
          <w:sz w:val="22"/>
          <w:szCs w:val="22"/>
        </w:rPr>
        <w:t>“covered procurement” means</w:t>
      </w:r>
      <w:r w:rsidR="00303789" w:rsidRPr="005E58B9">
        <w:rPr>
          <w:rFonts w:ascii="Calibri" w:hAnsi="Calibri" w:cs="Calibri"/>
          <w:sz w:val="22"/>
          <w:szCs w:val="22"/>
        </w:rPr>
        <w:t xml:space="preserve"> a procurement to which the requirements of international agreements apply, </w:t>
      </w:r>
      <w:r w:rsidR="006F1D09" w:rsidRPr="005E58B9">
        <w:rPr>
          <w:rFonts w:ascii="Calibri" w:hAnsi="Calibri" w:cs="Calibri"/>
          <w:sz w:val="22"/>
          <w:szCs w:val="22"/>
        </w:rPr>
        <w:t>as set out in</w:t>
      </w:r>
      <w:r w:rsidR="00303789" w:rsidRPr="005E58B9">
        <w:rPr>
          <w:rFonts w:ascii="Calibri" w:hAnsi="Calibri" w:cs="Calibri"/>
          <w:sz w:val="22"/>
          <w:szCs w:val="22"/>
        </w:rPr>
        <w:t>:</w:t>
      </w:r>
      <w:bookmarkStart w:id="3" w:name="_GoBack"/>
      <w:bookmarkEnd w:id="3"/>
    </w:p>
    <w:p w14:paraId="3DF23B9C" w14:textId="09D9F784" w:rsidR="00303789" w:rsidRPr="005E58B9" w:rsidRDefault="006F1D09" w:rsidP="008C592F">
      <w:pPr>
        <w:pStyle w:val="Listnumindent2"/>
        <w:spacing w:before="120" w:after="120" w:line="264" w:lineRule="auto"/>
        <w:rPr>
          <w:rFonts w:ascii="Calibri" w:hAnsi="Calibri" w:cs="Calibri"/>
          <w:sz w:val="22"/>
          <w:szCs w:val="22"/>
        </w:rPr>
      </w:pPr>
      <w:r w:rsidRPr="005E58B9">
        <w:rPr>
          <w:rFonts w:ascii="Calibri" w:hAnsi="Calibri" w:cs="Calibri"/>
          <w:sz w:val="22"/>
          <w:szCs w:val="22"/>
        </w:rPr>
        <w:t xml:space="preserve">the </w:t>
      </w:r>
      <w:r w:rsidR="00303789" w:rsidRPr="008C592F">
        <w:rPr>
          <w:rFonts w:ascii="Calibri" w:hAnsi="Calibri" w:cs="Calibri"/>
          <w:sz w:val="22"/>
          <w:szCs w:val="22"/>
        </w:rPr>
        <w:t>Instructions</w:t>
      </w:r>
      <w:r w:rsidR="00303789" w:rsidRPr="005E58B9">
        <w:rPr>
          <w:rFonts w:ascii="Calibri" w:hAnsi="Calibri" w:cs="Calibri"/>
          <w:i/>
          <w:sz w:val="22"/>
          <w:szCs w:val="22"/>
        </w:rPr>
        <w:t xml:space="preserve"> for Public Construction </w:t>
      </w:r>
      <w:r w:rsidR="00303789" w:rsidRPr="00C953CC">
        <w:rPr>
          <w:rFonts w:ascii="Calibri" w:hAnsi="Calibri" w:cs="Calibri"/>
          <w:i/>
          <w:sz w:val="22"/>
          <w:szCs w:val="22"/>
        </w:rPr>
        <w:t>Procurement</w:t>
      </w:r>
      <w:r w:rsidR="00303789" w:rsidRPr="005E58B9">
        <w:rPr>
          <w:rFonts w:ascii="Calibri" w:hAnsi="Calibri" w:cs="Calibri"/>
          <w:i/>
          <w:sz w:val="22"/>
          <w:szCs w:val="22"/>
        </w:rPr>
        <w:t xml:space="preserve"> in Victoria</w:t>
      </w:r>
      <w:r w:rsidR="00303789" w:rsidRPr="005E58B9">
        <w:rPr>
          <w:rFonts w:ascii="Calibri" w:hAnsi="Calibri" w:cs="Calibri"/>
          <w:sz w:val="22"/>
          <w:szCs w:val="22"/>
        </w:rPr>
        <w:t xml:space="preserve">, published by the Department of Treasury and Finance; </w:t>
      </w:r>
      <w:r w:rsidR="00BF2C60" w:rsidRPr="005E58B9">
        <w:rPr>
          <w:rFonts w:ascii="Calibri" w:hAnsi="Calibri" w:cs="Calibri"/>
          <w:sz w:val="22"/>
          <w:szCs w:val="22"/>
        </w:rPr>
        <w:t>and</w:t>
      </w:r>
    </w:p>
    <w:p w14:paraId="10E59CED" w14:textId="48E01CAA" w:rsidR="00303789" w:rsidRPr="00C953CC" w:rsidRDefault="006F1D09" w:rsidP="008C592F">
      <w:pPr>
        <w:pStyle w:val="Listnumindent2"/>
        <w:spacing w:before="120" w:after="120" w:line="264" w:lineRule="auto"/>
        <w:rPr>
          <w:rFonts w:ascii="Calibri" w:hAnsi="Calibri" w:cs="Calibri"/>
          <w:sz w:val="22"/>
          <w:szCs w:val="22"/>
        </w:rPr>
      </w:pPr>
      <w:r w:rsidRPr="00C953CC">
        <w:rPr>
          <w:rFonts w:ascii="Calibri" w:hAnsi="Calibri" w:cs="Calibri"/>
          <w:sz w:val="22"/>
          <w:szCs w:val="22"/>
        </w:rPr>
        <w:t xml:space="preserve">the </w:t>
      </w:r>
      <w:r w:rsidR="00303789" w:rsidRPr="00C953CC">
        <w:rPr>
          <w:rFonts w:ascii="Calibri" w:hAnsi="Calibri" w:cs="Calibri"/>
          <w:i/>
          <w:sz w:val="22"/>
          <w:szCs w:val="22"/>
        </w:rPr>
        <w:t>Government procurement under International Agreements – procurement guide</w:t>
      </w:r>
      <w:r w:rsidR="00303789" w:rsidRPr="00C953CC">
        <w:rPr>
          <w:rFonts w:ascii="Calibri" w:hAnsi="Calibri" w:cs="Calibri"/>
          <w:sz w:val="22"/>
          <w:szCs w:val="22"/>
        </w:rPr>
        <w:t>, published by the Victorian Government Purchasing Board</w:t>
      </w:r>
      <w:r w:rsidR="00BF2C60" w:rsidRPr="00C953CC">
        <w:rPr>
          <w:rFonts w:ascii="Calibri" w:hAnsi="Calibri" w:cs="Calibri"/>
          <w:sz w:val="22"/>
          <w:szCs w:val="22"/>
        </w:rPr>
        <w:t xml:space="preserve"> and which is published at </w:t>
      </w:r>
      <w:hyperlink r:id="rId9" w:history="1">
        <w:r w:rsidR="00C953CC" w:rsidRPr="00C953CC">
          <w:rPr>
            <w:rStyle w:val="Hyperlink"/>
            <w:rFonts w:ascii="Calibri" w:eastAsia="Times New Roman" w:hAnsi="Calibri" w:cs="Calibri"/>
            <w:color w:val="4D4D4D"/>
            <w:spacing w:val="0"/>
            <w:sz w:val="22"/>
            <w:szCs w:val="22"/>
            <w:u w:val="single"/>
          </w:rPr>
          <w:t>https://www.buyingfor.vic.gov.au/government-procurement-under-international-agreements-goods-and-services-procurement-guide</w:t>
        </w:r>
      </w:hyperlink>
      <w:r w:rsidR="00303789" w:rsidRPr="00C953CC">
        <w:rPr>
          <w:rFonts w:ascii="Calibri" w:hAnsi="Calibri" w:cs="Calibri"/>
          <w:sz w:val="22"/>
          <w:szCs w:val="22"/>
        </w:rPr>
        <w:t>;</w:t>
      </w:r>
    </w:p>
    <w:p w14:paraId="335A11A8" w14:textId="4F01CC80" w:rsidR="00402D1B" w:rsidRPr="00C953CC" w:rsidRDefault="005E6113" w:rsidP="008C592F">
      <w:pPr>
        <w:pStyle w:val="Listnumindent"/>
        <w:numPr>
          <w:ilvl w:val="6"/>
          <w:numId w:val="1"/>
        </w:numPr>
        <w:spacing w:before="120" w:after="120" w:line="264" w:lineRule="auto"/>
        <w:ind w:left="1299" w:hanging="505"/>
        <w:rPr>
          <w:rFonts w:ascii="Calibri" w:hAnsi="Calibri" w:cs="Calibri"/>
          <w:sz w:val="22"/>
          <w:szCs w:val="22"/>
        </w:rPr>
      </w:pPr>
      <w:r w:rsidRPr="00C953CC">
        <w:rPr>
          <w:rFonts w:ascii="Calibri" w:hAnsi="Calibri" w:cs="Calibri"/>
          <w:sz w:val="22"/>
          <w:szCs w:val="22"/>
        </w:rPr>
        <w:t>‘</w:t>
      </w:r>
      <w:r w:rsidR="00402D1B" w:rsidRPr="00C953CC">
        <w:rPr>
          <w:rFonts w:ascii="Calibri" w:hAnsi="Calibri" w:cs="Calibri"/>
          <w:sz w:val="22"/>
          <w:szCs w:val="22"/>
        </w:rPr>
        <w:t>measures</w:t>
      </w:r>
      <w:r w:rsidRPr="00C953CC">
        <w:rPr>
          <w:rFonts w:ascii="Calibri" w:hAnsi="Calibri" w:cs="Calibri"/>
          <w:sz w:val="22"/>
          <w:szCs w:val="22"/>
        </w:rPr>
        <w:t>’</w:t>
      </w:r>
      <w:r w:rsidR="00402D1B" w:rsidRPr="00C953CC">
        <w:rPr>
          <w:rFonts w:ascii="Calibri" w:hAnsi="Calibri" w:cs="Calibri"/>
          <w:sz w:val="22"/>
          <w:szCs w:val="22"/>
        </w:rPr>
        <w:t xml:space="preserve"> means the Victorian Government’s </w:t>
      </w:r>
      <w:bookmarkStart w:id="4" w:name="_Hlk531788503"/>
      <w:r w:rsidR="00402D1B" w:rsidRPr="00C953CC">
        <w:rPr>
          <w:rFonts w:ascii="Calibri" w:hAnsi="Calibri" w:cs="Calibri"/>
          <w:sz w:val="22"/>
          <w:szCs w:val="22"/>
        </w:rPr>
        <w:t>measures to implement the procurement requirements of international agreements</w:t>
      </w:r>
      <w:bookmarkEnd w:id="4"/>
      <w:r w:rsidR="00402D1B" w:rsidRPr="00C953CC">
        <w:rPr>
          <w:rFonts w:ascii="Calibri" w:hAnsi="Calibri" w:cs="Calibri"/>
          <w:sz w:val="22"/>
          <w:szCs w:val="22"/>
        </w:rPr>
        <w:t xml:space="preserve">, a list of which is published at </w:t>
      </w:r>
      <w:hyperlink r:id="rId10" w:history="1">
        <w:r w:rsidR="00C953CC" w:rsidRPr="00C953CC">
          <w:rPr>
            <w:rStyle w:val="Hyperlink"/>
            <w:rFonts w:ascii="Calibri" w:eastAsia="Times New Roman" w:hAnsi="Calibri" w:cs="Calibri"/>
            <w:color w:val="4D4D4D"/>
            <w:spacing w:val="0"/>
            <w:sz w:val="22"/>
            <w:szCs w:val="22"/>
            <w:u w:val="single"/>
          </w:rPr>
          <w:t>https://www.buyingfor.vic.gov.au/measures-implementing-procurement-requirements-international-agreements</w:t>
        </w:r>
      </w:hyperlink>
      <w:r w:rsidR="00402D1B" w:rsidRPr="00C953CC">
        <w:rPr>
          <w:rFonts w:ascii="Calibri" w:hAnsi="Calibri" w:cs="Calibri"/>
          <w:sz w:val="22"/>
          <w:szCs w:val="22"/>
        </w:rPr>
        <w:t>;</w:t>
      </w:r>
    </w:p>
    <w:p w14:paraId="21642F01" w14:textId="0221C272" w:rsidR="00402D1B" w:rsidRPr="00C953CC" w:rsidRDefault="005E6113" w:rsidP="008C592F">
      <w:pPr>
        <w:pStyle w:val="Listnumindent"/>
        <w:numPr>
          <w:ilvl w:val="6"/>
          <w:numId w:val="1"/>
        </w:numPr>
        <w:spacing w:before="120" w:after="120" w:line="264" w:lineRule="auto"/>
        <w:ind w:left="1299" w:hanging="505"/>
        <w:rPr>
          <w:rFonts w:ascii="Calibri" w:hAnsi="Calibri" w:cs="Calibri"/>
          <w:sz w:val="22"/>
          <w:szCs w:val="22"/>
        </w:rPr>
      </w:pPr>
      <w:r w:rsidRPr="00C953CC">
        <w:rPr>
          <w:rFonts w:ascii="Calibri" w:hAnsi="Calibri" w:cs="Calibri"/>
          <w:sz w:val="22"/>
          <w:szCs w:val="22"/>
        </w:rPr>
        <w:t>‘</w:t>
      </w:r>
      <w:r w:rsidR="00402D1B" w:rsidRPr="00C953CC">
        <w:rPr>
          <w:rFonts w:ascii="Calibri" w:hAnsi="Calibri" w:cs="Calibri"/>
          <w:sz w:val="22"/>
          <w:szCs w:val="22"/>
        </w:rPr>
        <w:t>public interest certificate</w:t>
      </w:r>
      <w:r w:rsidRPr="00C953CC">
        <w:rPr>
          <w:rFonts w:ascii="Calibri" w:hAnsi="Calibri" w:cs="Calibri"/>
          <w:sz w:val="22"/>
          <w:szCs w:val="22"/>
        </w:rPr>
        <w:t>’</w:t>
      </w:r>
      <w:r w:rsidR="00402D1B" w:rsidRPr="00C953CC">
        <w:rPr>
          <w:rFonts w:ascii="Calibri" w:hAnsi="Calibri" w:cs="Calibri"/>
          <w:sz w:val="22"/>
          <w:szCs w:val="22"/>
        </w:rPr>
        <w:t xml:space="preserve"> means a certificate issued on behalf of </w:t>
      </w:r>
      <w:r w:rsidR="00402D1B" w:rsidRPr="00C953CC">
        <w:rPr>
          <w:rFonts w:ascii="Calibri" w:hAnsi="Calibri" w:cs="Calibri"/>
          <w:sz w:val="22"/>
          <w:szCs w:val="22"/>
          <w:highlight w:val="yellow"/>
        </w:rPr>
        <w:t>[insert procuring entity of the Victorian Government]</w:t>
      </w:r>
      <w:r w:rsidR="00402D1B" w:rsidRPr="00C953CC">
        <w:rPr>
          <w:rFonts w:ascii="Calibri" w:hAnsi="Calibri" w:cs="Calibri"/>
          <w:sz w:val="22"/>
          <w:szCs w:val="22"/>
        </w:rPr>
        <w:t xml:space="preserve"> stating that it is not in the public interest for this </w:t>
      </w:r>
      <w:r w:rsidR="00402D1B" w:rsidRPr="00C953CC">
        <w:rPr>
          <w:rFonts w:ascii="Calibri" w:hAnsi="Calibri" w:cs="Calibri"/>
          <w:sz w:val="22"/>
          <w:szCs w:val="22"/>
          <w:highlight w:val="yellow"/>
        </w:rPr>
        <w:t>[RFP etc]</w:t>
      </w:r>
      <w:r w:rsidR="00402D1B" w:rsidRPr="00C953CC">
        <w:rPr>
          <w:rFonts w:ascii="Calibri" w:hAnsi="Calibri" w:cs="Calibri"/>
          <w:sz w:val="22"/>
          <w:szCs w:val="22"/>
        </w:rPr>
        <w:t xml:space="preserve"> to be suspended while a complaint by a supplier is being managed in accordance with this </w:t>
      </w:r>
      <w:r w:rsidR="00402D1B" w:rsidRPr="00C953CC">
        <w:rPr>
          <w:rFonts w:ascii="Calibri" w:hAnsi="Calibri" w:cs="Calibri"/>
          <w:sz w:val="22"/>
          <w:szCs w:val="22"/>
          <w:highlight w:val="yellow"/>
        </w:rPr>
        <w:t>[clause/condition]</w:t>
      </w:r>
      <w:r w:rsidR="00402D1B" w:rsidRPr="00C953CC">
        <w:rPr>
          <w:rFonts w:ascii="Calibri" w:hAnsi="Calibri" w:cs="Calibri"/>
          <w:sz w:val="22"/>
          <w:szCs w:val="22"/>
        </w:rPr>
        <w:t>;</w:t>
      </w:r>
    </w:p>
    <w:p w14:paraId="1B6BEC18" w14:textId="6778C8F1" w:rsidR="00402D1B" w:rsidRPr="005E58B9" w:rsidRDefault="005E6113" w:rsidP="008C592F">
      <w:pPr>
        <w:pStyle w:val="Listnumindent"/>
        <w:numPr>
          <w:ilvl w:val="6"/>
          <w:numId w:val="1"/>
        </w:numPr>
        <w:spacing w:before="120" w:after="120" w:line="264" w:lineRule="auto"/>
        <w:ind w:left="1299" w:hanging="505"/>
        <w:rPr>
          <w:rFonts w:ascii="Calibri" w:hAnsi="Calibri" w:cs="Calibri"/>
          <w:sz w:val="22"/>
          <w:szCs w:val="22"/>
        </w:rPr>
      </w:pPr>
      <w:r w:rsidRPr="00C953CC">
        <w:rPr>
          <w:rFonts w:ascii="Calibri" w:hAnsi="Calibri" w:cs="Calibri"/>
          <w:sz w:val="22"/>
          <w:szCs w:val="22"/>
        </w:rPr>
        <w:t>‘</w:t>
      </w:r>
      <w:r w:rsidR="00402D1B" w:rsidRPr="00C953CC">
        <w:rPr>
          <w:rFonts w:ascii="Calibri" w:hAnsi="Calibri" w:cs="Calibri"/>
          <w:sz w:val="22"/>
          <w:szCs w:val="22"/>
        </w:rPr>
        <w:t>relevant jurisdictions</w:t>
      </w:r>
      <w:r w:rsidRPr="00C953CC">
        <w:rPr>
          <w:rFonts w:ascii="Calibri" w:hAnsi="Calibri" w:cs="Calibri"/>
          <w:sz w:val="22"/>
          <w:szCs w:val="22"/>
        </w:rPr>
        <w:t>’</w:t>
      </w:r>
      <w:r w:rsidR="00402D1B" w:rsidRPr="00C953CC">
        <w:rPr>
          <w:rFonts w:ascii="Calibri" w:hAnsi="Calibri" w:cs="Calibri"/>
          <w:sz w:val="22"/>
          <w:szCs w:val="22"/>
        </w:rPr>
        <w:t xml:space="preserve"> means those jurisdictions to which the measures apply, a list of which is published at </w:t>
      </w:r>
      <w:hyperlink r:id="rId11" w:history="1">
        <w:r w:rsidR="00C953CC" w:rsidRPr="00C953CC">
          <w:rPr>
            <w:rStyle w:val="Hyperlink"/>
            <w:rFonts w:ascii="Calibri" w:eastAsia="Times New Roman" w:hAnsi="Calibri" w:cs="Calibri"/>
            <w:color w:val="4D4D4D"/>
            <w:spacing w:val="0"/>
            <w:sz w:val="22"/>
            <w:szCs w:val="22"/>
            <w:u w:val="single"/>
          </w:rPr>
          <w:t>https://www.buyingfor.vic.gov.au/relevant-jurisdictions-domestic-dispute-resolution-international-agreements</w:t>
        </w:r>
      </w:hyperlink>
      <w:r w:rsidR="00BF2C60" w:rsidRPr="005E58B9">
        <w:rPr>
          <w:rFonts w:ascii="Calibri" w:hAnsi="Calibri" w:cs="Calibri"/>
          <w:sz w:val="22"/>
          <w:szCs w:val="22"/>
        </w:rPr>
        <w:t>; and</w:t>
      </w:r>
    </w:p>
    <w:p w14:paraId="164D0713" w14:textId="6ED5DF49" w:rsidR="00303789" w:rsidRPr="005E58B9" w:rsidRDefault="005E6113" w:rsidP="008C592F">
      <w:pPr>
        <w:pStyle w:val="Listnumindent"/>
        <w:numPr>
          <w:ilvl w:val="6"/>
          <w:numId w:val="1"/>
        </w:numPr>
        <w:spacing w:before="120" w:after="120" w:line="264" w:lineRule="auto"/>
        <w:ind w:left="1299" w:hanging="505"/>
        <w:rPr>
          <w:rFonts w:ascii="Calibri" w:hAnsi="Calibri" w:cs="Calibri"/>
          <w:sz w:val="22"/>
          <w:szCs w:val="22"/>
        </w:rPr>
      </w:pPr>
      <w:r>
        <w:rPr>
          <w:rFonts w:ascii="Calibri" w:hAnsi="Calibri" w:cs="Calibri"/>
          <w:sz w:val="22"/>
          <w:szCs w:val="22"/>
        </w:rPr>
        <w:t>‘</w:t>
      </w:r>
      <w:r w:rsidR="00303789" w:rsidRPr="005E58B9">
        <w:rPr>
          <w:rFonts w:ascii="Calibri" w:hAnsi="Calibri" w:cs="Calibri"/>
          <w:sz w:val="22"/>
          <w:szCs w:val="22"/>
        </w:rPr>
        <w:t>supplier</w:t>
      </w:r>
      <w:r>
        <w:rPr>
          <w:rFonts w:ascii="Calibri" w:hAnsi="Calibri" w:cs="Calibri"/>
          <w:sz w:val="22"/>
          <w:szCs w:val="22"/>
        </w:rPr>
        <w:t>’</w:t>
      </w:r>
      <w:r w:rsidR="00303789" w:rsidRPr="005E58B9">
        <w:rPr>
          <w:rFonts w:ascii="Calibri" w:hAnsi="Calibri" w:cs="Calibri"/>
          <w:sz w:val="22"/>
          <w:szCs w:val="22"/>
        </w:rPr>
        <w:t xml:space="preserve"> means a person or group of persons that provides or could provide goods or services.</w:t>
      </w:r>
    </w:p>
    <w:p w14:paraId="588AB1C5" w14:textId="77777777" w:rsidR="00402D1B" w:rsidRPr="005E58B9" w:rsidRDefault="00402D1B" w:rsidP="008C592F">
      <w:pPr>
        <w:pStyle w:val="Heading3"/>
        <w:keepLines w:val="0"/>
        <w:numPr>
          <w:ilvl w:val="3"/>
          <w:numId w:val="1"/>
        </w:numPr>
        <w:tabs>
          <w:tab w:val="clear" w:pos="792"/>
        </w:tabs>
        <w:spacing w:line="240" w:lineRule="auto"/>
        <w:ind w:left="0" w:firstLine="0"/>
        <w:rPr>
          <w:rFonts w:ascii="Calibri" w:eastAsia="Times New Roman" w:hAnsi="Calibri" w:cs="Calibri"/>
          <w:bCs w:val="0"/>
          <w:color w:val="7030A0"/>
          <w:spacing w:val="0"/>
          <w:sz w:val="24"/>
          <w:lang w:eastAsia="en-US"/>
        </w:rPr>
      </w:pPr>
      <w:r w:rsidRPr="005E58B9">
        <w:rPr>
          <w:rFonts w:ascii="Calibri" w:eastAsia="Times New Roman" w:hAnsi="Calibri" w:cs="Calibri"/>
          <w:bCs w:val="0"/>
          <w:color w:val="7030A0"/>
          <w:spacing w:val="0"/>
          <w:sz w:val="24"/>
          <w:lang w:eastAsia="en-US"/>
        </w:rPr>
        <w:t>Resolution procedure</w:t>
      </w:r>
    </w:p>
    <w:p w14:paraId="5BD2C189" w14:textId="77777777" w:rsidR="00402D1B" w:rsidRPr="005E58B9" w:rsidRDefault="00402D1B" w:rsidP="005E58B9">
      <w:pPr>
        <w:pStyle w:val="NormalIndent"/>
        <w:spacing w:before="120" w:after="120" w:line="264" w:lineRule="auto"/>
        <w:ind w:left="720"/>
        <w:rPr>
          <w:rFonts w:ascii="Calibri" w:hAnsi="Calibri" w:cs="Calibri"/>
          <w:sz w:val="22"/>
          <w:szCs w:val="22"/>
        </w:rPr>
      </w:pPr>
      <w:r w:rsidRPr="005E58B9">
        <w:rPr>
          <w:rFonts w:ascii="Calibri" w:hAnsi="Calibri" w:cs="Calibri"/>
          <w:sz w:val="22"/>
          <w:szCs w:val="22"/>
        </w:rPr>
        <w:t xml:space="preserve">Any </w:t>
      </w:r>
      <w:bookmarkStart w:id="5" w:name="_Hlk531106409"/>
      <w:r w:rsidRPr="005E58B9">
        <w:rPr>
          <w:rFonts w:ascii="Calibri" w:hAnsi="Calibri" w:cs="Calibri"/>
          <w:sz w:val="22"/>
          <w:szCs w:val="22"/>
        </w:rPr>
        <w:t xml:space="preserve">complaint or challenge by a supplier that there has been a failure of the procuring entity to comply with one or more measures </w:t>
      </w:r>
      <w:bookmarkEnd w:id="5"/>
      <w:r w:rsidRPr="005E58B9">
        <w:rPr>
          <w:rFonts w:ascii="Calibri" w:hAnsi="Calibri" w:cs="Calibri"/>
          <w:sz w:val="22"/>
          <w:szCs w:val="22"/>
        </w:rPr>
        <w:t>(</w:t>
      </w:r>
      <w:r w:rsidRPr="005E58B9">
        <w:rPr>
          <w:rFonts w:ascii="Calibri" w:hAnsi="Calibri" w:cs="Calibri"/>
          <w:b/>
          <w:sz w:val="22"/>
          <w:szCs w:val="22"/>
        </w:rPr>
        <w:t>complaint</w:t>
      </w:r>
      <w:r w:rsidRPr="005E58B9">
        <w:rPr>
          <w:rFonts w:ascii="Calibri" w:hAnsi="Calibri" w:cs="Calibri"/>
          <w:sz w:val="22"/>
          <w:szCs w:val="22"/>
        </w:rPr>
        <w:t xml:space="preserve">) shall be resolved in accordance with this </w:t>
      </w:r>
      <w:r w:rsidRPr="005E6113">
        <w:rPr>
          <w:rFonts w:ascii="Calibri" w:hAnsi="Calibri" w:cs="Calibri"/>
          <w:sz w:val="22"/>
          <w:szCs w:val="22"/>
          <w:highlight w:val="yellow"/>
        </w:rPr>
        <w:t>[clause/condition]</w:t>
      </w:r>
      <w:r w:rsidRPr="005E58B9">
        <w:rPr>
          <w:rFonts w:ascii="Calibri" w:hAnsi="Calibri" w:cs="Calibri"/>
          <w:sz w:val="22"/>
          <w:szCs w:val="22"/>
        </w:rPr>
        <w:t>.</w:t>
      </w:r>
    </w:p>
    <w:p w14:paraId="3F577EFC" w14:textId="77777777" w:rsidR="00402D1B" w:rsidRPr="005E58B9" w:rsidRDefault="00402D1B" w:rsidP="008C592F">
      <w:pPr>
        <w:pStyle w:val="Heading3"/>
        <w:keepLines w:val="0"/>
        <w:numPr>
          <w:ilvl w:val="3"/>
          <w:numId w:val="1"/>
        </w:numPr>
        <w:tabs>
          <w:tab w:val="clear" w:pos="792"/>
        </w:tabs>
        <w:spacing w:line="240" w:lineRule="auto"/>
        <w:ind w:left="0" w:firstLine="0"/>
        <w:rPr>
          <w:rFonts w:ascii="Calibri" w:eastAsia="Times New Roman" w:hAnsi="Calibri" w:cs="Calibri"/>
          <w:bCs w:val="0"/>
          <w:color w:val="7030A0"/>
          <w:spacing w:val="0"/>
          <w:sz w:val="24"/>
          <w:lang w:eastAsia="en-US"/>
        </w:rPr>
      </w:pPr>
      <w:r w:rsidRPr="005E58B9">
        <w:rPr>
          <w:rFonts w:ascii="Calibri" w:eastAsia="Times New Roman" w:hAnsi="Calibri" w:cs="Calibri"/>
          <w:bCs w:val="0"/>
          <w:color w:val="7030A0"/>
          <w:spacing w:val="0"/>
          <w:sz w:val="24"/>
          <w:lang w:eastAsia="en-US"/>
        </w:rPr>
        <w:t>Notice of complaint</w:t>
      </w:r>
    </w:p>
    <w:p w14:paraId="1AAF57B3" w14:textId="1DE3DC92" w:rsidR="00D35545" w:rsidRPr="005E58B9" w:rsidRDefault="00402D1B" w:rsidP="005E58B9">
      <w:pPr>
        <w:spacing w:before="120" w:after="120" w:line="264" w:lineRule="auto"/>
        <w:ind w:left="720"/>
        <w:rPr>
          <w:rFonts w:ascii="Calibri" w:hAnsi="Calibri" w:cs="Calibri"/>
          <w:sz w:val="22"/>
          <w:szCs w:val="22"/>
        </w:rPr>
      </w:pPr>
      <w:r w:rsidRPr="005E58B9">
        <w:rPr>
          <w:rFonts w:ascii="Calibri" w:hAnsi="Calibri" w:cs="Calibri"/>
          <w:sz w:val="22"/>
          <w:szCs w:val="22"/>
        </w:rPr>
        <w:t>A supplier who has a complaint</w:t>
      </w:r>
      <w:r w:rsidR="00D35545" w:rsidRPr="005E58B9">
        <w:rPr>
          <w:rFonts w:ascii="Calibri" w:hAnsi="Calibri" w:cs="Calibri"/>
          <w:sz w:val="22"/>
          <w:szCs w:val="22"/>
        </w:rPr>
        <w:t>:</w:t>
      </w:r>
    </w:p>
    <w:p w14:paraId="53C432D0" w14:textId="77777777" w:rsidR="00402D1B" w:rsidRPr="005E58B9" w:rsidRDefault="00402D1B" w:rsidP="005E58B9">
      <w:pPr>
        <w:pStyle w:val="Listnumindent"/>
        <w:spacing w:before="120" w:after="120" w:line="264" w:lineRule="auto"/>
        <w:rPr>
          <w:rFonts w:ascii="Calibri" w:hAnsi="Calibri" w:cs="Calibri"/>
          <w:sz w:val="22"/>
          <w:szCs w:val="22"/>
        </w:rPr>
      </w:pPr>
      <w:r w:rsidRPr="005E58B9">
        <w:rPr>
          <w:rFonts w:ascii="Calibri" w:hAnsi="Calibri" w:cs="Calibri"/>
          <w:sz w:val="22"/>
          <w:szCs w:val="22"/>
        </w:rPr>
        <w:lastRenderedPageBreak/>
        <w:t xml:space="preserve">may deliver to </w:t>
      </w:r>
      <w:r w:rsidRPr="005E6113">
        <w:rPr>
          <w:rFonts w:ascii="Calibri" w:hAnsi="Calibri" w:cs="Calibri"/>
          <w:sz w:val="22"/>
          <w:szCs w:val="22"/>
          <w:highlight w:val="yellow"/>
        </w:rPr>
        <w:t>[insert procuring entity of the Victorian Government]</w:t>
      </w:r>
      <w:r w:rsidRPr="005E58B9">
        <w:rPr>
          <w:rFonts w:ascii="Calibri" w:hAnsi="Calibri" w:cs="Calibri"/>
          <w:sz w:val="22"/>
          <w:szCs w:val="22"/>
        </w:rPr>
        <w:t xml:space="preserve"> a notice of complaint which must include:</w:t>
      </w:r>
    </w:p>
    <w:p w14:paraId="28DE25AA" w14:textId="77777777" w:rsidR="00402D1B" w:rsidRPr="005E58B9" w:rsidRDefault="00402D1B" w:rsidP="005E58B9">
      <w:pPr>
        <w:pStyle w:val="Listnumindent2"/>
        <w:spacing w:before="120" w:after="120" w:line="264" w:lineRule="auto"/>
        <w:rPr>
          <w:rFonts w:ascii="Calibri" w:hAnsi="Calibri" w:cs="Calibri"/>
          <w:sz w:val="22"/>
          <w:szCs w:val="22"/>
        </w:rPr>
      </w:pPr>
      <w:r w:rsidRPr="005E58B9">
        <w:rPr>
          <w:rFonts w:ascii="Calibri" w:hAnsi="Calibri" w:cs="Calibri"/>
          <w:sz w:val="22"/>
          <w:szCs w:val="22"/>
        </w:rPr>
        <w:t xml:space="preserve">a demand that the complaint be reviewed and resolved in accordance with this </w:t>
      </w:r>
      <w:r w:rsidRPr="005E6113">
        <w:rPr>
          <w:rFonts w:ascii="Calibri" w:hAnsi="Calibri" w:cs="Calibri"/>
          <w:sz w:val="22"/>
          <w:szCs w:val="22"/>
          <w:highlight w:val="yellow"/>
        </w:rPr>
        <w:t>[clause/condition]</w:t>
      </w:r>
      <w:r w:rsidRPr="005E58B9">
        <w:rPr>
          <w:rFonts w:ascii="Calibri" w:hAnsi="Calibri" w:cs="Calibri"/>
          <w:sz w:val="22"/>
          <w:szCs w:val="22"/>
        </w:rPr>
        <w:t>; and</w:t>
      </w:r>
    </w:p>
    <w:p w14:paraId="6D57A4E6" w14:textId="5EC91CE7" w:rsidR="00402D1B" w:rsidRPr="005E58B9" w:rsidRDefault="00402D1B" w:rsidP="005E58B9">
      <w:pPr>
        <w:pStyle w:val="Listnumindent2"/>
        <w:spacing w:before="120" w:after="120" w:line="264" w:lineRule="auto"/>
        <w:rPr>
          <w:rFonts w:ascii="Calibri" w:hAnsi="Calibri" w:cs="Calibri"/>
          <w:sz w:val="22"/>
          <w:szCs w:val="22"/>
        </w:rPr>
      </w:pPr>
      <w:r w:rsidRPr="005E58B9">
        <w:rPr>
          <w:rFonts w:ascii="Calibri" w:hAnsi="Calibri" w:cs="Calibri"/>
          <w:sz w:val="22"/>
          <w:szCs w:val="22"/>
        </w:rPr>
        <w:t xml:space="preserve">a description of the nature and circumstances of the complaint and a statement of the relief sought and, if compensation is claimed, the amount claimed from </w:t>
      </w:r>
      <w:r w:rsidRPr="005E6113">
        <w:rPr>
          <w:rFonts w:ascii="Calibri" w:hAnsi="Calibri" w:cs="Calibri"/>
          <w:sz w:val="22"/>
          <w:szCs w:val="22"/>
          <w:highlight w:val="yellow"/>
        </w:rPr>
        <w:t>[insert procuring entity of the Victorian Government]</w:t>
      </w:r>
      <w:r w:rsidR="00745A14" w:rsidRPr="005E58B9">
        <w:rPr>
          <w:rFonts w:ascii="Calibri" w:hAnsi="Calibri" w:cs="Calibri"/>
          <w:sz w:val="22"/>
          <w:szCs w:val="22"/>
        </w:rPr>
        <w:t>,</w:t>
      </w:r>
    </w:p>
    <w:p w14:paraId="565E09F5" w14:textId="77777777" w:rsidR="00D35545" w:rsidRPr="005E58B9" w:rsidRDefault="00402D1B" w:rsidP="005E58B9">
      <w:pPr>
        <w:pStyle w:val="Listnumindent"/>
        <w:numPr>
          <w:ilvl w:val="0"/>
          <w:numId w:val="0"/>
        </w:numPr>
        <w:spacing w:before="120" w:after="120" w:line="264" w:lineRule="auto"/>
        <w:ind w:left="1296"/>
        <w:rPr>
          <w:rFonts w:ascii="Calibri" w:hAnsi="Calibri" w:cs="Calibri"/>
          <w:sz w:val="22"/>
          <w:szCs w:val="22"/>
        </w:rPr>
      </w:pPr>
      <w:r w:rsidRPr="005E58B9">
        <w:rPr>
          <w:rFonts w:ascii="Calibri" w:hAnsi="Calibri" w:cs="Calibri"/>
          <w:sz w:val="22"/>
          <w:szCs w:val="22"/>
        </w:rPr>
        <w:t>(</w:t>
      </w:r>
      <w:r w:rsidRPr="005E58B9">
        <w:rPr>
          <w:rFonts w:ascii="Calibri" w:hAnsi="Calibri" w:cs="Calibri"/>
          <w:b/>
          <w:sz w:val="22"/>
          <w:szCs w:val="22"/>
        </w:rPr>
        <w:t>notice of complaint</w:t>
      </w:r>
      <w:r w:rsidRPr="005E58B9">
        <w:rPr>
          <w:rFonts w:ascii="Calibri" w:hAnsi="Calibri" w:cs="Calibri"/>
          <w:sz w:val="22"/>
          <w:szCs w:val="22"/>
        </w:rPr>
        <w:t>)</w:t>
      </w:r>
      <w:r w:rsidR="00D35545" w:rsidRPr="005E58B9">
        <w:rPr>
          <w:rFonts w:ascii="Calibri" w:hAnsi="Calibri" w:cs="Calibri"/>
          <w:sz w:val="22"/>
          <w:szCs w:val="22"/>
        </w:rPr>
        <w:t>; and</w:t>
      </w:r>
    </w:p>
    <w:p w14:paraId="70B0E653" w14:textId="77777777" w:rsidR="00402D1B" w:rsidRPr="005E58B9" w:rsidRDefault="00D35545" w:rsidP="005E58B9">
      <w:pPr>
        <w:pStyle w:val="Listnumindent"/>
        <w:spacing w:before="120" w:after="120" w:line="264" w:lineRule="auto"/>
        <w:rPr>
          <w:rFonts w:ascii="Calibri" w:hAnsi="Calibri" w:cs="Calibri"/>
          <w:sz w:val="22"/>
          <w:szCs w:val="22"/>
        </w:rPr>
      </w:pPr>
      <w:r w:rsidRPr="005E58B9">
        <w:rPr>
          <w:rFonts w:ascii="Calibri" w:hAnsi="Calibri" w:cs="Calibri"/>
          <w:sz w:val="22"/>
          <w:szCs w:val="22"/>
        </w:rPr>
        <w:t>must deliver any notice of complaint within 21 days of the date on which the basis for the complaint became known or reasonably should have become known for the supplier</w:t>
      </w:r>
      <w:r w:rsidR="00402D1B" w:rsidRPr="005E58B9">
        <w:rPr>
          <w:rFonts w:ascii="Calibri" w:hAnsi="Calibri" w:cs="Calibri"/>
          <w:sz w:val="22"/>
          <w:szCs w:val="22"/>
        </w:rPr>
        <w:t>.</w:t>
      </w:r>
    </w:p>
    <w:bookmarkEnd w:id="0"/>
    <w:p w14:paraId="4D80F4B0" w14:textId="77777777" w:rsidR="00402D1B" w:rsidRPr="005E58B9" w:rsidRDefault="00402D1B" w:rsidP="008C592F">
      <w:pPr>
        <w:pStyle w:val="Heading3"/>
        <w:keepLines w:val="0"/>
        <w:numPr>
          <w:ilvl w:val="3"/>
          <w:numId w:val="1"/>
        </w:numPr>
        <w:tabs>
          <w:tab w:val="clear" w:pos="792"/>
        </w:tabs>
        <w:spacing w:line="240" w:lineRule="auto"/>
        <w:ind w:left="0" w:firstLine="0"/>
        <w:rPr>
          <w:rFonts w:ascii="Calibri" w:eastAsia="Times New Roman" w:hAnsi="Calibri" w:cs="Calibri"/>
          <w:bCs w:val="0"/>
          <w:color w:val="7030A0"/>
          <w:spacing w:val="0"/>
          <w:sz w:val="24"/>
          <w:lang w:eastAsia="en-US"/>
        </w:rPr>
      </w:pPr>
      <w:r w:rsidRPr="005E58B9">
        <w:rPr>
          <w:rFonts w:ascii="Calibri" w:eastAsia="Times New Roman" w:hAnsi="Calibri" w:cs="Calibri"/>
          <w:bCs w:val="0"/>
          <w:color w:val="7030A0"/>
          <w:spacing w:val="0"/>
          <w:sz w:val="24"/>
          <w:lang w:eastAsia="en-US"/>
        </w:rPr>
        <w:t>Negotiation</w:t>
      </w:r>
    </w:p>
    <w:p w14:paraId="6737EB90" w14:textId="77777777" w:rsidR="00402D1B" w:rsidRPr="005E58B9" w:rsidRDefault="00402D1B" w:rsidP="005E58B9">
      <w:pPr>
        <w:pStyle w:val="NormalIndent"/>
        <w:spacing w:before="120" w:after="120" w:line="264" w:lineRule="auto"/>
        <w:ind w:left="794"/>
        <w:rPr>
          <w:rFonts w:ascii="Calibri" w:hAnsi="Calibri" w:cs="Calibri"/>
          <w:sz w:val="22"/>
          <w:szCs w:val="22"/>
        </w:rPr>
      </w:pPr>
      <w:r w:rsidRPr="005E58B9">
        <w:rPr>
          <w:rFonts w:ascii="Calibri" w:hAnsi="Calibri" w:cs="Calibri"/>
          <w:sz w:val="22"/>
          <w:szCs w:val="22"/>
        </w:rPr>
        <w:t xml:space="preserve">A representative of each of the supplier and </w:t>
      </w:r>
      <w:r w:rsidRPr="005E6113">
        <w:rPr>
          <w:rFonts w:ascii="Calibri" w:hAnsi="Calibri" w:cs="Calibri"/>
          <w:sz w:val="22"/>
          <w:szCs w:val="22"/>
          <w:highlight w:val="yellow"/>
        </w:rPr>
        <w:t>[insert procuring entity of the Victorian Government]</w:t>
      </w:r>
      <w:r w:rsidRPr="005E58B9">
        <w:rPr>
          <w:rFonts w:ascii="Calibri" w:hAnsi="Calibri" w:cs="Calibri"/>
          <w:sz w:val="22"/>
          <w:szCs w:val="22"/>
        </w:rPr>
        <w:t>, each having authority to resolve the complaint, must, within 21 days of delivery of the notice of complaint, meet and negotiate in good faith to resolve the complaint.</w:t>
      </w:r>
    </w:p>
    <w:p w14:paraId="6754D52B" w14:textId="77777777" w:rsidR="00402D1B" w:rsidRPr="005E58B9" w:rsidRDefault="00402D1B" w:rsidP="008C592F">
      <w:pPr>
        <w:pStyle w:val="Heading3"/>
        <w:keepLines w:val="0"/>
        <w:numPr>
          <w:ilvl w:val="3"/>
          <w:numId w:val="1"/>
        </w:numPr>
        <w:tabs>
          <w:tab w:val="clear" w:pos="792"/>
        </w:tabs>
        <w:spacing w:line="240" w:lineRule="auto"/>
        <w:ind w:left="0" w:firstLine="0"/>
        <w:rPr>
          <w:rFonts w:ascii="Calibri" w:eastAsia="Times New Roman" w:hAnsi="Calibri" w:cs="Calibri"/>
          <w:bCs w:val="0"/>
          <w:color w:val="7030A0"/>
          <w:spacing w:val="0"/>
          <w:sz w:val="24"/>
          <w:lang w:eastAsia="en-US"/>
        </w:rPr>
      </w:pPr>
      <w:bookmarkStart w:id="6" w:name="_Ref531103246"/>
      <w:r w:rsidRPr="005E58B9">
        <w:rPr>
          <w:rFonts w:ascii="Calibri" w:eastAsia="Times New Roman" w:hAnsi="Calibri" w:cs="Calibri"/>
          <w:bCs w:val="0"/>
          <w:color w:val="7030A0"/>
          <w:spacing w:val="0"/>
          <w:sz w:val="24"/>
          <w:lang w:eastAsia="en-US"/>
        </w:rPr>
        <w:t>Mediation</w:t>
      </w:r>
      <w:bookmarkEnd w:id="6"/>
    </w:p>
    <w:p w14:paraId="3C82B501" w14:textId="545DDFDB" w:rsidR="00402D1B" w:rsidRPr="005E58B9" w:rsidRDefault="00402D1B" w:rsidP="008C592F">
      <w:pPr>
        <w:pStyle w:val="Listnumindent"/>
        <w:numPr>
          <w:ilvl w:val="6"/>
          <w:numId w:val="1"/>
        </w:numPr>
        <w:spacing w:before="120" w:after="120" w:line="264" w:lineRule="auto"/>
        <w:ind w:left="1299" w:hanging="505"/>
        <w:rPr>
          <w:rFonts w:ascii="Calibri" w:hAnsi="Calibri" w:cs="Calibri"/>
          <w:sz w:val="22"/>
          <w:szCs w:val="22"/>
        </w:rPr>
      </w:pPr>
      <w:r w:rsidRPr="005E58B9">
        <w:rPr>
          <w:rFonts w:ascii="Calibri" w:hAnsi="Calibri" w:cs="Calibri"/>
          <w:sz w:val="22"/>
          <w:szCs w:val="22"/>
        </w:rPr>
        <w:t xml:space="preserve">If the complaint is not resolved within </w:t>
      </w:r>
      <w:r w:rsidR="00D35545" w:rsidRPr="005E58B9">
        <w:rPr>
          <w:rFonts w:ascii="Calibri" w:hAnsi="Calibri" w:cs="Calibri"/>
          <w:sz w:val="22"/>
          <w:szCs w:val="22"/>
        </w:rPr>
        <w:t>21</w:t>
      </w:r>
      <w:r w:rsidRPr="005E58B9">
        <w:rPr>
          <w:rFonts w:ascii="Calibri" w:hAnsi="Calibri" w:cs="Calibri"/>
          <w:sz w:val="22"/>
          <w:szCs w:val="22"/>
        </w:rPr>
        <w:t xml:space="preserve"> days of delivery of the complaint, either the supplier or </w:t>
      </w:r>
      <w:r w:rsidRPr="005E6113">
        <w:rPr>
          <w:rFonts w:ascii="Calibri" w:hAnsi="Calibri" w:cs="Calibri"/>
          <w:sz w:val="22"/>
          <w:szCs w:val="22"/>
          <w:highlight w:val="yellow"/>
        </w:rPr>
        <w:t>[insert procuring entity of the Victorian Government]</w:t>
      </w:r>
      <w:r w:rsidRPr="005E58B9">
        <w:rPr>
          <w:rFonts w:ascii="Calibri" w:hAnsi="Calibri" w:cs="Calibri"/>
          <w:sz w:val="22"/>
          <w:szCs w:val="22"/>
        </w:rPr>
        <w:t xml:space="preserve"> may by written notice to the other party refer the complaint for mediation under the A</w:t>
      </w:r>
      <w:r w:rsidR="00A27580" w:rsidRPr="005E58B9">
        <w:rPr>
          <w:rFonts w:ascii="Calibri" w:hAnsi="Calibri" w:cs="Calibri"/>
          <w:sz w:val="22"/>
          <w:szCs w:val="22"/>
        </w:rPr>
        <w:t xml:space="preserve">ustralian </w:t>
      </w:r>
      <w:r w:rsidRPr="005E58B9">
        <w:rPr>
          <w:rFonts w:ascii="Calibri" w:hAnsi="Calibri" w:cs="Calibri"/>
          <w:sz w:val="22"/>
          <w:szCs w:val="22"/>
        </w:rPr>
        <w:t>C</w:t>
      </w:r>
      <w:r w:rsidR="00A27580" w:rsidRPr="005E58B9">
        <w:rPr>
          <w:rFonts w:ascii="Calibri" w:hAnsi="Calibri" w:cs="Calibri"/>
          <w:sz w:val="22"/>
          <w:szCs w:val="22"/>
        </w:rPr>
        <w:t xml:space="preserve">entre for </w:t>
      </w:r>
      <w:r w:rsidRPr="005E58B9">
        <w:rPr>
          <w:rFonts w:ascii="Calibri" w:hAnsi="Calibri" w:cs="Calibri"/>
          <w:sz w:val="22"/>
          <w:szCs w:val="22"/>
        </w:rPr>
        <w:t>I</w:t>
      </w:r>
      <w:r w:rsidR="00A27580" w:rsidRPr="005E58B9">
        <w:rPr>
          <w:rFonts w:ascii="Calibri" w:hAnsi="Calibri" w:cs="Calibri"/>
          <w:sz w:val="22"/>
          <w:szCs w:val="22"/>
        </w:rPr>
        <w:t xml:space="preserve">nternational </w:t>
      </w:r>
      <w:r w:rsidRPr="005E58B9">
        <w:rPr>
          <w:rFonts w:ascii="Calibri" w:hAnsi="Calibri" w:cs="Calibri"/>
          <w:sz w:val="22"/>
          <w:szCs w:val="22"/>
        </w:rPr>
        <w:t>C</w:t>
      </w:r>
      <w:r w:rsidR="00A27580" w:rsidRPr="005E58B9">
        <w:rPr>
          <w:rFonts w:ascii="Calibri" w:hAnsi="Calibri" w:cs="Calibri"/>
          <w:sz w:val="22"/>
          <w:szCs w:val="22"/>
        </w:rPr>
        <w:t xml:space="preserve">ommercial </w:t>
      </w:r>
      <w:r w:rsidRPr="005E58B9">
        <w:rPr>
          <w:rFonts w:ascii="Calibri" w:hAnsi="Calibri" w:cs="Calibri"/>
          <w:sz w:val="22"/>
          <w:szCs w:val="22"/>
        </w:rPr>
        <w:t>A</w:t>
      </w:r>
      <w:r w:rsidR="00A27580" w:rsidRPr="005E58B9">
        <w:rPr>
          <w:rFonts w:ascii="Calibri" w:hAnsi="Calibri" w:cs="Calibri"/>
          <w:sz w:val="22"/>
          <w:szCs w:val="22"/>
        </w:rPr>
        <w:t>rbitration (ACICA)</w:t>
      </w:r>
      <w:r w:rsidRPr="005E58B9">
        <w:rPr>
          <w:rFonts w:ascii="Calibri" w:hAnsi="Calibri" w:cs="Calibri"/>
          <w:sz w:val="22"/>
          <w:szCs w:val="22"/>
        </w:rPr>
        <w:t xml:space="preserve"> Mediation Rules (</w:t>
      </w:r>
      <w:r w:rsidRPr="005E58B9">
        <w:rPr>
          <w:rFonts w:ascii="Calibri" w:hAnsi="Calibri" w:cs="Calibri"/>
          <w:b/>
          <w:sz w:val="22"/>
          <w:szCs w:val="22"/>
        </w:rPr>
        <w:t>mediation notice</w:t>
      </w:r>
      <w:r w:rsidRPr="005E58B9">
        <w:rPr>
          <w:rFonts w:ascii="Calibri" w:hAnsi="Calibri" w:cs="Calibri"/>
          <w:sz w:val="22"/>
          <w:szCs w:val="22"/>
        </w:rPr>
        <w:t>).</w:t>
      </w:r>
    </w:p>
    <w:p w14:paraId="7D66ADCB" w14:textId="77777777" w:rsidR="00402D1B" w:rsidRPr="005E58B9" w:rsidRDefault="00402D1B" w:rsidP="008C592F">
      <w:pPr>
        <w:pStyle w:val="Listnumindent"/>
        <w:numPr>
          <w:ilvl w:val="6"/>
          <w:numId w:val="1"/>
        </w:numPr>
        <w:spacing w:before="120" w:after="120" w:line="264" w:lineRule="auto"/>
        <w:ind w:left="1299" w:hanging="505"/>
        <w:rPr>
          <w:rFonts w:ascii="Calibri" w:hAnsi="Calibri" w:cs="Calibri"/>
          <w:sz w:val="22"/>
          <w:szCs w:val="22"/>
        </w:rPr>
      </w:pPr>
      <w:r w:rsidRPr="005E58B9">
        <w:rPr>
          <w:rFonts w:ascii="Calibri" w:hAnsi="Calibri" w:cs="Calibri"/>
          <w:sz w:val="22"/>
          <w:szCs w:val="22"/>
        </w:rPr>
        <w:t>The mediation will take place in Melbourne, Australia.</w:t>
      </w:r>
    </w:p>
    <w:p w14:paraId="67263B0E" w14:textId="6A21AB22" w:rsidR="00402D1B" w:rsidRPr="005E58B9" w:rsidRDefault="00402D1B" w:rsidP="005E58B9">
      <w:pPr>
        <w:pStyle w:val="Listnumindent"/>
        <w:spacing w:before="120" w:after="120" w:line="264" w:lineRule="auto"/>
        <w:ind w:left="1299" w:hanging="505"/>
        <w:rPr>
          <w:rFonts w:ascii="Calibri" w:hAnsi="Calibri" w:cs="Calibri"/>
          <w:sz w:val="22"/>
          <w:szCs w:val="22"/>
        </w:rPr>
      </w:pPr>
      <w:r w:rsidRPr="005E58B9">
        <w:rPr>
          <w:rFonts w:ascii="Calibri" w:hAnsi="Calibri" w:cs="Calibri"/>
          <w:sz w:val="22"/>
          <w:szCs w:val="22"/>
        </w:rPr>
        <w:t xml:space="preserve">The mediator will be selected from the list of mediators established </w:t>
      </w:r>
      <w:r w:rsidR="00260334" w:rsidRPr="005E58B9">
        <w:rPr>
          <w:rFonts w:ascii="Calibri" w:hAnsi="Calibri" w:cs="Calibri"/>
          <w:sz w:val="22"/>
          <w:szCs w:val="22"/>
        </w:rPr>
        <w:t xml:space="preserve">by the Victorian Government </w:t>
      </w:r>
      <w:r w:rsidRPr="005E58B9">
        <w:rPr>
          <w:rFonts w:ascii="Calibri" w:hAnsi="Calibri" w:cs="Calibri"/>
          <w:sz w:val="22"/>
          <w:szCs w:val="22"/>
        </w:rPr>
        <w:t xml:space="preserve">for the purposes of </w:t>
      </w:r>
      <w:r w:rsidR="00BF2C60" w:rsidRPr="005E58B9">
        <w:rPr>
          <w:rFonts w:ascii="Calibri" w:hAnsi="Calibri" w:cs="Calibri"/>
          <w:sz w:val="22"/>
          <w:szCs w:val="22"/>
        </w:rPr>
        <w:t xml:space="preserve">this </w:t>
      </w:r>
      <w:r w:rsidR="00BF2C60" w:rsidRPr="005E6113">
        <w:rPr>
          <w:rFonts w:ascii="Calibri" w:hAnsi="Calibri" w:cs="Calibri"/>
          <w:sz w:val="22"/>
          <w:szCs w:val="22"/>
          <w:highlight w:val="yellow"/>
        </w:rPr>
        <w:t>[clause/condition]</w:t>
      </w:r>
      <w:r w:rsidR="00BF2C60" w:rsidRPr="005E58B9">
        <w:rPr>
          <w:rFonts w:ascii="Calibri" w:hAnsi="Calibri" w:cs="Calibri"/>
          <w:sz w:val="22"/>
          <w:szCs w:val="22"/>
        </w:rPr>
        <w:t xml:space="preserve"> </w:t>
      </w:r>
      <w:r w:rsidRPr="005E58B9">
        <w:rPr>
          <w:rFonts w:ascii="Calibri" w:hAnsi="Calibri" w:cs="Calibri"/>
          <w:sz w:val="22"/>
          <w:szCs w:val="22"/>
        </w:rPr>
        <w:t xml:space="preserve">and published on </w:t>
      </w:r>
      <w:hyperlink r:id="rId12" w:history="1">
        <w:r w:rsidR="00C953CC" w:rsidRPr="00C953CC">
          <w:rPr>
            <w:rStyle w:val="Hyperlink"/>
            <w:rFonts w:ascii="Calibri" w:eastAsia="Times New Roman" w:hAnsi="Calibri" w:cs="Calibri"/>
            <w:color w:val="4D4D4D"/>
            <w:spacing w:val="0"/>
            <w:sz w:val="22"/>
            <w:szCs w:val="22"/>
            <w:u w:val="single"/>
          </w:rPr>
          <w:t>https://www.buyingfor.vic.gov.au/arbitrators-available-dispute-resolution-under-international-agreement</w:t>
        </w:r>
      </w:hyperlink>
      <w:r w:rsidR="007D6F7D">
        <w:rPr>
          <w:rStyle w:val="Hyperlink"/>
          <w:rFonts w:ascii="Calibri" w:eastAsia="Times New Roman" w:hAnsi="Calibri" w:cs="Calibri"/>
          <w:color w:val="4D4D4D"/>
          <w:spacing w:val="0"/>
          <w:sz w:val="22"/>
          <w:szCs w:val="22"/>
          <w:u w:val="single"/>
        </w:rPr>
        <w:t>s</w:t>
      </w:r>
      <w:r w:rsidR="00260334" w:rsidRPr="00C953CC">
        <w:rPr>
          <w:rStyle w:val="Hyperlink"/>
        </w:rPr>
        <w:t xml:space="preserve"> </w:t>
      </w:r>
      <w:r w:rsidR="00260334" w:rsidRPr="005E58B9">
        <w:rPr>
          <w:rFonts w:ascii="Calibri" w:hAnsi="Calibri" w:cs="Calibri"/>
          <w:sz w:val="22"/>
          <w:szCs w:val="22"/>
        </w:rPr>
        <w:t xml:space="preserve">(if such list is established) </w:t>
      </w:r>
      <w:r w:rsidR="008051F3" w:rsidRPr="005E58B9">
        <w:rPr>
          <w:rFonts w:ascii="Calibri" w:hAnsi="Calibri" w:cs="Calibri"/>
          <w:sz w:val="22"/>
          <w:szCs w:val="22"/>
        </w:rPr>
        <w:t xml:space="preserve">and </w:t>
      </w:r>
      <w:r w:rsidR="00260334" w:rsidRPr="005E58B9">
        <w:rPr>
          <w:rFonts w:ascii="Calibri" w:hAnsi="Calibri" w:cs="Calibri"/>
          <w:sz w:val="22"/>
          <w:szCs w:val="22"/>
        </w:rPr>
        <w:t xml:space="preserve">otherwise </w:t>
      </w:r>
      <w:r w:rsidR="008051F3" w:rsidRPr="005E58B9">
        <w:rPr>
          <w:rFonts w:ascii="Calibri" w:hAnsi="Calibri" w:cs="Calibri"/>
          <w:sz w:val="22"/>
          <w:szCs w:val="22"/>
        </w:rPr>
        <w:t xml:space="preserve">in </w:t>
      </w:r>
      <w:r w:rsidR="00260334" w:rsidRPr="005E58B9">
        <w:rPr>
          <w:rFonts w:ascii="Calibri" w:hAnsi="Calibri" w:cs="Calibri"/>
          <w:sz w:val="22"/>
          <w:szCs w:val="22"/>
        </w:rPr>
        <w:t>accordance with the ACICA Mediation Rules</w:t>
      </w:r>
      <w:r w:rsidR="00A27580" w:rsidRPr="005E58B9">
        <w:rPr>
          <w:rFonts w:ascii="Calibri" w:hAnsi="Calibri" w:cs="Calibri"/>
          <w:sz w:val="22"/>
          <w:szCs w:val="22"/>
        </w:rPr>
        <w:t>.</w:t>
      </w:r>
    </w:p>
    <w:p w14:paraId="40B48118" w14:textId="77777777" w:rsidR="00402D1B" w:rsidRPr="005E58B9" w:rsidRDefault="00402D1B" w:rsidP="008C592F">
      <w:pPr>
        <w:pStyle w:val="Heading3"/>
        <w:keepLines w:val="0"/>
        <w:numPr>
          <w:ilvl w:val="3"/>
          <w:numId w:val="1"/>
        </w:numPr>
        <w:tabs>
          <w:tab w:val="clear" w:pos="792"/>
        </w:tabs>
        <w:spacing w:line="240" w:lineRule="auto"/>
        <w:ind w:left="0" w:firstLine="0"/>
        <w:rPr>
          <w:rFonts w:ascii="Calibri" w:eastAsia="Times New Roman" w:hAnsi="Calibri" w:cs="Calibri"/>
          <w:bCs w:val="0"/>
          <w:color w:val="7030A0"/>
          <w:spacing w:val="0"/>
          <w:sz w:val="24"/>
          <w:lang w:eastAsia="en-US"/>
        </w:rPr>
      </w:pPr>
      <w:bookmarkStart w:id="7" w:name="_Ref531103327"/>
      <w:r w:rsidRPr="005E58B9">
        <w:rPr>
          <w:rFonts w:ascii="Calibri" w:eastAsia="Times New Roman" w:hAnsi="Calibri" w:cs="Calibri"/>
          <w:bCs w:val="0"/>
          <w:color w:val="7030A0"/>
          <w:spacing w:val="0"/>
          <w:sz w:val="24"/>
          <w:lang w:eastAsia="en-US"/>
        </w:rPr>
        <w:t>Arbitration</w:t>
      </w:r>
      <w:bookmarkEnd w:id="7"/>
    </w:p>
    <w:p w14:paraId="67C95CF8" w14:textId="3E442F35" w:rsidR="00402D1B" w:rsidRPr="005E58B9" w:rsidRDefault="00402D1B" w:rsidP="008C592F">
      <w:pPr>
        <w:pStyle w:val="Listnumindent"/>
        <w:numPr>
          <w:ilvl w:val="6"/>
          <w:numId w:val="1"/>
        </w:numPr>
        <w:spacing w:before="120" w:after="120" w:line="264" w:lineRule="auto"/>
        <w:rPr>
          <w:rFonts w:ascii="Calibri" w:hAnsi="Calibri" w:cs="Calibri"/>
          <w:sz w:val="22"/>
          <w:szCs w:val="22"/>
        </w:rPr>
      </w:pPr>
      <w:r w:rsidRPr="005E58B9">
        <w:rPr>
          <w:rFonts w:ascii="Calibri" w:hAnsi="Calibri" w:cs="Calibri"/>
          <w:sz w:val="22"/>
          <w:szCs w:val="22"/>
        </w:rPr>
        <w:t xml:space="preserve">If the complaint is not finally resolved by mediation in accordance with </w:t>
      </w:r>
      <w:r w:rsidRPr="005E6113">
        <w:rPr>
          <w:rFonts w:ascii="Calibri" w:hAnsi="Calibri" w:cs="Calibri"/>
          <w:sz w:val="22"/>
          <w:szCs w:val="22"/>
          <w:highlight w:val="yellow"/>
        </w:rPr>
        <w:t>[clause/condition]</w:t>
      </w:r>
      <w:r w:rsidRPr="005E58B9">
        <w:rPr>
          <w:rFonts w:ascii="Calibri" w:hAnsi="Calibri" w:cs="Calibri"/>
          <w:sz w:val="22"/>
          <w:szCs w:val="22"/>
        </w:rPr>
        <w:t xml:space="preserve"> </w:t>
      </w:r>
      <w:r w:rsidRPr="005E58B9">
        <w:rPr>
          <w:rFonts w:ascii="Calibri" w:hAnsi="Calibri" w:cs="Calibri"/>
          <w:sz w:val="22"/>
          <w:szCs w:val="22"/>
        </w:rPr>
        <w:fldChar w:fldCharType="begin"/>
      </w:r>
      <w:r w:rsidRPr="005E58B9">
        <w:rPr>
          <w:rFonts w:ascii="Calibri" w:hAnsi="Calibri" w:cs="Calibri"/>
          <w:sz w:val="22"/>
          <w:szCs w:val="22"/>
        </w:rPr>
        <w:instrText xml:space="preserve"> REF _Ref531103246 \r \h </w:instrText>
      </w:r>
      <w:r w:rsidR="005E58B9" w:rsidRPr="005E58B9">
        <w:rPr>
          <w:rFonts w:ascii="Calibri" w:hAnsi="Calibri" w:cs="Calibri"/>
          <w:sz w:val="22"/>
          <w:szCs w:val="22"/>
        </w:rPr>
        <w:instrText xml:space="preserve"> \* MERGEFORMAT </w:instrText>
      </w:r>
      <w:r w:rsidRPr="005E58B9">
        <w:rPr>
          <w:rFonts w:ascii="Calibri" w:hAnsi="Calibri" w:cs="Calibri"/>
          <w:sz w:val="22"/>
          <w:szCs w:val="22"/>
        </w:rPr>
      </w:r>
      <w:r w:rsidRPr="005E58B9">
        <w:rPr>
          <w:rFonts w:ascii="Calibri" w:hAnsi="Calibri" w:cs="Calibri"/>
          <w:sz w:val="22"/>
          <w:szCs w:val="22"/>
        </w:rPr>
        <w:fldChar w:fldCharType="separate"/>
      </w:r>
      <w:r w:rsidR="009D6EDF" w:rsidRPr="005E58B9">
        <w:rPr>
          <w:rFonts w:ascii="Calibri" w:hAnsi="Calibri" w:cs="Calibri"/>
          <w:sz w:val="22"/>
          <w:szCs w:val="22"/>
        </w:rPr>
        <w:t>1.6</w:t>
      </w:r>
      <w:r w:rsidRPr="005E58B9">
        <w:rPr>
          <w:rFonts w:ascii="Calibri" w:hAnsi="Calibri" w:cs="Calibri"/>
          <w:sz w:val="22"/>
          <w:szCs w:val="22"/>
        </w:rPr>
        <w:fldChar w:fldCharType="end"/>
      </w:r>
      <w:r w:rsidRPr="005E58B9">
        <w:rPr>
          <w:rFonts w:ascii="Calibri" w:hAnsi="Calibri" w:cs="Calibri"/>
          <w:sz w:val="22"/>
          <w:szCs w:val="22"/>
        </w:rPr>
        <w:t xml:space="preserve"> within 28 days of delivery of the mediation notice, the  complaint </w:t>
      </w:r>
      <w:r w:rsidR="00D35545" w:rsidRPr="005E58B9">
        <w:rPr>
          <w:rFonts w:ascii="Calibri" w:hAnsi="Calibri" w:cs="Calibri"/>
          <w:sz w:val="22"/>
          <w:szCs w:val="22"/>
        </w:rPr>
        <w:t xml:space="preserve">shall </w:t>
      </w:r>
      <w:r w:rsidRPr="005E58B9">
        <w:rPr>
          <w:rFonts w:ascii="Calibri" w:hAnsi="Calibri" w:cs="Calibri"/>
          <w:sz w:val="22"/>
          <w:szCs w:val="22"/>
        </w:rPr>
        <w:t xml:space="preserve">be </w:t>
      </w:r>
      <w:r w:rsidR="00D35545" w:rsidRPr="005E58B9">
        <w:rPr>
          <w:rFonts w:ascii="Calibri" w:hAnsi="Calibri" w:cs="Calibri"/>
          <w:sz w:val="22"/>
          <w:szCs w:val="22"/>
        </w:rPr>
        <w:t>resolved</w:t>
      </w:r>
      <w:r w:rsidRPr="005E58B9">
        <w:rPr>
          <w:rFonts w:ascii="Calibri" w:hAnsi="Calibri" w:cs="Calibri"/>
          <w:sz w:val="22"/>
          <w:szCs w:val="22"/>
        </w:rPr>
        <w:t xml:space="preserve"> by arbitration in accordance with the ACICA </w:t>
      </w:r>
      <w:bookmarkStart w:id="8" w:name="_Hlk536528422"/>
      <w:r w:rsidRPr="005E58B9">
        <w:rPr>
          <w:rFonts w:ascii="Calibri" w:hAnsi="Calibri" w:cs="Calibri"/>
          <w:sz w:val="22"/>
          <w:szCs w:val="22"/>
        </w:rPr>
        <w:t>Arbitration</w:t>
      </w:r>
      <w:bookmarkEnd w:id="8"/>
      <w:r w:rsidRPr="005E58B9">
        <w:rPr>
          <w:rFonts w:ascii="Calibri" w:hAnsi="Calibri" w:cs="Calibri"/>
          <w:sz w:val="22"/>
          <w:szCs w:val="22"/>
        </w:rPr>
        <w:t xml:space="preserve"> Rules in force at the time subject to the provisions of this </w:t>
      </w:r>
      <w:r w:rsidRPr="005E6113">
        <w:rPr>
          <w:rFonts w:ascii="Calibri" w:hAnsi="Calibri" w:cs="Calibri"/>
          <w:sz w:val="22"/>
          <w:szCs w:val="22"/>
          <w:highlight w:val="yellow"/>
        </w:rPr>
        <w:t>[clause/condition]</w:t>
      </w:r>
      <w:r w:rsidRPr="005E58B9">
        <w:rPr>
          <w:rFonts w:ascii="Calibri" w:hAnsi="Calibri" w:cs="Calibri"/>
          <w:sz w:val="22"/>
          <w:szCs w:val="22"/>
        </w:rPr>
        <w:t>.</w:t>
      </w:r>
    </w:p>
    <w:p w14:paraId="33007B79" w14:textId="77777777" w:rsidR="00402D1B" w:rsidRPr="005E58B9" w:rsidRDefault="00402D1B" w:rsidP="008C592F">
      <w:pPr>
        <w:pStyle w:val="Listnumindent"/>
        <w:numPr>
          <w:ilvl w:val="6"/>
          <w:numId w:val="1"/>
        </w:numPr>
        <w:spacing w:before="120" w:after="120" w:line="264" w:lineRule="auto"/>
        <w:rPr>
          <w:rFonts w:ascii="Calibri" w:hAnsi="Calibri" w:cs="Calibri"/>
          <w:sz w:val="22"/>
          <w:szCs w:val="22"/>
        </w:rPr>
      </w:pPr>
      <w:r w:rsidRPr="005E58B9">
        <w:rPr>
          <w:rFonts w:ascii="Calibri" w:hAnsi="Calibri" w:cs="Calibri"/>
          <w:sz w:val="22"/>
          <w:szCs w:val="22"/>
        </w:rPr>
        <w:t>The tribunal shall comprise one arbitrator.</w:t>
      </w:r>
    </w:p>
    <w:p w14:paraId="348DA195" w14:textId="1EF47523" w:rsidR="00402D1B" w:rsidRPr="005E58B9" w:rsidRDefault="00402D1B" w:rsidP="005E58B9">
      <w:pPr>
        <w:pStyle w:val="Listnumindent"/>
        <w:spacing w:before="120" w:after="120" w:line="264" w:lineRule="auto"/>
        <w:rPr>
          <w:rFonts w:ascii="Calibri" w:hAnsi="Calibri" w:cs="Calibri"/>
          <w:sz w:val="22"/>
          <w:szCs w:val="22"/>
        </w:rPr>
      </w:pPr>
      <w:r w:rsidRPr="005E58B9">
        <w:rPr>
          <w:rFonts w:ascii="Calibri" w:hAnsi="Calibri" w:cs="Calibri"/>
          <w:sz w:val="22"/>
          <w:szCs w:val="22"/>
        </w:rPr>
        <w:t xml:space="preserve">The arbitrator must be selected from the </w:t>
      </w:r>
      <w:r w:rsidR="00685309" w:rsidRPr="005E58B9">
        <w:rPr>
          <w:rFonts w:ascii="Calibri" w:hAnsi="Calibri" w:cs="Calibri"/>
          <w:sz w:val="22"/>
          <w:szCs w:val="22"/>
        </w:rPr>
        <w:t xml:space="preserve">list </w:t>
      </w:r>
      <w:r w:rsidRPr="005E58B9">
        <w:rPr>
          <w:rFonts w:ascii="Calibri" w:hAnsi="Calibri" w:cs="Calibri"/>
          <w:sz w:val="22"/>
          <w:szCs w:val="22"/>
        </w:rPr>
        <w:t xml:space="preserve">of arbitrators established by the Victorian Government to </w:t>
      </w:r>
      <w:r w:rsidR="00D35545" w:rsidRPr="005E58B9">
        <w:rPr>
          <w:rFonts w:ascii="Calibri" w:hAnsi="Calibri" w:cs="Calibri"/>
          <w:sz w:val="22"/>
          <w:szCs w:val="22"/>
        </w:rPr>
        <w:t>determine</w:t>
      </w:r>
      <w:r w:rsidRPr="005E58B9">
        <w:rPr>
          <w:rFonts w:ascii="Calibri" w:hAnsi="Calibri" w:cs="Calibri"/>
          <w:sz w:val="22"/>
          <w:szCs w:val="22"/>
        </w:rPr>
        <w:t xml:space="preserve"> complaints under this </w:t>
      </w:r>
      <w:r w:rsidRPr="005E6113">
        <w:rPr>
          <w:rFonts w:ascii="Calibri" w:hAnsi="Calibri" w:cs="Calibri"/>
          <w:sz w:val="22"/>
          <w:szCs w:val="22"/>
          <w:highlight w:val="yellow"/>
        </w:rPr>
        <w:t>[clause/condition]</w:t>
      </w:r>
      <w:r w:rsidRPr="005E58B9">
        <w:rPr>
          <w:rFonts w:ascii="Calibri" w:hAnsi="Calibri" w:cs="Calibri"/>
          <w:sz w:val="22"/>
          <w:szCs w:val="22"/>
        </w:rPr>
        <w:t xml:space="preserve"> and published at </w:t>
      </w:r>
      <w:hyperlink r:id="rId13" w:history="1">
        <w:r w:rsidR="007D6F7D" w:rsidRPr="00C953CC">
          <w:rPr>
            <w:rStyle w:val="Hyperlink"/>
            <w:rFonts w:ascii="Calibri" w:eastAsia="Times New Roman" w:hAnsi="Calibri" w:cs="Calibri"/>
            <w:color w:val="4D4D4D"/>
            <w:spacing w:val="0"/>
            <w:sz w:val="22"/>
            <w:szCs w:val="22"/>
            <w:u w:val="single"/>
          </w:rPr>
          <w:t>https://www.buyingfor.vic.gov.au/arbitrators-available-dispute-resolution-under-international-agreement</w:t>
        </w:r>
      </w:hyperlink>
      <w:r w:rsidR="007D6F7D">
        <w:rPr>
          <w:rStyle w:val="Hyperlink"/>
          <w:rFonts w:ascii="Calibri" w:eastAsia="Times New Roman" w:hAnsi="Calibri" w:cs="Calibri"/>
          <w:color w:val="4D4D4D"/>
          <w:spacing w:val="0"/>
          <w:sz w:val="22"/>
          <w:szCs w:val="22"/>
          <w:u w:val="single"/>
        </w:rPr>
        <w:t>s</w:t>
      </w:r>
      <w:r w:rsidR="00260334" w:rsidRPr="005E58B9">
        <w:rPr>
          <w:rFonts w:ascii="Calibri" w:hAnsi="Calibri" w:cs="Calibri"/>
          <w:sz w:val="22"/>
          <w:szCs w:val="22"/>
        </w:rPr>
        <w:t xml:space="preserve"> (if such </w:t>
      </w:r>
      <w:r w:rsidR="00685309" w:rsidRPr="005E58B9">
        <w:rPr>
          <w:rFonts w:ascii="Calibri" w:hAnsi="Calibri" w:cs="Calibri"/>
          <w:sz w:val="22"/>
          <w:szCs w:val="22"/>
        </w:rPr>
        <w:t xml:space="preserve">list </w:t>
      </w:r>
      <w:r w:rsidR="00260334" w:rsidRPr="005E58B9">
        <w:rPr>
          <w:rFonts w:ascii="Calibri" w:hAnsi="Calibri" w:cs="Calibri"/>
          <w:sz w:val="22"/>
          <w:szCs w:val="22"/>
        </w:rPr>
        <w:t>is established)</w:t>
      </w:r>
      <w:r w:rsidR="008051F3" w:rsidRPr="005E58B9">
        <w:rPr>
          <w:rFonts w:ascii="Calibri" w:hAnsi="Calibri" w:cs="Calibri"/>
          <w:sz w:val="22"/>
          <w:szCs w:val="22"/>
        </w:rPr>
        <w:t xml:space="preserve"> and</w:t>
      </w:r>
      <w:r w:rsidR="00260334" w:rsidRPr="005E58B9">
        <w:rPr>
          <w:rFonts w:ascii="Calibri" w:hAnsi="Calibri" w:cs="Calibri"/>
          <w:sz w:val="22"/>
          <w:szCs w:val="22"/>
        </w:rPr>
        <w:t xml:space="preserve"> otherwise </w:t>
      </w:r>
      <w:r w:rsidR="008051F3" w:rsidRPr="005E58B9">
        <w:rPr>
          <w:rFonts w:ascii="Calibri" w:hAnsi="Calibri" w:cs="Calibri"/>
          <w:sz w:val="22"/>
          <w:szCs w:val="22"/>
        </w:rPr>
        <w:t xml:space="preserve">in </w:t>
      </w:r>
      <w:r w:rsidR="00260334" w:rsidRPr="005E58B9">
        <w:rPr>
          <w:rFonts w:ascii="Calibri" w:hAnsi="Calibri" w:cs="Calibri"/>
          <w:sz w:val="22"/>
          <w:szCs w:val="22"/>
        </w:rPr>
        <w:t>accordance with the ACICA Arbitration Rules</w:t>
      </w:r>
      <w:r w:rsidRPr="005E58B9">
        <w:rPr>
          <w:rFonts w:ascii="Calibri" w:hAnsi="Calibri" w:cs="Calibri"/>
          <w:sz w:val="22"/>
          <w:szCs w:val="22"/>
        </w:rPr>
        <w:t>.</w:t>
      </w:r>
    </w:p>
    <w:p w14:paraId="387C95B0" w14:textId="77777777" w:rsidR="00402D1B" w:rsidRPr="005E58B9" w:rsidRDefault="00402D1B" w:rsidP="008C592F">
      <w:pPr>
        <w:pStyle w:val="Listnumindent"/>
        <w:numPr>
          <w:ilvl w:val="6"/>
          <w:numId w:val="1"/>
        </w:numPr>
        <w:spacing w:before="120" w:after="120" w:line="264" w:lineRule="auto"/>
        <w:rPr>
          <w:rFonts w:ascii="Calibri" w:hAnsi="Calibri" w:cs="Calibri"/>
          <w:sz w:val="22"/>
          <w:szCs w:val="22"/>
        </w:rPr>
      </w:pPr>
      <w:r w:rsidRPr="005E58B9">
        <w:rPr>
          <w:rFonts w:ascii="Calibri" w:hAnsi="Calibri" w:cs="Calibri"/>
          <w:sz w:val="22"/>
          <w:szCs w:val="22"/>
        </w:rPr>
        <w:t>The language of the arbitration shall be English.</w:t>
      </w:r>
    </w:p>
    <w:p w14:paraId="1E87627F" w14:textId="77777777" w:rsidR="00402D1B" w:rsidRPr="005E58B9" w:rsidRDefault="00402D1B" w:rsidP="008C592F">
      <w:pPr>
        <w:pStyle w:val="Listnumindent"/>
        <w:numPr>
          <w:ilvl w:val="6"/>
          <w:numId w:val="1"/>
        </w:numPr>
        <w:spacing w:before="120" w:after="120" w:line="264" w:lineRule="auto"/>
        <w:rPr>
          <w:rFonts w:ascii="Calibri" w:hAnsi="Calibri" w:cs="Calibri"/>
          <w:sz w:val="22"/>
          <w:szCs w:val="22"/>
        </w:rPr>
      </w:pPr>
      <w:r w:rsidRPr="005E58B9">
        <w:rPr>
          <w:rFonts w:ascii="Calibri" w:hAnsi="Calibri" w:cs="Calibri"/>
          <w:sz w:val="22"/>
          <w:szCs w:val="22"/>
        </w:rPr>
        <w:lastRenderedPageBreak/>
        <w:t>The place of arbitration shall be Melbourne, Australia.</w:t>
      </w:r>
    </w:p>
    <w:p w14:paraId="4ADA68A5" w14:textId="0919C6C2" w:rsidR="00402D1B" w:rsidRPr="005E58B9" w:rsidRDefault="00D35545" w:rsidP="008C592F">
      <w:pPr>
        <w:pStyle w:val="Listnumindent"/>
        <w:numPr>
          <w:ilvl w:val="6"/>
          <w:numId w:val="1"/>
        </w:numPr>
        <w:spacing w:before="120" w:after="120" w:line="264" w:lineRule="auto"/>
        <w:rPr>
          <w:rFonts w:ascii="Calibri" w:hAnsi="Calibri" w:cs="Calibri"/>
          <w:sz w:val="22"/>
          <w:szCs w:val="22"/>
        </w:rPr>
      </w:pPr>
      <w:r w:rsidRPr="005E58B9">
        <w:rPr>
          <w:rFonts w:ascii="Calibri" w:hAnsi="Calibri" w:cs="Calibri"/>
          <w:sz w:val="22"/>
          <w:szCs w:val="22"/>
        </w:rPr>
        <w:t>In making procedural orders, the tribunal must:</w:t>
      </w:r>
    </w:p>
    <w:p w14:paraId="37ED58DC" w14:textId="77777777" w:rsidR="00D35545" w:rsidRPr="005E58B9" w:rsidRDefault="00D35545" w:rsidP="005E58B9">
      <w:pPr>
        <w:pStyle w:val="Listnumindent2"/>
        <w:spacing w:before="120" w:after="120" w:line="264" w:lineRule="auto"/>
        <w:rPr>
          <w:rFonts w:ascii="Calibri" w:hAnsi="Calibri" w:cs="Calibri"/>
          <w:sz w:val="22"/>
          <w:szCs w:val="22"/>
        </w:rPr>
      </w:pPr>
      <w:r w:rsidRPr="005E58B9">
        <w:rPr>
          <w:rFonts w:ascii="Calibri" w:hAnsi="Calibri" w:cs="Calibri"/>
          <w:sz w:val="22"/>
          <w:szCs w:val="22"/>
        </w:rPr>
        <w:t xml:space="preserve">order the delivery by the </w:t>
      </w:r>
      <w:r w:rsidRPr="005E6113">
        <w:rPr>
          <w:rFonts w:ascii="Calibri" w:hAnsi="Calibri" w:cs="Calibri"/>
          <w:sz w:val="22"/>
          <w:szCs w:val="22"/>
          <w:highlight w:val="yellow"/>
        </w:rPr>
        <w:t>[insert procuring entity of the Victorian Government]</w:t>
      </w:r>
      <w:r w:rsidRPr="005E58B9">
        <w:rPr>
          <w:rFonts w:ascii="Calibri" w:hAnsi="Calibri" w:cs="Calibri"/>
          <w:sz w:val="22"/>
          <w:szCs w:val="22"/>
        </w:rPr>
        <w:t xml:space="preserve"> to the tribunal of a written response to the complaint;</w:t>
      </w:r>
    </w:p>
    <w:p w14:paraId="2776BE60" w14:textId="77777777" w:rsidR="00D35545" w:rsidRPr="005E58B9" w:rsidRDefault="00D35545" w:rsidP="005E58B9">
      <w:pPr>
        <w:pStyle w:val="Listnumindent2"/>
        <w:spacing w:before="120" w:after="120" w:line="264" w:lineRule="auto"/>
        <w:rPr>
          <w:rFonts w:ascii="Calibri" w:hAnsi="Calibri" w:cs="Calibri"/>
          <w:sz w:val="22"/>
          <w:szCs w:val="22"/>
        </w:rPr>
      </w:pPr>
      <w:r w:rsidRPr="005E58B9">
        <w:rPr>
          <w:rFonts w:ascii="Calibri" w:hAnsi="Calibri" w:cs="Calibri"/>
          <w:sz w:val="22"/>
          <w:szCs w:val="22"/>
        </w:rPr>
        <w:t>order the disclosure to the tribunal of all relevant documents;</w:t>
      </w:r>
    </w:p>
    <w:p w14:paraId="1172232C" w14:textId="77777777" w:rsidR="00D35545" w:rsidRPr="005E58B9" w:rsidRDefault="00D35545" w:rsidP="005E58B9">
      <w:pPr>
        <w:pStyle w:val="Listnumindent2"/>
        <w:spacing w:before="120" w:after="120" w:line="264" w:lineRule="auto"/>
        <w:rPr>
          <w:rFonts w:ascii="Calibri" w:hAnsi="Calibri" w:cs="Calibri"/>
          <w:sz w:val="22"/>
          <w:szCs w:val="22"/>
        </w:rPr>
      </w:pPr>
      <w:r w:rsidRPr="005E58B9">
        <w:rPr>
          <w:rFonts w:ascii="Calibri" w:hAnsi="Calibri" w:cs="Calibri"/>
          <w:sz w:val="22"/>
          <w:szCs w:val="22"/>
        </w:rPr>
        <w:t>convene a hearing at which all participants shall have the right to be heard and the right to be represented;</w:t>
      </w:r>
    </w:p>
    <w:p w14:paraId="62BC0E99" w14:textId="77777777" w:rsidR="00D35545" w:rsidRPr="005E58B9" w:rsidRDefault="00D35545" w:rsidP="005E58B9">
      <w:pPr>
        <w:pStyle w:val="Listnumindent2"/>
        <w:spacing w:before="120" w:after="120" w:line="264" w:lineRule="auto"/>
        <w:rPr>
          <w:rFonts w:ascii="Calibri" w:hAnsi="Calibri" w:cs="Calibri"/>
          <w:sz w:val="22"/>
          <w:szCs w:val="22"/>
        </w:rPr>
      </w:pPr>
      <w:r w:rsidRPr="005E58B9">
        <w:rPr>
          <w:rFonts w:ascii="Calibri" w:hAnsi="Calibri" w:cs="Calibri"/>
          <w:sz w:val="22"/>
          <w:szCs w:val="22"/>
        </w:rPr>
        <w:t>if requested by a participant, order that any hearing take place in public; and</w:t>
      </w:r>
    </w:p>
    <w:p w14:paraId="6388E596" w14:textId="77777777" w:rsidR="00D35545" w:rsidRPr="005E58B9" w:rsidRDefault="00D35545" w:rsidP="005E58B9">
      <w:pPr>
        <w:pStyle w:val="Listnumindent2"/>
        <w:spacing w:before="120" w:after="120" w:line="264" w:lineRule="auto"/>
        <w:rPr>
          <w:rFonts w:ascii="Calibri" w:hAnsi="Calibri" w:cs="Calibri"/>
          <w:sz w:val="22"/>
          <w:szCs w:val="22"/>
        </w:rPr>
      </w:pPr>
      <w:r w:rsidRPr="005E58B9">
        <w:rPr>
          <w:rFonts w:ascii="Calibri" w:hAnsi="Calibri" w:cs="Calibri"/>
          <w:sz w:val="22"/>
          <w:szCs w:val="22"/>
        </w:rPr>
        <w:t>if requested by a participant, order that witnesses may be presented at any hearing.</w:t>
      </w:r>
    </w:p>
    <w:p w14:paraId="15DC9BD0" w14:textId="77777777" w:rsidR="00D35545" w:rsidRPr="005E58B9" w:rsidRDefault="00D35545" w:rsidP="008C592F">
      <w:pPr>
        <w:pStyle w:val="Listnumindent"/>
        <w:numPr>
          <w:ilvl w:val="6"/>
          <w:numId w:val="1"/>
        </w:numPr>
        <w:spacing w:before="120" w:after="120" w:line="264" w:lineRule="auto"/>
        <w:rPr>
          <w:rFonts w:ascii="Calibri" w:hAnsi="Calibri" w:cs="Calibri"/>
          <w:sz w:val="22"/>
          <w:szCs w:val="22"/>
        </w:rPr>
      </w:pPr>
      <w:r w:rsidRPr="005E58B9">
        <w:rPr>
          <w:rFonts w:ascii="Calibri" w:hAnsi="Calibri" w:cs="Calibri"/>
          <w:sz w:val="22"/>
          <w:szCs w:val="22"/>
        </w:rPr>
        <w:t>The tribunal must deliver its award in a timely fashion, in writing and setting out an explanation of the basis for each decision or recommendation contained in the award.</w:t>
      </w:r>
    </w:p>
    <w:p w14:paraId="4B5238C1" w14:textId="77777777" w:rsidR="00402D1B" w:rsidRPr="005E58B9" w:rsidRDefault="00402D1B" w:rsidP="008C592F">
      <w:pPr>
        <w:pStyle w:val="Listnumindent"/>
        <w:numPr>
          <w:ilvl w:val="6"/>
          <w:numId w:val="1"/>
        </w:numPr>
        <w:spacing w:before="120" w:after="120" w:line="264" w:lineRule="auto"/>
        <w:rPr>
          <w:rFonts w:ascii="Calibri" w:hAnsi="Calibri" w:cs="Calibri"/>
          <w:sz w:val="22"/>
          <w:szCs w:val="22"/>
        </w:rPr>
      </w:pPr>
      <w:r w:rsidRPr="005E58B9">
        <w:rPr>
          <w:rFonts w:ascii="Calibri" w:hAnsi="Calibri" w:cs="Calibri"/>
          <w:sz w:val="22"/>
          <w:szCs w:val="22"/>
        </w:rPr>
        <w:t xml:space="preserve">The powers of the tribunal constituted in accordance with this </w:t>
      </w:r>
      <w:r w:rsidRPr="005E6113">
        <w:rPr>
          <w:rFonts w:ascii="Calibri" w:hAnsi="Calibri" w:cs="Calibri"/>
          <w:sz w:val="22"/>
          <w:szCs w:val="22"/>
          <w:highlight w:val="yellow"/>
        </w:rPr>
        <w:t>[clause/condition]</w:t>
      </w:r>
      <w:r w:rsidRPr="005E58B9">
        <w:rPr>
          <w:rFonts w:ascii="Calibri" w:hAnsi="Calibri" w:cs="Calibri"/>
          <w:sz w:val="22"/>
          <w:szCs w:val="22"/>
        </w:rPr>
        <w:t xml:space="preserve"> include the power:</w:t>
      </w:r>
    </w:p>
    <w:p w14:paraId="2C5814D0" w14:textId="77777777" w:rsidR="00D35545" w:rsidRPr="005E58B9" w:rsidRDefault="00D35545" w:rsidP="008C592F">
      <w:pPr>
        <w:pStyle w:val="Listnumindent2"/>
        <w:numPr>
          <w:ilvl w:val="7"/>
          <w:numId w:val="1"/>
        </w:numPr>
        <w:spacing w:before="120" w:after="120" w:line="264" w:lineRule="auto"/>
        <w:rPr>
          <w:rFonts w:ascii="Calibri" w:hAnsi="Calibri" w:cs="Calibri"/>
          <w:sz w:val="22"/>
          <w:szCs w:val="22"/>
        </w:rPr>
      </w:pPr>
      <w:r w:rsidRPr="005E58B9">
        <w:rPr>
          <w:rFonts w:ascii="Calibri" w:hAnsi="Calibri" w:cs="Calibri"/>
          <w:sz w:val="22"/>
          <w:szCs w:val="22"/>
        </w:rPr>
        <w:t>to make orders for the rapid interim measures to preserve the supplier’s opportunity to participate in the procurement;</w:t>
      </w:r>
    </w:p>
    <w:p w14:paraId="4A233B17" w14:textId="13A76213" w:rsidR="00402D1B" w:rsidRPr="005E58B9" w:rsidRDefault="00402D1B" w:rsidP="008C592F">
      <w:pPr>
        <w:pStyle w:val="Listnumindent2"/>
        <w:numPr>
          <w:ilvl w:val="7"/>
          <w:numId w:val="1"/>
        </w:numPr>
        <w:spacing w:before="120" w:after="120" w:line="264" w:lineRule="auto"/>
        <w:rPr>
          <w:rFonts w:ascii="Calibri" w:hAnsi="Calibri" w:cs="Calibri"/>
          <w:sz w:val="22"/>
          <w:szCs w:val="22"/>
        </w:rPr>
      </w:pPr>
      <w:r w:rsidRPr="005E58B9">
        <w:rPr>
          <w:rFonts w:ascii="Calibri" w:hAnsi="Calibri" w:cs="Calibri"/>
          <w:sz w:val="22"/>
          <w:szCs w:val="22"/>
        </w:rPr>
        <w:t xml:space="preserve">to </w:t>
      </w:r>
      <w:proofErr w:type="gramStart"/>
      <w:r w:rsidRPr="005E58B9">
        <w:rPr>
          <w:rFonts w:ascii="Calibri" w:hAnsi="Calibri" w:cs="Calibri"/>
          <w:sz w:val="22"/>
          <w:szCs w:val="22"/>
        </w:rPr>
        <w:t>take into account</w:t>
      </w:r>
      <w:proofErr w:type="gramEnd"/>
      <w:r w:rsidRPr="005E58B9">
        <w:rPr>
          <w:rFonts w:ascii="Calibri" w:hAnsi="Calibri" w:cs="Calibri"/>
          <w:sz w:val="22"/>
          <w:szCs w:val="22"/>
        </w:rPr>
        <w:t>, when</w:t>
      </w:r>
      <w:r w:rsidR="00D35545" w:rsidRPr="005E58B9">
        <w:rPr>
          <w:rFonts w:ascii="Calibri" w:hAnsi="Calibri" w:cs="Calibri"/>
          <w:sz w:val="22"/>
          <w:szCs w:val="22"/>
        </w:rPr>
        <w:t xml:space="preserve"> making orders or the interim measures</w:t>
      </w:r>
      <w:r w:rsidRPr="005E58B9">
        <w:rPr>
          <w:rFonts w:ascii="Calibri" w:hAnsi="Calibri" w:cs="Calibri"/>
          <w:sz w:val="22"/>
          <w:szCs w:val="22"/>
        </w:rPr>
        <w:t>, any overriding adverse consequences for the interests concerned, including the public interest;</w:t>
      </w:r>
    </w:p>
    <w:p w14:paraId="449EBECB" w14:textId="390260A8" w:rsidR="00402D1B" w:rsidRPr="005E58B9" w:rsidRDefault="00D35545" w:rsidP="008C592F">
      <w:pPr>
        <w:pStyle w:val="Listnumindent2"/>
        <w:numPr>
          <w:ilvl w:val="7"/>
          <w:numId w:val="1"/>
        </w:numPr>
        <w:spacing w:before="120" w:after="120" w:line="264" w:lineRule="auto"/>
        <w:rPr>
          <w:rFonts w:ascii="Calibri" w:hAnsi="Calibri" w:cs="Calibri"/>
          <w:sz w:val="22"/>
          <w:szCs w:val="22"/>
        </w:rPr>
      </w:pPr>
      <w:r w:rsidRPr="005E58B9">
        <w:rPr>
          <w:rFonts w:ascii="Calibri" w:hAnsi="Calibri" w:cs="Calibri"/>
          <w:sz w:val="22"/>
          <w:szCs w:val="22"/>
        </w:rPr>
        <w:t xml:space="preserve">where the tribunal determines that there has been a failure of the procuring entity to comply with one or more measures, </w:t>
      </w:r>
      <w:r w:rsidR="00402D1B" w:rsidRPr="005E58B9">
        <w:rPr>
          <w:rFonts w:ascii="Calibri" w:hAnsi="Calibri" w:cs="Calibri"/>
          <w:sz w:val="22"/>
          <w:szCs w:val="22"/>
        </w:rPr>
        <w:t xml:space="preserve">to award compensation or corrective action, however any </w:t>
      </w:r>
      <w:bookmarkStart w:id="9" w:name="_Hlk531788636"/>
      <w:r w:rsidR="00402D1B" w:rsidRPr="005E58B9">
        <w:rPr>
          <w:rFonts w:ascii="Calibri" w:hAnsi="Calibri" w:cs="Calibri"/>
          <w:sz w:val="22"/>
          <w:szCs w:val="22"/>
        </w:rPr>
        <w:t xml:space="preserve">compensation awarded to the supplier must not </w:t>
      </w:r>
      <w:bookmarkStart w:id="10" w:name="_Hlk531339394"/>
      <w:r w:rsidR="00402D1B" w:rsidRPr="005E58B9">
        <w:rPr>
          <w:rFonts w:ascii="Calibri" w:hAnsi="Calibri" w:cs="Calibri"/>
          <w:sz w:val="22"/>
          <w:szCs w:val="22"/>
        </w:rPr>
        <w:t xml:space="preserve">exceed </w:t>
      </w:r>
    </w:p>
    <w:p w14:paraId="190A38A2" w14:textId="77777777" w:rsidR="00402D1B" w:rsidRPr="005E58B9" w:rsidRDefault="00402D1B" w:rsidP="005E58B9">
      <w:pPr>
        <w:pStyle w:val="Listnumindent2"/>
        <w:numPr>
          <w:ilvl w:val="0"/>
          <w:numId w:val="0"/>
        </w:numPr>
        <w:spacing w:before="120" w:after="120" w:line="264" w:lineRule="auto"/>
        <w:ind w:left="1800"/>
        <w:rPr>
          <w:rFonts w:ascii="Calibri" w:hAnsi="Calibri" w:cs="Calibri"/>
          <w:sz w:val="22"/>
          <w:szCs w:val="22"/>
        </w:rPr>
      </w:pPr>
      <w:r w:rsidRPr="005E6113">
        <w:rPr>
          <w:rFonts w:ascii="Calibri" w:hAnsi="Calibri" w:cs="Calibri"/>
          <w:sz w:val="22"/>
          <w:szCs w:val="22"/>
          <w:highlight w:val="yellow"/>
        </w:rPr>
        <w:t>[select one of the following:]</w:t>
      </w:r>
    </w:p>
    <w:p w14:paraId="382B4BE2" w14:textId="77777777" w:rsidR="00402D1B" w:rsidRPr="005E58B9" w:rsidRDefault="00402D1B" w:rsidP="005E58B9">
      <w:pPr>
        <w:pStyle w:val="Listnumindent2"/>
        <w:numPr>
          <w:ilvl w:val="0"/>
          <w:numId w:val="0"/>
        </w:numPr>
        <w:spacing w:before="120" w:after="120" w:line="264" w:lineRule="auto"/>
        <w:ind w:left="1800"/>
        <w:rPr>
          <w:rFonts w:ascii="Calibri" w:hAnsi="Calibri" w:cs="Calibri"/>
          <w:sz w:val="22"/>
          <w:szCs w:val="22"/>
        </w:rPr>
      </w:pPr>
      <w:r w:rsidRPr="005E58B9">
        <w:rPr>
          <w:rFonts w:ascii="Calibri" w:hAnsi="Calibri" w:cs="Calibri"/>
          <w:sz w:val="22"/>
          <w:szCs w:val="22"/>
        </w:rPr>
        <w:t>the costs reasonably incurred by the supplier in the preparation of the tender giving rise to the complaint</w:t>
      </w:r>
      <w:r w:rsidR="009C3DFD" w:rsidRPr="005E58B9">
        <w:rPr>
          <w:rFonts w:ascii="Calibri" w:hAnsi="Calibri" w:cs="Calibri"/>
          <w:sz w:val="22"/>
          <w:szCs w:val="22"/>
        </w:rPr>
        <w:t>.</w:t>
      </w:r>
      <w:r w:rsidRPr="005E58B9">
        <w:rPr>
          <w:rFonts w:ascii="Calibri" w:hAnsi="Calibri" w:cs="Calibri"/>
          <w:sz w:val="22"/>
          <w:szCs w:val="22"/>
        </w:rPr>
        <w:t xml:space="preserve"> </w:t>
      </w:r>
      <w:r w:rsidRPr="005E6113">
        <w:rPr>
          <w:rFonts w:ascii="Calibri" w:hAnsi="Calibri" w:cs="Calibri"/>
          <w:sz w:val="22"/>
          <w:szCs w:val="22"/>
          <w:highlight w:val="yellow"/>
        </w:rPr>
        <w:t>[OR]</w:t>
      </w:r>
    </w:p>
    <w:p w14:paraId="700AFD4F" w14:textId="77777777" w:rsidR="00402D1B" w:rsidRPr="005E58B9" w:rsidRDefault="00402D1B" w:rsidP="005E58B9">
      <w:pPr>
        <w:pStyle w:val="Listnumindent2"/>
        <w:numPr>
          <w:ilvl w:val="0"/>
          <w:numId w:val="0"/>
        </w:numPr>
        <w:spacing w:before="120" w:after="120" w:line="264" w:lineRule="auto"/>
        <w:ind w:left="1800"/>
        <w:rPr>
          <w:rFonts w:ascii="Calibri" w:hAnsi="Calibri" w:cs="Calibri"/>
          <w:sz w:val="22"/>
          <w:szCs w:val="22"/>
        </w:rPr>
      </w:pPr>
      <w:r w:rsidRPr="005E58B9">
        <w:rPr>
          <w:rFonts w:ascii="Calibri" w:hAnsi="Calibri" w:cs="Calibri"/>
          <w:sz w:val="22"/>
          <w:szCs w:val="22"/>
        </w:rPr>
        <w:t>the costs reasonably incurred by the supplier in bringing the complaint</w:t>
      </w:r>
      <w:r w:rsidR="009C3DFD" w:rsidRPr="005E58B9">
        <w:rPr>
          <w:rFonts w:ascii="Calibri" w:hAnsi="Calibri" w:cs="Calibri"/>
          <w:sz w:val="22"/>
          <w:szCs w:val="22"/>
        </w:rPr>
        <w:t>.</w:t>
      </w:r>
    </w:p>
    <w:bookmarkEnd w:id="9"/>
    <w:bookmarkEnd w:id="10"/>
    <w:p w14:paraId="044CD77E" w14:textId="77777777" w:rsidR="00402D1B" w:rsidRPr="005E58B9" w:rsidRDefault="00402D1B" w:rsidP="008C592F">
      <w:pPr>
        <w:pStyle w:val="Listnumindent"/>
        <w:numPr>
          <w:ilvl w:val="6"/>
          <w:numId w:val="1"/>
        </w:numPr>
        <w:spacing w:before="120" w:after="120" w:line="264" w:lineRule="auto"/>
        <w:rPr>
          <w:rFonts w:ascii="Calibri" w:hAnsi="Calibri" w:cs="Calibri"/>
          <w:sz w:val="22"/>
          <w:szCs w:val="22"/>
        </w:rPr>
      </w:pPr>
      <w:r w:rsidRPr="005E58B9">
        <w:rPr>
          <w:rFonts w:ascii="Calibri" w:hAnsi="Calibri" w:cs="Calibri"/>
          <w:sz w:val="22"/>
          <w:szCs w:val="22"/>
        </w:rPr>
        <w:t>If:</w:t>
      </w:r>
    </w:p>
    <w:p w14:paraId="12F3ACA8" w14:textId="77777777" w:rsidR="00402D1B" w:rsidRPr="005E58B9" w:rsidRDefault="00402D1B" w:rsidP="008C592F">
      <w:pPr>
        <w:pStyle w:val="Listnumindent2"/>
        <w:numPr>
          <w:ilvl w:val="7"/>
          <w:numId w:val="1"/>
        </w:numPr>
        <w:spacing w:before="120" w:after="120" w:line="264" w:lineRule="auto"/>
        <w:rPr>
          <w:rFonts w:ascii="Calibri" w:hAnsi="Calibri" w:cs="Calibri"/>
          <w:sz w:val="22"/>
          <w:szCs w:val="22"/>
        </w:rPr>
      </w:pPr>
      <w:r w:rsidRPr="005E58B9">
        <w:rPr>
          <w:rFonts w:ascii="Calibri" w:hAnsi="Calibri" w:cs="Calibri"/>
          <w:sz w:val="22"/>
          <w:szCs w:val="22"/>
        </w:rPr>
        <w:t xml:space="preserve">a public interest certificate has been issued in respect of </w:t>
      </w:r>
      <w:r w:rsidRPr="005E6113">
        <w:rPr>
          <w:rFonts w:ascii="Calibri" w:hAnsi="Calibri" w:cs="Calibri"/>
          <w:sz w:val="22"/>
          <w:szCs w:val="22"/>
          <w:highlight w:val="yellow"/>
        </w:rPr>
        <w:t>[this RFP]</w:t>
      </w:r>
      <w:r w:rsidRPr="005E58B9">
        <w:rPr>
          <w:rFonts w:ascii="Calibri" w:hAnsi="Calibri" w:cs="Calibri"/>
          <w:sz w:val="22"/>
          <w:szCs w:val="22"/>
        </w:rPr>
        <w:t>; and</w:t>
      </w:r>
    </w:p>
    <w:p w14:paraId="29335F22" w14:textId="77777777" w:rsidR="00402D1B" w:rsidRPr="005E58B9" w:rsidRDefault="00402D1B" w:rsidP="008C592F">
      <w:pPr>
        <w:pStyle w:val="Listnumindent2"/>
        <w:numPr>
          <w:ilvl w:val="7"/>
          <w:numId w:val="1"/>
        </w:numPr>
        <w:spacing w:before="120" w:after="120" w:line="264" w:lineRule="auto"/>
        <w:rPr>
          <w:rFonts w:ascii="Calibri" w:hAnsi="Calibri" w:cs="Calibri"/>
          <w:sz w:val="22"/>
          <w:szCs w:val="22"/>
        </w:rPr>
      </w:pPr>
      <w:r w:rsidRPr="005E6113">
        <w:rPr>
          <w:rFonts w:ascii="Calibri" w:hAnsi="Calibri" w:cs="Calibri"/>
          <w:sz w:val="22"/>
          <w:szCs w:val="22"/>
          <w:highlight w:val="yellow"/>
        </w:rPr>
        <w:t>[this RFP]</w:t>
      </w:r>
      <w:r w:rsidRPr="005E58B9">
        <w:rPr>
          <w:rFonts w:ascii="Calibri" w:hAnsi="Calibri" w:cs="Calibri"/>
          <w:sz w:val="22"/>
          <w:szCs w:val="22"/>
        </w:rPr>
        <w:t xml:space="preserve"> has not reached the stage where a contract has been </w:t>
      </w:r>
      <w:proofErr w:type="gramStart"/>
      <w:r w:rsidRPr="005E58B9">
        <w:rPr>
          <w:rFonts w:ascii="Calibri" w:hAnsi="Calibri" w:cs="Calibri"/>
          <w:sz w:val="22"/>
          <w:szCs w:val="22"/>
        </w:rPr>
        <w:t>entered into</w:t>
      </w:r>
      <w:proofErr w:type="gramEnd"/>
      <w:r w:rsidRPr="005E58B9">
        <w:rPr>
          <w:rFonts w:ascii="Calibri" w:hAnsi="Calibri" w:cs="Calibri"/>
          <w:sz w:val="22"/>
          <w:szCs w:val="22"/>
        </w:rPr>
        <w:t xml:space="preserve"> with a supplier,</w:t>
      </w:r>
    </w:p>
    <w:p w14:paraId="32D55460" w14:textId="77777777" w:rsidR="00402D1B" w:rsidRPr="005E58B9" w:rsidRDefault="00402D1B" w:rsidP="005E58B9">
      <w:pPr>
        <w:pStyle w:val="Listnumindent2"/>
        <w:numPr>
          <w:ilvl w:val="0"/>
          <w:numId w:val="0"/>
        </w:numPr>
        <w:spacing w:before="120" w:after="120" w:line="264" w:lineRule="auto"/>
        <w:ind w:left="1296"/>
        <w:rPr>
          <w:rFonts w:ascii="Calibri" w:hAnsi="Calibri" w:cs="Calibri"/>
          <w:sz w:val="22"/>
          <w:szCs w:val="22"/>
        </w:rPr>
      </w:pPr>
      <w:r w:rsidRPr="005E58B9">
        <w:rPr>
          <w:rFonts w:ascii="Calibri" w:hAnsi="Calibri" w:cs="Calibri"/>
          <w:sz w:val="22"/>
          <w:szCs w:val="22"/>
        </w:rPr>
        <w:t>then:</w:t>
      </w:r>
    </w:p>
    <w:p w14:paraId="3D12A31E" w14:textId="77777777" w:rsidR="00402D1B" w:rsidRPr="005E58B9" w:rsidRDefault="00402D1B" w:rsidP="008C592F">
      <w:pPr>
        <w:pStyle w:val="Listnumindent2"/>
        <w:numPr>
          <w:ilvl w:val="7"/>
          <w:numId w:val="1"/>
        </w:numPr>
        <w:spacing w:before="120" w:after="120" w:line="264" w:lineRule="auto"/>
        <w:rPr>
          <w:rFonts w:ascii="Calibri" w:hAnsi="Calibri" w:cs="Calibri"/>
          <w:sz w:val="22"/>
          <w:szCs w:val="22"/>
        </w:rPr>
      </w:pPr>
      <w:r w:rsidRPr="005E58B9">
        <w:rPr>
          <w:rFonts w:ascii="Calibri" w:hAnsi="Calibri" w:cs="Calibri"/>
          <w:sz w:val="22"/>
          <w:szCs w:val="22"/>
        </w:rPr>
        <w:t xml:space="preserve">the tribunal must consider whether the award of corrective action would result in significant delay to </w:t>
      </w:r>
      <w:r w:rsidRPr="005E6113">
        <w:rPr>
          <w:rFonts w:ascii="Calibri" w:hAnsi="Calibri" w:cs="Calibri"/>
          <w:sz w:val="22"/>
          <w:szCs w:val="22"/>
          <w:highlight w:val="yellow"/>
        </w:rPr>
        <w:t>[this RFP]</w:t>
      </w:r>
      <w:r w:rsidRPr="005E58B9">
        <w:rPr>
          <w:rFonts w:ascii="Calibri" w:hAnsi="Calibri" w:cs="Calibri"/>
          <w:sz w:val="22"/>
          <w:szCs w:val="22"/>
        </w:rPr>
        <w:t>, and if so, whether awarding compensation would be a more appropriate remedy than an award of corrective action; and</w:t>
      </w:r>
    </w:p>
    <w:p w14:paraId="0F08913D" w14:textId="77777777" w:rsidR="00402D1B" w:rsidRPr="005E58B9" w:rsidRDefault="00402D1B" w:rsidP="008C592F">
      <w:pPr>
        <w:pStyle w:val="Listnumindent2"/>
        <w:numPr>
          <w:ilvl w:val="7"/>
          <w:numId w:val="1"/>
        </w:numPr>
        <w:spacing w:before="120" w:after="120" w:line="264" w:lineRule="auto"/>
        <w:rPr>
          <w:rFonts w:ascii="Calibri" w:hAnsi="Calibri" w:cs="Calibri"/>
          <w:sz w:val="22"/>
          <w:szCs w:val="22"/>
        </w:rPr>
      </w:pPr>
      <w:r w:rsidRPr="005E58B9">
        <w:rPr>
          <w:rFonts w:ascii="Calibri" w:hAnsi="Calibri" w:cs="Calibri"/>
          <w:sz w:val="22"/>
          <w:szCs w:val="22"/>
        </w:rPr>
        <w:t xml:space="preserve">if the tribunal is satisfied that an award of corrective action would result in a significant delay to </w:t>
      </w:r>
      <w:r w:rsidRPr="005E6113">
        <w:rPr>
          <w:rFonts w:ascii="Calibri" w:hAnsi="Calibri" w:cs="Calibri"/>
          <w:sz w:val="22"/>
          <w:szCs w:val="22"/>
          <w:highlight w:val="yellow"/>
        </w:rPr>
        <w:t>[this RFP]</w:t>
      </w:r>
      <w:r w:rsidRPr="005E58B9">
        <w:rPr>
          <w:rFonts w:ascii="Calibri" w:hAnsi="Calibri" w:cs="Calibri"/>
          <w:sz w:val="22"/>
          <w:szCs w:val="22"/>
        </w:rPr>
        <w:t xml:space="preserve"> and that awarding compensation is a more appropriate remedy, then the tribunal may refuse to award corrective action.</w:t>
      </w:r>
    </w:p>
    <w:p w14:paraId="56B894BF" w14:textId="77777777" w:rsidR="00402D1B" w:rsidRPr="005E58B9" w:rsidRDefault="00402D1B" w:rsidP="008C592F">
      <w:pPr>
        <w:pStyle w:val="Listnumindent"/>
        <w:numPr>
          <w:ilvl w:val="6"/>
          <w:numId w:val="1"/>
        </w:numPr>
        <w:spacing w:before="120" w:after="120" w:line="264" w:lineRule="auto"/>
        <w:rPr>
          <w:rFonts w:ascii="Calibri" w:hAnsi="Calibri" w:cs="Calibri"/>
          <w:sz w:val="22"/>
          <w:szCs w:val="22"/>
        </w:rPr>
      </w:pPr>
      <w:r w:rsidRPr="005E58B9">
        <w:rPr>
          <w:rFonts w:ascii="Calibri" w:hAnsi="Calibri" w:cs="Calibri"/>
          <w:sz w:val="22"/>
          <w:szCs w:val="22"/>
        </w:rPr>
        <w:t xml:space="preserve">Any award rendered in arbitration proceedings conducted in accordance with this </w:t>
      </w:r>
      <w:r w:rsidRPr="005E6113">
        <w:rPr>
          <w:rFonts w:ascii="Calibri" w:hAnsi="Calibri" w:cs="Calibri"/>
          <w:sz w:val="22"/>
          <w:szCs w:val="22"/>
          <w:highlight w:val="yellow"/>
        </w:rPr>
        <w:t>[clause/condition]</w:t>
      </w:r>
      <w:r w:rsidRPr="005E58B9">
        <w:rPr>
          <w:rFonts w:ascii="Calibri" w:hAnsi="Calibri" w:cs="Calibri"/>
          <w:sz w:val="22"/>
          <w:szCs w:val="22"/>
        </w:rPr>
        <w:t xml:space="preserve"> may, no earlier than 90 days after the date of the award, be provided by </w:t>
      </w:r>
      <w:r w:rsidRPr="005E6113">
        <w:rPr>
          <w:rFonts w:ascii="Calibri" w:hAnsi="Calibri" w:cs="Calibri"/>
          <w:sz w:val="22"/>
          <w:szCs w:val="22"/>
          <w:highlight w:val="yellow"/>
        </w:rPr>
        <w:t>[insert procuring entity of the Victorian Government]</w:t>
      </w:r>
      <w:r w:rsidRPr="005E58B9">
        <w:rPr>
          <w:rFonts w:ascii="Calibri" w:hAnsi="Calibri" w:cs="Calibri"/>
          <w:sz w:val="22"/>
          <w:szCs w:val="22"/>
        </w:rPr>
        <w:t xml:space="preserve"> to a supplier </w:t>
      </w:r>
      <w:r w:rsidRPr="005E58B9">
        <w:rPr>
          <w:rFonts w:ascii="Calibri" w:hAnsi="Calibri" w:cs="Calibri"/>
          <w:sz w:val="22"/>
          <w:szCs w:val="22"/>
        </w:rPr>
        <w:lastRenderedPageBreak/>
        <w:t>(other than the supplier to whom the award relates) in a sanitized form if requested in writing by the supplier.</w:t>
      </w:r>
    </w:p>
    <w:p w14:paraId="022F3716" w14:textId="77777777" w:rsidR="00402D1B" w:rsidRPr="005E58B9" w:rsidRDefault="00402D1B" w:rsidP="008C592F">
      <w:pPr>
        <w:pStyle w:val="Listnumindent"/>
        <w:numPr>
          <w:ilvl w:val="6"/>
          <w:numId w:val="1"/>
        </w:numPr>
        <w:spacing w:before="120" w:after="120" w:line="264" w:lineRule="auto"/>
        <w:rPr>
          <w:rFonts w:ascii="Calibri" w:hAnsi="Calibri" w:cs="Calibri"/>
          <w:sz w:val="22"/>
          <w:szCs w:val="22"/>
        </w:rPr>
      </w:pPr>
      <w:r w:rsidRPr="005E6113">
        <w:rPr>
          <w:rFonts w:ascii="Calibri" w:hAnsi="Calibri" w:cs="Calibri"/>
          <w:sz w:val="22"/>
          <w:szCs w:val="22"/>
          <w:highlight w:val="yellow"/>
        </w:rPr>
        <w:t>[insert procuring entity of the Victorian Government]</w:t>
      </w:r>
      <w:r w:rsidRPr="005E58B9">
        <w:rPr>
          <w:rFonts w:ascii="Calibri" w:hAnsi="Calibri" w:cs="Calibri"/>
          <w:sz w:val="22"/>
          <w:szCs w:val="22"/>
        </w:rPr>
        <w:t xml:space="preserve"> is not obliged to disclose the award </w:t>
      </w:r>
      <w:r w:rsidR="00271AA0" w:rsidRPr="005E58B9">
        <w:rPr>
          <w:rFonts w:ascii="Calibri" w:hAnsi="Calibri" w:cs="Calibri"/>
          <w:sz w:val="22"/>
          <w:szCs w:val="22"/>
        </w:rPr>
        <w:t xml:space="preserve">under </w:t>
      </w:r>
      <w:r w:rsidR="00271AA0" w:rsidRPr="005E6113">
        <w:rPr>
          <w:rFonts w:ascii="Calibri" w:hAnsi="Calibri" w:cs="Calibri"/>
          <w:sz w:val="22"/>
          <w:szCs w:val="22"/>
          <w:highlight w:val="yellow"/>
        </w:rPr>
        <w:t>[paragraph (i)]</w:t>
      </w:r>
      <w:r w:rsidR="00271AA0" w:rsidRPr="005E58B9">
        <w:rPr>
          <w:rFonts w:ascii="Calibri" w:hAnsi="Calibri" w:cs="Calibri"/>
          <w:sz w:val="22"/>
          <w:szCs w:val="22"/>
        </w:rPr>
        <w:t xml:space="preserve"> </w:t>
      </w:r>
      <w:r w:rsidRPr="005E58B9">
        <w:rPr>
          <w:rFonts w:ascii="Calibri" w:hAnsi="Calibri" w:cs="Calibri"/>
          <w:sz w:val="22"/>
          <w:szCs w:val="22"/>
        </w:rPr>
        <w:t>if the award is subject to judicial challenge or otherwise the subject of court proceedings.</w:t>
      </w:r>
    </w:p>
    <w:p w14:paraId="6AD78661" w14:textId="10A26971" w:rsidR="00D543E5" w:rsidRDefault="00402D1B" w:rsidP="008C592F">
      <w:pPr>
        <w:pStyle w:val="Listnumindent"/>
        <w:numPr>
          <w:ilvl w:val="6"/>
          <w:numId w:val="1"/>
        </w:numPr>
        <w:spacing w:before="120" w:after="120" w:line="264" w:lineRule="auto"/>
        <w:rPr>
          <w:rFonts w:ascii="Calibri" w:hAnsi="Calibri" w:cs="Calibri"/>
          <w:sz w:val="22"/>
          <w:szCs w:val="22"/>
        </w:rPr>
      </w:pPr>
      <w:r w:rsidRPr="005E58B9">
        <w:rPr>
          <w:rFonts w:ascii="Calibri" w:hAnsi="Calibri" w:cs="Calibri"/>
          <w:sz w:val="22"/>
          <w:szCs w:val="22"/>
        </w:rPr>
        <w:t xml:space="preserve">Where an arbitration conducted pursuant to this </w:t>
      </w:r>
      <w:r w:rsidRPr="005E6113">
        <w:rPr>
          <w:rFonts w:ascii="Calibri" w:hAnsi="Calibri" w:cs="Calibri"/>
          <w:sz w:val="22"/>
          <w:szCs w:val="22"/>
          <w:highlight w:val="yellow"/>
        </w:rPr>
        <w:t>[clause/condition]</w:t>
      </w:r>
      <w:r w:rsidRPr="005E58B9">
        <w:rPr>
          <w:rFonts w:ascii="Calibri" w:hAnsi="Calibri" w:cs="Calibri"/>
          <w:sz w:val="22"/>
          <w:szCs w:val="22"/>
        </w:rPr>
        <w:t xml:space="preserve"> is subject to the </w:t>
      </w:r>
      <w:r w:rsidRPr="005E58B9">
        <w:rPr>
          <w:rFonts w:ascii="Calibri" w:hAnsi="Calibri" w:cs="Calibri"/>
          <w:i/>
          <w:sz w:val="22"/>
          <w:szCs w:val="22"/>
        </w:rPr>
        <w:t>Commercial Arbitration Act 2011</w:t>
      </w:r>
      <w:r w:rsidRPr="005E58B9">
        <w:rPr>
          <w:rFonts w:ascii="Calibri" w:hAnsi="Calibri" w:cs="Calibri"/>
          <w:sz w:val="22"/>
          <w:szCs w:val="22"/>
        </w:rPr>
        <w:t xml:space="preserve"> (Vic), the parties agree that an appeal may be made under section 34A of that Act.</w:t>
      </w:r>
    </w:p>
    <w:p w14:paraId="41B3CE32" w14:textId="33D5EF09" w:rsidR="005C6681" w:rsidRDefault="005C6681" w:rsidP="005C6681">
      <w:pPr>
        <w:pStyle w:val="Heading4numbered"/>
        <w:keepNext w:val="0"/>
        <w:keepLines w:val="0"/>
        <w:numPr>
          <w:ilvl w:val="0"/>
          <w:numId w:val="0"/>
        </w:numPr>
      </w:pPr>
    </w:p>
    <w:p w14:paraId="313FFAF2" w14:textId="7E8AE51C" w:rsidR="005C6681" w:rsidRDefault="005C6681" w:rsidP="005C6681">
      <w:pPr>
        <w:pStyle w:val="Heading4numbered"/>
        <w:keepNext w:val="0"/>
        <w:keepLines w:val="0"/>
        <w:numPr>
          <w:ilvl w:val="0"/>
          <w:numId w:val="0"/>
        </w:numPr>
      </w:pPr>
    </w:p>
    <w:p w14:paraId="31846327" w14:textId="3EDC8BEF" w:rsidR="005C6681" w:rsidRDefault="005C6681" w:rsidP="005C6681">
      <w:pPr>
        <w:pStyle w:val="Heading4numbered"/>
        <w:keepNext w:val="0"/>
        <w:keepLines w:val="0"/>
        <w:numPr>
          <w:ilvl w:val="0"/>
          <w:numId w:val="0"/>
        </w:numPr>
      </w:pPr>
    </w:p>
    <w:p w14:paraId="2DF13594" w14:textId="19A13BDF" w:rsidR="005C6681" w:rsidRDefault="005C6681" w:rsidP="005C6681">
      <w:pPr>
        <w:pStyle w:val="Heading4numbered"/>
        <w:keepNext w:val="0"/>
        <w:keepLines w:val="0"/>
        <w:numPr>
          <w:ilvl w:val="0"/>
          <w:numId w:val="0"/>
        </w:numPr>
      </w:pPr>
    </w:p>
    <w:p w14:paraId="598289F7" w14:textId="7FF3AC28" w:rsidR="005C6681" w:rsidRDefault="005C6681" w:rsidP="005C6681">
      <w:pPr>
        <w:pStyle w:val="Heading4numbered"/>
        <w:keepNext w:val="0"/>
        <w:keepLines w:val="0"/>
        <w:numPr>
          <w:ilvl w:val="0"/>
          <w:numId w:val="0"/>
        </w:numPr>
      </w:pPr>
    </w:p>
    <w:p w14:paraId="42207C28" w14:textId="7347EDA9" w:rsidR="005C6681" w:rsidRDefault="005C6681" w:rsidP="005C6681">
      <w:pPr>
        <w:pStyle w:val="Heading4numbered"/>
        <w:keepNext w:val="0"/>
        <w:keepLines w:val="0"/>
        <w:numPr>
          <w:ilvl w:val="0"/>
          <w:numId w:val="0"/>
        </w:numPr>
      </w:pPr>
    </w:p>
    <w:p w14:paraId="29755226" w14:textId="14DD490F" w:rsidR="005C6681" w:rsidRDefault="005C6681" w:rsidP="005C6681">
      <w:pPr>
        <w:pStyle w:val="Heading4numbered"/>
        <w:keepNext w:val="0"/>
        <w:keepLines w:val="0"/>
        <w:numPr>
          <w:ilvl w:val="0"/>
          <w:numId w:val="0"/>
        </w:numPr>
      </w:pPr>
    </w:p>
    <w:p w14:paraId="08488258" w14:textId="60BD1ECB" w:rsidR="005C6681" w:rsidRDefault="005C6681" w:rsidP="005C6681">
      <w:pPr>
        <w:pStyle w:val="Heading4numbered"/>
        <w:keepNext w:val="0"/>
        <w:keepLines w:val="0"/>
        <w:numPr>
          <w:ilvl w:val="0"/>
          <w:numId w:val="0"/>
        </w:numPr>
      </w:pPr>
    </w:p>
    <w:p w14:paraId="52532DC2" w14:textId="5C0F476A" w:rsidR="005C6681" w:rsidRDefault="005C6681" w:rsidP="005C6681">
      <w:pPr>
        <w:pStyle w:val="Heading4numbered"/>
        <w:keepNext w:val="0"/>
        <w:keepLines w:val="0"/>
        <w:numPr>
          <w:ilvl w:val="0"/>
          <w:numId w:val="0"/>
        </w:numPr>
      </w:pPr>
    </w:p>
    <w:p w14:paraId="5133827A" w14:textId="40215B69" w:rsidR="005C6681" w:rsidRDefault="005C6681" w:rsidP="005C6681">
      <w:pPr>
        <w:pStyle w:val="Heading4numbered"/>
        <w:keepNext w:val="0"/>
        <w:keepLines w:val="0"/>
        <w:numPr>
          <w:ilvl w:val="0"/>
          <w:numId w:val="0"/>
        </w:numPr>
      </w:pPr>
    </w:p>
    <w:p w14:paraId="5ABCA3DC" w14:textId="11E70B29" w:rsidR="005C6681" w:rsidRDefault="005C6681" w:rsidP="005C6681">
      <w:pPr>
        <w:pStyle w:val="Heading4numbered"/>
        <w:keepNext w:val="0"/>
        <w:keepLines w:val="0"/>
        <w:numPr>
          <w:ilvl w:val="0"/>
          <w:numId w:val="0"/>
        </w:numPr>
      </w:pPr>
    </w:p>
    <w:p w14:paraId="67A3EE5F" w14:textId="16FCA17C" w:rsidR="005C6681" w:rsidRDefault="005C6681" w:rsidP="005C6681">
      <w:pPr>
        <w:pStyle w:val="Heading4numbered"/>
        <w:keepNext w:val="0"/>
        <w:keepLines w:val="0"/>
        <w:numPr>
          <w:ilvl w:val="0"/>
          <w:numId w:val="0"/>
        </w:numPr>
      </w:pPr>
    </w:p>
    <w:p w14:paraId="74CBC5E5" w14:textId="4873D6B4" w:rsidR="005C6681" w:rsidRDefault="005C6681" w:rsidP="005C6681">
      <w:pPr>
        <w:pStyle w:val="Heading4numbered"/>
        <w:keepNext w:val="0"/>
        <w:keepLines w:val="0"/>
        <w:numPr>
          <w:ilvl w:val="0"/>
          <w:numId w:val="0"/>
        </w:numPr>
      </w:pPr>
    </w:p>
    <w:p w14:paraId="1F00A29E" w14:textId="76A0C882" w:rsidR="005C6681" w:rsidRDefault="005C6681" w:rsidP="005C6681">
      <w:pPr>
        <w:pStyle w:val="Heading4numbered"/>
        <w:keepNext w:val="0"/>
        <w:keepLines w:val="0"/>
        <w:numPr>
          <w:ilvl w:val="0"/>
          <w:numId w:val="0"/>
        </w:numPr>
      </w:pPr>
    </w:p>
    <w:p w14:paraId="11391ABE" w14:textId="56C393B5" w:rsidR="005C6681" w:rsidRDefault="005C6681" w:rsidP="005C6681">
      <w:pPr>
        <w:pStyle w:val="Heading4numbered"/>
        <w:keepNext w:val="0"/>
        <w:keepLines w:val="0"/>
        <w:numPr>
          <w:ilvl w:val="0"/>
          <w:numId w:val="0"/>
        </w:numPr>
      </w:pPr>
    </w:p>
    <w:p w14:paraId="280678CC" w14:textId="1B54EF1F" w:rsidR="005C6681" w:rsidRDefault="005C6681" w:rsidP="005C6681">
      <w:pPr>
        <w:pStyle w:val="Heading4numbered"/>
        <w:keepNext w:val="0"/>
        <w:keepLines w:val="0"/>
        <w:numPr>
          <w:ilvl w:val="0"/>
          <w:numId w:val="0"/>
        </w:numPr>
      </w:pPr>
    </w:p>
    <w:p w14:paraId="246636E7" w14:textId="77777777" w:rsidR="005C6681" w:rsidRPr="005C6681" w:rsidRDefault="005C6681" w:rsidP="005C6681">
      <w:pPr>
        <w:pStyle w:val="Heading4numbered"/>
        <w:keepNext w:val="0"/>
        <w:keepLines w:val="0"/>
        <w:numPr>
          <w:ilvl w:val="0"/>
          <w:numId w:val="0"/>
        </w:numPr>
      </w:pPr>
    </w:p>
    <w:p w14:paraId="3796C8D0" w14:textId="39FECC4C" w:rsidR="005C6681" w:rsidRPr="005C6681" w:rsidRDefault="005C6681" w:rsidP="005C6681">
      <w:pPr>
        <w:spacing w:before="120" w:after="120" w:line="264" w:lineRule="auto"/>
        <w:rPr>
          <w:rFonts w:ascii="Calibri" w:hAnsi="Calibri" w:cs="Calibri"/>
        </w:rPr>
      </w:pPr>
      <w:r w:rsidRPr="005C6681">
        <w:rPr>
          <w:rFonts w:ascii="Calibri" w:hAnsi="Calibri" w:cs="Calibri"/>
        </w:rPr>
        <w:t>© State of Victoria 2019 (</w:t>
      </w:r>
      <w:r>
        <w:rPr>
          <w:rFonts w:ascii="Calibri" w:hAnsi="Calibri" w:cs="Calibri"/>
        </w:rPr>
        <w:t>Victorian Government Purchasing Board</w:t>
      </w:r>
      <w:r w:rsidRPr="005C6681">
        <w:rPr>
          <w:rFonts w:ascii="Calibri" w:hAnsi="Calibri" w:cs="Calibri"/>
        </w:rPr>
        <w:t>)</w:t>
      </w:r>
    </w:p>
    <w:p w14:paraId="2EA29B1F" w14:textId="77777777" w:rsidR="005C6681" w:rsidRPr="005C6681" w:rsidRDefault="005C6681" w:rsidP="005C6681">
      <w:pPr>
        <w:spacing w:before="120" w:after="120" w:line="264" w:lineRule="auto"/>
        <w:rPr>
          <w:rFonts w:ascii="Calibri" w:hAnsi="Calibri" w:cs="Calibri"/>
        </w:rPr>
      </w:pPr>
      <w:r w:rsidRPr="005C6681">
        <w:rPr>
          <w:rFonts w:ascii="Calibri" w:hAnsi="Calibri" w:cs="Calibri"/>
          <w:noProof/>
        </w:rPr>
        <w:drawing>
          <wp:inline distT="0" distB="0" distL="0" distR="0" wp14:anchorId="71FBA522" wp14:editId="5DFB0AC0">
            <wp:extent cx="1117460" cy="390972"/>
            <wp:effectExtent l="0" t="0" r="6985" b="9525"/>
            <wp:docPr id="2" name="Picture 2">
              <a:hlinkClick xmlns:a="http://schemas.openxmlformats.org/drawingml/2006/main" r:id="rId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5C6681">
        <w:rPr>
          <w:rFonts w:ascii="Calibri" w:hAnsi="Calibri" w:cs="Calibri"/>
        </w:rPr>
        <w:t xml:space="preserve"> </w:t>
      </w:r>
    </w:p>
    <w:p w14:paraId="2F25B9A6" w14:textId="77777777" w:rsidR="005C6681" w:rsidRPr="005C6681" w:rsidRDefault="005C6681" w:rsidP="005C6681">
      <w:pPr>
        <w:spacing w:before="120" w:after="120" w:line="264" w:lineRule="auto"/>
        <w:rPr>
          <w:rFonts w:ascii="Calibri" w:hAnsi="Calibri" w:cs="Calibri"/>
        </w:rPr>
      </w:pPr>
      <w:r w:rsidRPr="005C6681">
        <w:rPr>
          <w:rFonts w:ascii="Calibri" w:hAnsi="Calibri" w:cs="Calibri"/>
        </w:rPr>
        <w:t xml:space="preserve">This work is licensed under a </w:t>
      </w:r>
      <w:hyperlink r:id="rId16" w:history="1">
        <w:r w:rsidRPr="005C6681">
          <w:rPr>
            <w:rStyle w:val="Hyperlink"/>
            <w:rFonts w:ascii="Calibri" w:eastAsia="Times New Roman" w:hAnsi="Calibri" w:cs="Calibri"/>
            <w:color w:val="4D4D4D"/>
            <w:spacing w:val="0"/>
            <w:u w:val="single"/>
          </w:rPr>
          <w:t>Creative Commons Attribution 4.0 licence</w:t>
        </w:r>
      </w:hyperlink>
      <w:r w:rsidRPr="005C6681">
        <w:rPr>
          <w:rFonts w:ascii="Calibri" w:hAnsi="Calibri" w:cs="Calibri"/>
        </w:rPr>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0A5419D6" w14:textId="00551011" w:rsidR="005C6681" w:rsidRPr="005C6681" w:rsidRDefault="005C6681" w:rsidP="005C6681">
      <w:pPr>
        <w:spacing w:before="120" w:after="120" w:line="264" w:lineRule="auto"/>
        <w:rPr>
          <w:rFonts w:ascii="Calibri" w:hAnsi="Calibri" w:cs="Calibri"/>
          <w:color w:val="660B68"/>
        </w:rPr>
      </w:pPr>
      <w:r w:rsidRPr="005C6681">
        <w:rPr>
          <w:rFonts w:ascii="Calibri" w:hAnsi="Calibri" w:cs="Calibri"/>
        </w:rPr>
        <w:t xml:space="preserve">Copyright queries may be directed to </w:t>
      </w:r>
      <w:hyperlink r:id="rId17" w:history="1">
        <w:r w:rsidRPr="005C6681">
          <w:rPr>
            <w:rStyle w:val="Hyperlink"/>
            <w:rFonts w:ascii="Calibri" w:eastAsia="Times New Roman" w:hAnsi="Calibri" w:cs="Calibri"/>
            <w:color w:val="4D4D4D"/>
            <w:spacing w:val="0"/>
            <w:u w:val="single"/>
          </w:rPr>
          <w:t>IPpolicy@dtf.vic.gov.au</w:t>
        </w:r>
      </w:hyperlink>
    </w:p>
    <w:sectPr w:rsidR="005C6681" w:rsidRPr="005C6681" w:rsidSect="005E58B9">
      <w:headerReference w:type="even" r:id="rId18"/>
      <w:headerReference w:type="default" r:id="rId19"/>
      <w:footerReference w:type="even" r:id="rId20"/>
      <w:footerReference w:type="default" r:id="rId21"/>
      <w:headerReference w:type="first" r:id="rId22"/>
      <w:footerReference w:type="first" r:id="rId23"/>
      <w:pgSz w:w="11906" w:h="16838" w:code="9"/>
      <w:pgMar w:top="1560" w:right="1440" w:bottom="1418" w:left="1440" w:header="568" w:footer="5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AD58B" w14:textId="77777777" w:rsidR="00463765" w:rsidRDefault="00463765" w:rsidP="002D711A">
      <w:pPr>
        <w:spacing w:after="0" w:line="240" w:lineRule="auto"/>
      </w:pPr>
      <w:r>
        <w:separator/>
      </w:r>
    </w:p>
  </w:endnote>
  <w:endnote w:type="continuationSeparator" w:id="0">
    <w:p w14:paraId="26F4514D" w14:textId="77777777" w:rsidR="00463765" w:rsidRDefault="00463765"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544BF" w14:textId="05227790" w:rsidR="00C72838" w:rsidRDefault="005440DE" w:rsidP="009D1C63">
    <w:pPr>
      <w:pStyle w:val="Spacer"/>
    </w:pPr>
    <w:r>
      <w:rPr>
        <w:noProof/>
      </w:rPr>
      <mc:AlternateContent>
        <mc:Choice Requires="wps">
          <w:drawing>
            <wp:anchor distT="0" distB="0" distL="114300" distR="114300" simplePos="0" relativeHeight="251656192" behindDoc="0" locked="0" layoutInCell="0" allowOverlap="1" wp14:anchorId="43DB4142" wp14:editId="3EBB6A7F">
              <wp:simplePos x="0" y="0"/>
              <wp:positionH relativeFrom="page">
                <wp:posOffset>0</wp:posOffset>
              </wp:positionH>
              <wp:positionV relativeFrom="page">
                <wp:posOffset>10234930</wp:posOffset>
              </wp:positionV>
              <wp:extent cx="7560310" cy="266700"/>
              <wp:effectExtent l="0" t="0" r="0" b="0"/>
              <wp:wrapNone/>
              <wp:docPr id="6" name="MSIPCM11ef45ef824f03c9ae10b4a2" descr="{&quot;HashCode&quot;:-1267603503,&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ACF245" w14:textId="04923495" w:rsidR="005440DE" w:rsidRPr="005440DE" w:rsidRDefault="005440DE" w:rsidP="005440DE">
                          <w:pPr>
                            <w:spacing w:before="0" w:after="0"/>
                            <w:rPr>
                              <w:rFonts w:ascii="Calibri" w:hAnsi="Calibri" w:cs="Calibri"/>
                              <w:color w:val="000000"/>
                              <w:sz w:val="22"/>
                            </w:rPr>
                          </w:pPr>
                          <w:r w:rsidRPr="005440D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DB4142" id="_x0000_t202" coordsize="21600,21600" o:spt="202" path="m,l,21600r21600,l21600,xe">
              <v:stroke joinstyle="miter"/>
              <v:path gradientshapeok="t" o:connecttype="rect"/>
            </v:shapetype>
            <v:shape id="MSIPCM11ef45ef824f03c9ae10b4a2" o:spid="_x0000_s1026" type="#_x0000_t202" alt="{&quot;HashCode&quot;:-1267603503,&quot;Height&quot;:841.0,&quot;Width&quot;:595.0,&quot;Placement&quot;:&quot;Footer&quot;,&quot;Index&quot;:&quot;OddAndEven&quot;,&quot;Section&quot;:1,&quot;Top&quot;:0.0,&quot;Left&quot;:0.0}" style="position:absolute;margin-left:0;margin-top:805.9pt;width:595.3pt;height:21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" o:allowincell="f" filled="f" stroked="f" strokeweight=".5pt">
              <v:textbox inset="20pt,0,,0">
                <w:txbxContent>
                  <w:p w14:paraId="7BACF245" w14:textId="04923495" w:rsidR="005440DE" w:rsidRPr="005440DE" w:rsidRDefault="005440DE" w:rsidP="005440DE">
                    <w:pPr>
                      <w:spacing w:before="0" w:after="0"/>
                      <w:rPr>
                        <w:rFonts w:ascii="Calibri" w:hAnsi="Calibri" w:cs="Calibri"/>
                        <w:color w:val="000000"/>
                        <w:sz w:val="22"/>
                      </w:rPr>
                    </w:pPr>
                    <w:r w:rsidRPr="005440DE">
                      <w:rPr>
                        <w:rFonts w:ascii="Calibri" w:hAnsi="Calibri" w:cs="Calibri"/>
                        <w:color w:val="000000"/>
                        <w:sz w:val="22"/>
                      </w:rPr>
                      <w:t>OFFICIAL</w:t>
                    </w:r>
                  </w:p>
                </w:txbxContent>
              </v:textbox>
              <w10:wrap anchorx="page" anchory="page"/>
            </v:shape>
          </w:pict>
        </mc:Fallback>
      </mc:AlternateContent>
    </w:r>
  </w:p>
  <w:p w14:paraId="2D3B3F5C" w14:textId="3BCA0459" w:rsidR="00C72838" w:rsidRPr="00116DFE" w:rsidRDefault="00C72838" w:rsidP="009D1C63">
    <w:pPr>
      <w:pStyle w:val="Footer"/>
      <w:tabs>
        <w:tab w:val="clear" w:pos="9810"/>
        <w:tab w:val="right" w:pos="9000"/>
      </w:tabs>
      <w:ind w:left="-630" w:right="26"/>
      <w:rPr>
        <w:color w:val="000000"/>
      </w:rPr>
    </w:pPr>
    <w:r w:rsidRPr="00FE12DF">
      <w:rPr>
        <w:rStyle w:val="PageNumber"/>
        <w:color w:val="000000"/>
      </w:rPr>
      <w:fldChar w:fldCharType="begin"/>
    </w:r>
    <w:r w:rsidRPr="00FE12DF">
      <w:rPr>
        <w:rStyle w:val="PageNumber"/>
        <w:color w:val="000000"/>
      </w:rPr>
      <w:instrText xml:space="preserve"> Page </w:instrText>
    </w:r>
    <w:r w:rsidRPr="00FE12DF">
      <w:rPr>
        <w:rStyle w:val="PageNumber"/>
        <w:color w:val="000000"/>
      </w:rPr>
      <w:fldChar w:fldCharType="separate"/>
    </w:r>
    <w:r>
      <w:rPr>
        <w:rStyle w:val="PageNumber"/>
        <w:color w:val="000000"/>
      </w:rPr>
      <w:t>2</w:t>
    </w:r>
    <w:r w:rsidRPr="00FE12DF">
      <w:rPr>
        <w:rStyle w:val="PageNumber"/>
        <w:color w:val="000000"/>
      </w:rPr>
      <w:fldChar w:fldCharType="end"/>
    </w:r>
    <w:r>
      <w:rPr>
        <w:rStyle w:val="PageNumber"/>
      </w:rPr>
      <w:tab/>
    </w:r>
    <w:r>
      <w:rPr>
        <w:rStyle w:val="PageNumber"/>
      </w:rPr>
      <w:ptab w:relativeTo="margin" w:alignment="left" w:leader="none"/>
    </w:r>
    <w:r w:rsidRPr="00116DFE">
      <w:rPr>
        <w:b/>
        <w:noProof w:val="0"/>
        <w:color w:val="000000"/>
      </w:rPr>
      <w:fldChar w:fldCharType="begin"/>
    </w:r>
    <w:r w:rsidRPr="00116DFE">
      <w:rPr>
        <w:b/>
        <w:color w:val="000000"/>
      </w:rPr>
      <w:instrText xml:space="preserve"> StyleRef “Title” </w:instrText>
    </w:r>
    <w:r w:rsidRPr="00116DFE">
      <w:rPr>
        <w:b/>
        <w:noProof w:val="0"/>
        <w:color w:val="000000"/>
      </w:rPr>
      <w:fldChar w:fldCharType="separate"/>
    </w:r>
    <w:r w:rsidR="005E58B9">
      <w:rPr>
        <w:b/>
        <w:color w:val="000000"/>
      </w:rPr>
      <w:t>Arbitration clause – International agreements</w:t>
    </w:r>
    <w:r w:rsidRPr="00116DFE">
      <w:rPr>
        <w:b/>
        <w:color w:val="000000"/>
      </w:rPr>
      <w:fldChar w:fldCharType="end"/>
    </w:r>
    <w:r>
      <w:rPr>
        <w:b/>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8FF75" w14:textId="12DFFA0D" w:rsidR="005E58B9" w:rsidRPr="005E58B9" w:rsidRDefault="005E58B9" w:rsidP="005E58B9">
    <w:pPr>
      <w:pStyle w:val="Footer"/>
      <w:tabs>
        <w:tab w:val="right" w:pos="9741"/>
      </w:tabs>
      <w:rPr>
        <w:rFonts w:ascii="Calibri" w:hAnsi="Calibri" w:cs="Calibri"/>
        <w:sz w:val="20"/>
        <w:szCs w:val="20"/>
      </w:rPr>
    </w:pPr>
    <w:r w:rsidRPr="005E58B9">
      <w:rPr>
        <w:rFonts w:ascii="Calibri" w:hAnsi="Calibri" w:cs="Calibri"/>
        <w:sz w:val="20"/>
        <w:szCs w:val="20"/>
      </w:rPr>
      <w:t>Victorian Government Purchasing Board</w:t>
    </w:r>
  </w:p>
  <w:p w14:paraId="2884FAF5" w14:textId="073BC28B" w:rsidR="00C72838" w:rsidRPr="005E58B9" w:rsidRDefault="005E58B9" w:rsidP="005E58B9">
    <w:pPr>
      <w:pStyle w:val="Spacer"/>
      <w:tabs>
        <w:tab w:val="right" w:pos="8931"/>
      </w:tabs>
      <w:rPr>
        <w:rFonts w:ascii="Calibri" w:hAnsi="Calibri"/>
        <w:sz w:val="20"/>
        <w:szCs w:val="20"/>
      </w:rPr>
    </w:pPr>
    <w:r w:rsidRPr="005E58B9">
      <w:rPr>
        <w:rFonts w:ascii="Calibri" w:hAnsi="Calibri"/>
        <w:noProof/>
        <w:sz w:val="20"/>
        <w:szCs w:val="20"/>
      </w:rPr>
      <mc:AlternateContent>
        <mc:Choice Requires="wps">
          <w:drawing>
            <wp:anchor distT="0" distB="0" distL="114300" distR="114300" simplePos="0" relativeHeight="251660288" behindDoc="0" locked="0" layoutInCell="0" allowOverlap="1" wp14:anchorId="07F5F590" wp14:editId="075BEDD5">
              <wp:simplePos x="0" y="0"/>
              <wp:positionH relativeFrom="page">
                <wp:posOffset>0</wp:posOffset>
              </wp:positionH>
              <wp:positionV relativeFrom="page">
                <wp:posOffset>10234930</wp:posOffset>
              </wp:positionV>
              <wp:extent cx="7560310" cy="266700"/>
              <wp:effectExtent l="0" t="0" r="0" b="0"/>
              <wp:wrapNone/>
              <wp:docPr id="5" name="MSIPCM4e66433fb9c50186a07d845f"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2EFB57" w14:textId="693FD14F" w:rsidR="005440DE" w:rsidRPr="005440DE" w:rsidRDefault="005440DE" w:rsidP="005440DE">
                          <w:pPr>
                            <w:spacing w:before="0" w:after="0"/>
                            <w:rPr>
                              <w:rFonts w:ascii="Calibri" w:hAnsi="Calibri" w:cs="Calibri"/>
                              <w:color w:val="000000"/>
                              <w:sz w:val="22"/>
                            </w:rPr>
                          </w:pPr>
                          <w:r w:rsidRPr="005440DE">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7F5F590" id="_x0000_t202" coordsize="21600,21600" o:spt="202" path="m,l,21600r21600,l21600,xe">
              <v:stroke joinstyle="miter"/>
              <v:path gradientshapeok="t" o:connecttype="rect"/>
            </v:shapetype>
            <v:shape id="MSIPCM4e66433fb9c50186a07d845f" o:spid="_x0000_s1027" type="#_x0000_t202" alt="{&quot;HashCode&quot;:-1267603503,&quot;Height&quot;:841.0,&quot;Width&quot;:595.0,&quot;Placement&quot;:&quot;Footer&quot;,&quot;Index&quot;:&quot;Primary&quot;,&quot;Section&quot;:1,&quot;Top&quot;:0.0,&quot;Left&quot;:0.0}" style="position:absolute;margin-left:0;margin-top:805.9pt;width:595.3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" o:allowincell="f" filled="f" stroked="f" strokeweight=".5pt">
              <v:textbox inset="20pt,0,,0">
                <w:txbxContent>
                  <w:p w14:paraId="212EFB57" w14:textId="693FD14F" w:rsidR="005440DE" w:rsidRPr="005440DE" w:rsidRDefault="005440DE" w:rsidP="005440DE">
                    <w:pPr>
                      <w:spacing w:before="0" w:after="0"/>
                      <w:rPr>
                        <w:rFonts w:ascii="Calibri" w:hAnsi="Calibri" w:cs="Calibri"/>
                        <w:color w:val="000000"/>
                        <w:sz w:val="22"/>
                      </w:rPr>
                    </w:pPr>
                    <w:r w:rsidRPr="005440DE">
                      <w:rPr>
                        <w:rFonts w:ascii="Calibri" w:hAnsi="Calibri" w:cs="Calibri"/>
                        <w:color w:val="000000"/>
                        <w:sz w:val="22"/>
                      </w:rPr>
                      <w:t>OFFICIAL</w:t>
                    </w:r>
                  </w:p>
                </w:txbxContent>
              </v:textbox>
              <w10:wrap anchorx="page" anchory="page"/>
            </v:shape>
          </w:pict>
        </mc:Fallback>
      </mc:AlternateContent>
    </w:r>
    <w:sdt>
      <w:sdtPr>
        <w:rPr>
          <w:rFonts w:ascii="Calibri" w:hAnsi="Calibri"/>
          <w:sz w:val="20"/>
          <w:szCs w:val="20"/>
        </w:rPr>
        <w:id w:val="1961605112"/>
        <w:docPartObj>
          <w:docPartGallery w:val="Page Numbers (Bottom of Page)"/>
          <w:docPartUnique/>
        </w:docPartObj>
      </w:sdtPr>
      <w:sdtEndPr/>
      <w:sdtContent>
        <w:sdt>
          <w:sdtPr>
            <w:rPr>
              <w:rFonts w:ascii="Calibri" w:hAnsi="Calibri"/>
              <w:sz w:val="20"/>
              <w:szCs w:val="20"/>
            </w:rPr>
            <w:id w:val="130982214"/>
            <w:docPartObj>
              <w:docPartGallery w:val="Page Numbers (Top of Page)"/>
              <w:docPartUnique/>
            </w:docPartObj>
          </w:sdtPr>
          <w:sdtEndPr/>
          <w:sdtContent>
            <w:r>
              <w:rPr>
                <w:rFonts w:ascii="Calibri" w:hAnsi="Calibri"/>
                <w:sz w:val="20"/>
                <w:szCs w:val="20"/>
              </w:rPr>
              <w:t>Arbitration clause – International Agreements</w:t>
            </w:r>
            <w:r>
              <w:rPr>
                <w:rFonts w:ascii="Calibri" w:hAnsi="Calibri"/>
                <w:sz w:val="20"/>
                <w:szCs w:val="20"/>
              </w:rPr>
              <w:br/>
              <w:t>May 2019</w:t>
            </w:r>
            <w:r>
              <w:rPr>
                <w:rFonts w:ascii="Calibri" w:hAnsi="Calibri"/>
                <w:sz w:val="20"/>
                <w:szCs w:val="20"/>
              </w:rPr>
              <w:tab/>
            </w:r>
            <w:r w:rsidRPr="005E58B9">
              <w:rPr>
                <w:rFonts w:ascii="Calibri" w:hAnsi="Calibri"/>
                <w:sz w:val="20"/>
                <w:szCs w:val="20"/>
              </w:rPr>
              <w:t xml:space="preserve">Page </w:t>
            </w:r>
            <w:r w:rsidRPr="005E58B9">
              <w:rPr>
                <w:rFonts w:ascii="Calibri" w:hAnsi="Calibri"/>
                <w:bCs/>
                <w:sz w:val="20"/>
                <w:szCs w:val="20"/>
              </w:rPr>
              <w:fldChar w:fldCharType="begin"/>
            </w:r>
            <w:r w:rsidRPr="005E58B9">
              <w:rPr>
                <w:rFonts w:ascii="Calibri" w:hAnsi="Calibri"/>
                <w:bCs/>
                <w:sz w:val="20"/>
                <w:szCs w:val="20"/>
              </w:rPr>
              <w:instrText xml:space="preserve"> PAGE </w:instrText>
            </w:r>
            <w:r w:rsidRPr="005E58B9">
              <w:rPr>
                <w:rFonts w:ascii="Calibri" w:hAnsi="Calibri"/>
                <w:bCs/>
                <w:sz w:val="20"/>
                <w:szCs w:val="20"/>
              </w:rPr>
              <w:fldChar w:fldCharType="separate"/>
            </w:r>
            <w:r w:rsidRPr="005E58B9">
              <w:rPr>
                <w:rFonts w:ascii="Calibri" w:hAnsi="Calibri"/>
                <w:bCs/>
                <w:sz w:val="20"/>
                <w:szCs w:val="20"/>
              </w:rPr>
              <w:t>1</w:t>
            </w:r>
            <w:r w:rsidRPr="005E58B9">
              <w:rPr>
                <w:rFonts w:ascii="Calibri" w:hAnsi="Calibri"/>
                <w:bCs/>
                <w:sz w:val="20"/>
                <w:szCs w:val="20"/>
              </w:rPr>
              <w:fldChar w:fldCharType="end"/>
            </w:r>
            <w:r w:rsidRPr="005E58B9">
              <w:rPr>
                <w:rFonts w:ascii="Calibri" w:hAnsi="Calibri"/>
                <w:sz w:val="20"/>
                <w:szCs w:val="20"/>
              </w:rPr>
              <w:t xml:space="preserve"> of </w:t>
            </w:r>
            <w:r w:rsidRPr="005E58B9">
              <w:rPr>
                <w:rFonts w:ascii="Calibri" w:hAnsi="Calibri"/>
                <w:bCs/>
                <w:sz w:val="20"/>
                <w:szCs w:val="20"/>
              </w:rPr>
              <w:fldChar w:fldCharType="begin"/>
            </w:r>
            <w:r w:rsidRPr="005E58B9">
              <w:rPr>
                <w:rFonts w:ascii="Calibri" w:hAnsi="Calibri"/>
                <w:bCs/>
                <w:sz w:val="20"/>
                <w:szCs w:val="20"/>
              </w:rPr>
              <w:instrText xml:space="preserve"> NUMPAGES  </w:instrText>
            </w:r>
            <w:r w:rsidRPr="005E58B9">
              <w:rPr>
                <w:rFonts w:ascii="Calibri" w:hAnsi="Calibri"/>
                <w:bCs/>
                <w:sz w:val="20"/>
                <w:szCs w:val="20"/>
              </w:rPr>
              <w:fldChar w:fldCharType="separate"/>
            </w:r>
            <w:r w:rsidRPr="005E58B9">
              <w:rPr>
                <w:rFonts w:ascii="Calibri" w:hAnsi="Calibri"/>
                <w:bCs/>
                <w:sz w:val="20"/>
                <w:szCs w:val="20"/>
              </w:rPr>
              <w:t>1</w:t>
            </w:r>
            <w:r w:rsidRPr="005E58B9">
              <w:rPr>
                <w:rFonts w:ascii="Calibri" w:hAnsi="Calibri"/>
                <w:bCs/>
                <w:sz w:val="20"/>
                <w:szCs w:val="20"/>
              </w:rPr>
              <w:fldChar w:fldCharType="end"/>
            </w:r>
          </w:sdtContent>
        </w:sdt>
      </w:sdtContent>
    </w:sdt>
    <w:r w:rsidRPr="005E58B9">
      <w:rPr>
        <w:rFonts w:ascii="Calibri" w:hAnsi="Calibri"/>
        <w:noProof/>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B2689" w14:textId="77777777" w:rsidR="00A16213" w:rsidRDefault="00A162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7D45C6" w14:textId="77777777" w:rsidR="00463765" w:rsidRDefault="00463765" w:rsidP="002D711A">
      <w:pPr>
        <w:spacing w:after="0" w:line="240" w:lineRule="auto"/>
      </w:pPr>
      <w:r>
        <w:separator/>
      </w:r>
    </w:p>
  </w:footnote>
  <w:footnote w:type="continuationSeparator" w:id="0">
    <w:p w14:paraId="2C164228" w14:textId="77777777" w:rsidR="00463765" w:rsidRDefault="00463765" w:rsidP="002D7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CF7D3" w14:textId="77777777" w:rsidR="00A16213" w:rsidRDefault="00A16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0DCC3" w14:textId="5865F6EF" w:rsidR="00C72838" w:rsidRPr="0041689E" w:rsidRDefault="005E58B9" w:rsidP="005E58B9">
    <w:pPr>
      <w:pStyle w:val="Header"/>
      <w:jc w:val="right"/>
    </w:pPr>
    <w:r>
      <w:rPr>
        <w:noProof/>
      </w:rPr>
      <w:drawing>
        <wp:inline distT="0" distB="0" distL="0" distR="0" wp14:anchorId="5ABF1A92" wp14:editId="706B3485">
          <wp:extent cx="1206316" cy="360000"/>
          <wp:effectExtent l="0" t="0" r="0" b="2540"/>
          <wp:docPr id="41" name="Picture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206316" cy="360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E1305" w14:textId="77777777" w:rsidR="00A16213" w:rsidRDefault="00A162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FFD"/>
    <w:multiLevelType w:val="multilevel"/>
    <w:tmpl w:val="C0D2F066"/>
    <w:lvl w:ilvl="0">
      <w:start w:val="1"/>
      <w:numFmt w:val="bullet"/>
      <w:pStyle w:val="Tablebullet"/>
      <w:lvlText w:val=""/>
      <w:lvlJc w:val="left"/>
      <w:pPr>
        <w:ind w:left="288" w:hanging="288"/>
      </w:pPr>
      <w:rPr>
        <w:rFonts w:ascii="Symbol" w:hAnsi="Symbol" w:hint="default"/>
        <w:color w:val="auto"/>
      </w:rPr>
    </w:lvl>
    <w:lvl w:ilvl="1">
      <w:start w:val="1"/>
      <w:numFmt w:val="bullet"/>
      <w:pStyle w:val="Tabledash"/>
      <w:lvlText w:val="–"/>
      <w:lvlJc w:val="left"/>
      <w:pPr>
        <w:ind w:left="576" w:hanging="288"/>
      </w:pPr>
      <w:rPr>
        <w:rFonts w:ascii="Calibri" w:hAnsi="Calibri" w:hint="default"/>
        <w:color w:val="auto"/>
      </w:rPr>
    </w:lvl>
    <w:lvl w:ilvl="2">
      <w:start w:val="1"/>
      <w:numFmt w:val="decimal"/>
      <w:pStyle w:val="Tablenum1"/>
      <w:lvlText w:val="%3."/>
      <w:lvlJc w:val="left"/>
      <w:pPr>
        <w:tabs>
          <w:tab w:val="num" w:pos="360"/>
        </w:tabs>
        <w:ind w:left="360" w:hanging="360"/>
      </w:pPr>
      <w:rPr>
        <w:rFonts w:hint="default"/>
      </w:rPr>
    </w:lvl>
    <w:lvl w:ilvl="3">
      <w:start w:val="1"/>
      <w:numFmt w:val="lowerLetter"/>
      <w:pStyle w:val="Tablenum2"/>
      <w:lvlText w:val="(%4)"/>
      <w:lvlJc w:val="left"/>
      <w:pPr>
        <w:tabs>
          <w:tab w:val="num" w:pos="720"/>
        </w:tabs>
        <w:ind w:left="72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46D3A6A"/>
    <w:multiLevelType w:val="multilevel"/>
    <w:tmpl w:val="F58A407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 w15:restartNumberingAfterBreak="0">
    <w:nsid w:val="59D51281"/>
    <w:multiLevelType w:val="hybridMultilevel"/>
    <w:tmpl w:val="9D1EFCCC"/>
    <w:lvl w:ilvl="0" w:tplc="C3F8ADFA">
      <w:start w:val="1"/>
      <w:numFmt w:val="bullet"/>
      <w:pStyle w:val="NoteNorm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A7E12E5"/>
    <w:multiLevelType w:val="hybridMultilevel"/>
    <w:tmpl w:val="3A5E8A9C"/>
    <w:lvl w:ilvl="0" w:tplc="D52C8DEE">
      <w:start w:val="1"/>
      <w:numFmt w:val="decimal"/>
      <w:pStyle w:val="Numpara"/>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FD44514"/>
    <w:multiLevelType w:val="multilevel"/>
    <w:tmpl w:val="C890DB4A"/>
    <w:lvl w:ilvl="0">
      <w:start w:val="1"/>
      <w:numFmt w:val="lowerLetter"/>
      <w:pStyle w:val="Listnum"/>
      <w:lvlText w:val="(%1)"/>
      <w:lvlJc w:val="left"/>
      <w:pPr>
        <w:tabs>
          <w:tab w:val="num" w:pos="360"/>
        </w:tabs>
        <w:ind w:left="360" w:hanging="360"/>
      </w:pPr>
      <w:rPr>
        <w:rFonts w:hint="default"/>
      </w:rPr>
    </w:lvl>
    <w:lvl w:ilvl="1">
      <w:start w:val="1"/>
      <w:numFmt w:val="lowerRoman"/>
      <w:pStyle w:val="Listnum2"/>
      <w:lvlText w:val="(%2)"/>
      <w:lvlJc w:val="left"/>
      <w:pPr>
        <w:tabs>
          <w:tab w:val="num" w:pos="864"/>
        </w:tabs>
        <w:ind w:left="720" w:hanging="360"/>
      </w:pPr>
      <w:rPr>
        <w:rFonts w:hint="default"/>
      </w:rPr>
    </w:lvl>
    <w:lvl w:ilvl="2">
      <w:start w:val="1"/>
      <w:numFmt w:val="decimal"/>
      <w:pStyle w:val="Heading1numbered"/>
      <w:lvlText w:val="%3."/>
      <w:lvlJc w:val="left"/>
      <w:pPr>
        <w:tabs>
          <w:tab w:val="num" w:pos="792"/>
        </w:tabs>
        <w:ind w:left="792" w:hanging="792"/>
      </w:pPr>
      <w:rPr>
        <w:rFonts w:hint="default"/>
      </w:rPr>
    </w:lvl>
    <w:lvl w:ilvl="3">
      <w:start w:val="1"/>
      <w:numFmt w:val="decimal"/>
      <w:pStyle w:val="Heading2numbered"/>
      <w:lvlText w:val="%3.%4"/>
      <w:lvlJc w:val="left"/>
      <w:pPr>
        <w:tabs>
          <w:tab w:val="num" w:pos="792"/>
        </w:tabs>
        <w:ind w:left="792" w:hanging="792"/>
      </w:pPr>
      <w:rPr>
        <w:rFonts w:hint="default"/>
      </w:rPr>
    </w:lvl>
    <w:lvl w:ilvl="4">
      <w:start w:val="1"/>
      <w:numFmt w:val="decimal"/>
      <w:pStyle w:val="Heading3numbered"/>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pStyle w:val="Listnumindent"/>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num w:numId="1">
    <w:abstractNumId w:val="4"/>
  </w:num>
  <w:num w:numId="2">
    <w:abstractNumId w:val="1"/>
  </w:num>
  <w:num w:numId="3">
    <w:abstractNumId w:val="3"/>
  </w:num>
  <w:num w:numId="4">
    <w:abstractNumId w:val="4"/>
  </w:num>
  <w:num w:numId="5">
    <w:abstractNumId w:val="0"/>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02D1B"/>
    <w:rsid w:val="000124A4"/>
    <w:rsid w:val="00012F6F"/>
    <w:rsid w:val="00014213"/>
    <w:rsid w:val="00014B55"/>
    <w:rsid w:val="00020E3E"/>
    <w:rsid w:val="00023BF3"/>
    <w:rsid w:val="00026811"/>
    <w:rsid w:val="00043296"/>
    <w:rsid w:val="0004356D"/>
    <w:rsid w:val="00045296"/>
    <w:rsid w:val="00050231"/>
    <w:rsid w:val="00050267"/>
    <w:rsid w:val="00061803"/>
    <w:rsid w:val="00075E6C"/>
    <w:rsid w:val="000B29AD"/>
    <w:rsid w:val="000C6372"/>
    <w:rsid w:val="000D593F"/>
    <w:rsid w:val="000E07D8"/>
    <w:rsid w:val="000E392D"/>
    <w:rsid w:val="000F4288"/>
    <w:rsid w:val="000F7165"/>
    <w:rsid w:val="00102379"/>
    <w:rsid w:val="001065D6"/>
    <w:rsid w:val="00116DFE"/>
    <w:rsid w:val="00121252"/>
    <w:rsid w:val="00124609"/>
    <w:rsid w:val="001254CE"/>
    <w:rsid w:val="00126AF9"/>
    <w:rsid w:val="00134CEA"/>
    <w:rsid w:val="00140F00"/>
    <w:rsid w:val="001422CC"/>
    <w:rsid w:val="001617B6"/>
    <w:rsid w:val="00163250"/>
    <w:rsid w:val="001638D0"/>
    <w:rsid w:val="00165E66"/>
    <w:rsid w:val="00167EAC"/>
    <w:rsid w:val="001A3DD1"/>
    <w:rsid w:val="001C7BAE"/>
    <w:rsid w:val="001D717E"/>
    <w:rsid w:val="001E31FA"/>
    <w:rsid w:val="001E64F6"/>
    <w:rsid w:val="001F5E1C"/>
    <w:rsid w:val="00202E8D"/>
    <w:rsid w:val="00215BEF"/>
    <w:rsid w:val="00216BAD"/>
    <w:rsid w:val="002224C7"/>
    <w:rsid w:val="00222BEB"/>
    <w:rsid w:val="00225E60"/>
    <w:rsid w:val="0023202C"/>
    <w:rsid w:val="00236203"/>
    <w:rsid w:val="00245043"/>
    <w:rsid w:val="00257760"/>
    <w:rsid w:val="00260334"/>
    <w:rsid w:val="00271AA0"/>
    <w:rsid w:val="00292D36"/>
    <w:rsid w:val="002968B2"/>
    <w:rsid w:val="00297281"/>
    <w:rsid w:val="002C54E0"/>
    <w:rsid w:val="002D30AB"/>
    <w:rsid w:val="002D711A"/>
    <w:rsid w:val="002D7336"/>
    <w:rsid w:val="002E3396"/>
    <w:rsid w:val="00303789"/>
    <w:rsid w:val="0031149C"/>
    <w:rsid w:val="00356081"/>
    <w:rsid w:val="00360793"/>
    <w:rsid w:val="003874ED"/>
    <w:rsid w:val="0038771C"/>
    <w:rsid w:val="00392A8F"/>
    <w:rsid w:val="0039405B"/>
    <w:rsid w:val="003A1C92"/>
    <w:rsid w:val="003A541A"/>
    <w:rsid w:val="003A6923"/>
    <w:rsid w:val="003C2C67"/>
    <w:rsid w:val="003C2EA2"/>
    <w:rsid w:val="003C5BA4"/>
    <w:rsid w:val="003E3E26"/>
    <w:rsid w:val="003F1295"/>
    <w:rsid w:val="003F76FC"/>
    <w:rsid w:val="004002EB"/>
    <w:rsid w:val="00402D1B"/>
    <w:rsid w:val="00405C57"/>
    <w:rsid w:val="00406F70"/>
    <w:rsid w:val="0041689E"/>
    <w:rsid w:val="004236C8"/>
    <w:rsid w:val="00427681"/>
    <w:rsid w:val="00433DB7"/>
    <w:rsid w:val="00453750"/>
    <w:rsid w:val="00456941"/>
    <w:rsid w:val="00463765"/>
    <w:rsid w:val="0046455E"/>
    <w:rsid w:val="004669E3"/>
    <w:rsid w:val="004702EA"/>
    <w:rsid w:val="00475FAF"/>
    <w:rsid w:val="00482D02"/>
    <w:rsid w:val="004A148C"/>
    <w:rsid w:val="004A7519"/>
    <w:rsid w:val="004B41CA"/>
    <w:rsid w:val="004D3518"/>
    <w:rsid w:val="004D62D6"/>
    <w:rsid w:val="004F6B20"/>
    <w:rsid w:val="005136F0"/>
    <w:rsid w:val="00527817"/>
    <w:rsid w:val="0053416C"/>
    <w:rsid w:val="00535CF7"/>
    <w:rsid w:val="00541C2F"/>
    <w:rsid w:val="00543156"/>
    <w:rsid w:val="005440DE"/>
    <w:rsid w:val="00561FCD"/>
    <w:rsid w:val="00563527"/>
    <w:rsid w:val="0058124E"/>
    <w:rsid w:val="00584301"/>
    <w:rsid w:val="005875A3"/>
    <w:rsid w:val="005A3416"/>
    <w:rsid w:val="005B27FE"/>
    <w:rsid w:val="005C3E6D"/>
    <w:rsid w:val="005C6681"/>
    <w:rsid w:val="005D3762"/>
    <w:rsid w:val="005E14B9"/>
    <w:rsid w:val="005E58B9"/>
    <w:rsid w:val="005E6113"/>
    <w:rsid w:val="005F61DF"/>
    <w:rsid w:val="006023F9"/>
    <w:rsid w:val="00610559"/>
    <w:rsid w:val="00624073"/>
    <w:rsid w:val="006332F6"/>
    <w:rsid w:val="006361E7"/>
    <w:rsid w:val="0064182A"/>
    <w:rsid w:val="00652625"/>
    <w:rsid w:val="006534B2"/>
    <w:rsid w:val="0065615D"/>
    <w:rsid w:val="00657011"/>
    <w:rsid w:val="006650B5"/>
    <w:rsid w:val="006651B1"/>
    <w:rsid w:val="00665778"/>
    <w:rsid w:val="006679D1"/>
    <w:rsid w:val="006738C4"/>
    <w:rsid w:val="00684F71"/>
    <w:rsid w:val="00685309"/>
    <w:rsid w:val="006A5B34"/>
    <w:rsid w:val="006A5F5B"/>
    <w:rsid w:val="006C2BFB"/>
    <w:rsid w:val="006C77A9"/>
    <w:rsid w:val="006F1D09"/>
    <w:rsid w:val="006F5B3D"/>
    <w:rsid w:val="006F6693"/>
    <w:rsid w:val="00704B47"/>
    <w:rsid w:val="00707FE8"/>
    <w:rsid w:val="00724962"/>
    <w:rsid w:val="00724A0F"/>
    <w:rsid w:val="0073072C"/>
    <w:rsid w:val="007320B4"/>
    <w:rsid w:val="00732162"/>
    <w:rsid w:val="00736732"/>
    <w:rsid w:val="00745A14"/>
    <w:rsid w:val="00750CBE"/>
    <w:rsid w:val="00766B5A"/>
    <w:rsid w:val="007834F2"/>
    <w:rsid w:val="00790515"/>
    <w:rsid w:val="007909B1"/>
    <w:rsid w:val="00791020"/>
    <w:rsid w:val="007A5F82"/>
    <w:rsid w:val="007B75A4"/>
    <w:rsid w:val="007D6F7D"/>
    <w:rsid w:val="007F1A4C"/>
    <w:rsid w:val="008022C3"/>
    <w:rsid w:val="008041E6"/>
    <w:rsid w:val="008051F3"/>
    <w:rsid w:val="008065D2"/>
    <w:rsid w:val="0082194C"/>
    <w:rsid w:val="008220C4"/>
    <w:rsid w:val="008222FF"/>
    <w:rsid w:val="008241FF"/>
    <w:rsid w:val="008411E9"/>
    <w:rsid w:val="0084200F"/>
    <w:rsid w:val="00843B2C"/>
    <w:rsid w:val="008471C4"/>
    <w:rsid w:val="008A4900"/>
    <w:rsid w:val="008C592F"/>
    <w:rsid w:val="008D0281"/>
    <w:rsid w:val="008D74A7"/>
    <w:rsid w:val="008E3C4E"/>
    <w:rsid w:val="008F4B6E"/>
    <w:rsid w:val="008F6D45"/>
    <w:rsid w:val="0092358A"/>
    <w:rsid w:val="009438DA"/>
    <w:rsid w:val="00972D66"/>
    <w:rsid w:val="009834C0"/>
    <w:rsid w:val="00984C95"/>
    <w:rsid w:val="00986AAC"/>
    <w:rsid w:val="00992244"/>
    <w:rsid w:val="009A1DA2"/>
    <w:rsid w:val="009A2701"/>
    <w:rsid w:val="009A3704"/>
    <w:rsid w:val="009A4739"/>
    <w:rsid w:val="009A674F"/>
    <w:rsid w:val="009B199C"/>
    <w:rsid w:val="009B54C8"/>
    <w:rsid w:val="009B61F1"/>
    <w:rsid w:val="009B62E0"/>
    <w:rsid w:val="009C3D88"/>
    <w:rsid w:val="009C3DFD"/>
    <w:rsid w:val="009D1C63"/>
    <w:rsid w:val="009D2029"/>
    <w:rsid w:val="009D6EDF"/>
    <w:rsid w:val="009E3858"/>
    <w:rsid w:val="009E70DD"/>
    <w:rsid w:val="009F2ED9"/>
    <w:rsid w:val="009F3231"/>
    <w:rsid w:val="009F5C58"/>
    <w:rsid w:val="00A023A0"/>
    <w:rsid w:val="00A1562B"/>
    <w:rsid w:val="00A16213"/>
    <w:rsid w:val="00A170F4"/>
    <w:rsid w:val="00A2559E"/>
    <w:rsid w:val="00A25FD9"/>
    <w:rsid w:val="00A27580"/>
    <w:rsid w:val="00A46BA8"/>
    <w:rsid w:val="00A47634"/>
    <w:rsid w:val="00A612FE"/>
    <w:rsid w:val="00A80504"/>
    <w:rsid w:val="00AA26B8"/>
    <w:rsid w:val="00AA6FB5"/>
    <w:rsid w:val="00AA7AD8"/>
    <w:rsid w:val="00AB3FE2"/>
    <w:rsid w:val="00AC4A12"/>
    <w:rsid w:val="00AD3322"/>
    <w:rsid w:val="00AD7E4E"/>
    <w:rsid w:val="00AF34DE"/>
    <w:rsid w:val="00AF4D58"/>
    <w:rsid w:val="00AF6666"/>
    <w:rsid w:val="00B10154"/>
    <w:rsid w:val="00B50E32"/>
    <w:rsid w:val="00B64CBC"/>
    <w:rsid w:val="00B81B44"/>
    <w:rsid w:val="00B9053B"/>
    <w:rsid w:val="00B91E24"/>
    <w:rsid w:val="00BB03AB"/>
    <w:rsid w:val="00BB363C"/>
    <w:rsid w:val="00BC286B"/>
    <w:rsid w:val="00BC3422"/>
    <w:rsid w:val="00BF2C60"/>
    <w:rsid w:val="00C015B9"/>
    <w:rsid w:val="00C022F9"/>
    <w:rsid w:val="00C032EA"/>
    <w:rsid w:val="00C06EB5"/>
    <w:rsid w:val="00C1145F"/>
    <w:rsid w:val="00C13BEC"/>
    <w:rsid w:val="00C14640"/>
    <w:rsid w:val="00C637E1"/>
    <w:rsid w:val="00C70D50"/>
    <w:rsid w:val="00C72838"/>
    <w:rsid w:val="00C8243E"/>
    <w:rsid w:val="00C84A85"/>
    <w:rsid w:val="00C907D7"/>
    <w:rsid w:val="00C92338"/>
    <w:rsid w:val="00C953CC"/>
    <w:rsid w:val="00CA2852"/>
    <w:rsid w:val="00CA7C3A"/>
    <w:rsid w:val="00CC1DCC"/>
    <w:rsid w:val="00CC2DB2"/>
    <w:rsid w:val="00CD0307"/>
    <w:rsid w:val="00CD3D1B"/>
    <w:rsid w:val="00CE62B3"/>
    <w:rsid w:val="00CF7DCA"/>
    <w:rsid w:val="00D211E9"/>
    <w:rsid w:val="00D2312F"/>
    <w:rsid w:val="00D269C1"/>
    <w:rsid w:val="00D35545"/>
    <w:rsid w:val="00D41AD9"/>
    <w:rsid w:val="00D44953"/>
    <w:rsid w:val="00D542F3"/>
    <w:rsid w:val="00D543E5"/>
    <w:rsid w:val="00D5644B"/>
    <w:rsid w:val="00D56E25"/>
    <w:rsid w:val="00D71896"/>
    <w:rsid w:val="00D718D7"/>
    <w:rsid w:val="00D73212"/>
    <w:rsid w:val="00D814B7"/>
    <w:rsid w:val="00D90688"/>
    <w:rsid w:val="00DA3AAD"/>
    <w:rsid w:val="00DA77D2"/>
    <w:rsid w:val="00DB312B"/>
    <w:rsid w:val="00DC5654"/>
    <w:rsid w:val="00DC658F"/>
    <w:rsid w:val="00DE60CC"/>
    <w:rsid w:val="00E26B32"/>
    <w:rsid w:val="00E31444"/>
    <w:rsid w:val="00E3254C"/>
    <w:rsid w:val="00E407B6"/>
    <w:rsid w:val="00E41EF1"/>
    <w:rsid w:val="00E42942"/>
    <w:rsid w:val="00E468A6"/>
    <w:rsid w:val="00E7104E"/>
    <w:rsid w:val="00E71BDF"/>
    <w:rsid w:val="00E779CA"/>
    <w:rsid w:val="00E83CA7"/>
    <w:rsid w:val="00EA1691"/>
    <w:rsid w:val="00EA2DB5"/>
    <w:rsid w:val="00EC046E"/>
    <w:rsid w:val="00EC171D"/>
    <w:rsid w:val="00ED487E"/>
    <w:rsid w:val="00EE7A0D"/>
    <w:rsid w:val="00EF0D21"/>
    <w:rsid w:val="00F05099"/>
    <w:rsid w:val="00F17CE1"/>
    <w:rsid w:val="00F2115C"/>
    <w:rsid w:val="00F22ABA"/>
    <w:rsid w:val="00F36B12"/>
    <w:rsid w:val="00F417C3"/>
    <w:rsid w:val="00F45154"/>
    <w:rsid w:val="00F60F9F"/>
    <w:rsid w:val="00F6421B"/>
    <w:rsid w:val="00F64F08"/>
    <w:rsid w:val="00F734F5"/>
    <w:rsid w:val="00F86B17"/>
    <w:rsid w:val="00F966B1"/>
    <w:rsid w:val="00F97D48"/>
    <w:rsid w:val="00FA0311"/>
    <w:rsid w:val="00FB6486"/>
    <w:rsid w:val="00FC42E5"/>
    <w:rsid w:val="00FD640F"/>
    <w:rsid w:val="00FD6B4C"/>
    <w:rsid w:val="00FD6BE9"/>
    <w:rsid w:val="00FE12DF"/>
    <w:rsid w:val="00FF4E99"/>
    <w:rsid w:val="00FF5B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3216137"/>
  <w15:docId w15:val="{0DE790C4-FE9B-44E3-AFDF-D945F0BB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unhideWhenUsed="1"/>
    <w:lsdException w:name="index 2"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8" w:unhideWhenUsed="1" w:qFormat="1"/>
    <w:lsdException w:name="footnote text" w:semiHidden="1" w:unhideWhenUsed="1"/>
    <w:lsdException w:name="annotation text" w:semiHidden="1" w:unhideWhenUsed="1"/>
    <w:lsdException w:name="header" w:uiPriority="24" w:unhideWhenUsed="1"/>
    <w:lsdException w:name="footer" w:unhideWhenUsed="1"/>
    <w:lsdException w:name="index heading"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lsdException w:name="Closing" w:semiHidden="1" w:unhideWhenUsed="1"/>
    <w:lsdException w:name="Signature" w:semiHidden="1" w:unhideWhenUsed="1"/>
    <w:lsdException w:name="Default Paragraph Font" w:semiHidden="1" w:uiPriority="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02D1B"/>
    <w:pPr>
      <w:spacing w:before="160" w:after="100"/>
    </w:pPr>
    <w:rPr>
      <w:spacing w:val="2"/>
    </w:rPr>
  </w:style>
  <w:style w:type="paragraph" w:styleId="Heading1">
    <w:name w:val="heading 1"/>
    <w:next w:val="Normal"/>
    <w:link w:val="Heading1Char"/>
    <w:uiPriority w:val="3"/>
    <w:qFormat/>
    <w:rsid w:val="00DA77D2"/>
    <w:pPr>
      <w:keepNext/>
      <w:keepLines/>
      <w:spacing w:before="600" w:after="300"/>
      <w:outlineLvl w:val="0"/>
    </w:pPr>
    <w:rPr>
      <w:rFonts w:asciiTheme="majorHAnsi" w:eastAsiaTheme="majorEastAsia" w:hAnsiTheme="majorHAnsi" w:cstheme="majorBidi"/>
      <w:b/>
      <w:bCs/>
      <w:color w:val="53565A"/>
      <w:spacing w:val="-1"/>
      <w:sz w:val="36"/>
      <w:szCs w:val="28"/>
    </w:rPr>
  </w:style>
  <w:style w:type="paragraph" w:styleId="Heading2">
    <w:name w:val="heading 2"/>
    <w:basedOn w:val="Normal"/>
    <w:next w:val="Normal"/>
    <w:link w:val="Heading2Char"/>
    <w:uiPriority w:val="3"/>
    <w:qFormat/>
    <w:rsid w:val="009D1C63"/>
    <w:pPr>
      <w:keepNext/>
      <w:keepLines/>
      <w:spacing w:before="280" w:after="240"/>
      <w:outlineLvl w:val="1"/>
    </w:pPr>
    <w:rPr>
      <w:rFonts w:asciiTheme="majorHAnsi" w:eastAsiaTheme="majorEastAsia" w:hAnsiTheme="majorHAnsi" w:cstheme="majorBidi"/>
      <w:b/>
      <w:bCs/>
      <w:color w:val="53565A"/>
      <w:sz w:val="28"/>
      <w:szCs w:val="26"/>
    </w:rPr>
  </w:style>
  <w:style w:type="paragraph" w:styleId="Heading3">
    <w:name w:val="heading 3"/>
    <w:basedOn w:val="Normal"/>
    <w:next w:val="Normal"/>
    <w:link w:val="Heading3Char"/>
    <w:uiPriority w:val="3"/>
    <w:qFormat/>
    <w:rsid w:val="009D1C63"/>
    <w:pPr>
      <w:keepNext/>
      <w:keepLines/>
      <w:spacing w:before="240" w:after="120"/>
      <w:outlineLvl w:val="2"/>
    </w:pPr>
    <w:rPr>
      <w:rFonts w:asciiTheme="majorHAnsi" w:eastAsiaTheme="majorEastAsia" w:hAnsiTheme="majorHAnsi" w:cstheme="majorBidi"/>
      <w:b/>
      <w:bCs/>
      <w:color w:val="81119B" w:themeColor="accent1"/>
      <w:sz w:val="22"/>
      <w:szCs w:val="22"/>
    </w:rPr>
  </w:style>
  <w:style w:type="paragraph" w:styleId="Heading4">
    <w:name w:val="heading 4"/>
    <w:basedOn w:val="Normal"/>
    <w:next w:val="Normal"/>
    <w:link w:val="Heading4Char"/>
    <w:qFormat/>
    <w:rsid w:val="009D1C63"/>
    <w:pPr>
      <w:keepNext/>
      <w:keepLines/>
      <w:spacing w:before="200" w:after="0"/>
      <w:outlineLvl w:val="3"/>
    </w:pPr>
    <w:rPr>
      <w:rFonts w:asciiTheme="majorHAnsi" w:eastAsiaTheme="majorEastAsia" w:hAnsiTheme="majorHAnsi" w:cstheme="majorBidi"/>
      <w:b/>
      <w:bCs/>
      <w:iCs/>
      <w:color w:val="53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9D1C63"/>
    <w:pPr>
      <w:spacing w:after="0" w:line="240" w:lineRule="auto"/>
    </w:pPr>
    <w:rPr>
      <w:color w:val="4C084D" w:themeColor="text1" w:themeShade="BF"/>
    </w:rPr>
    <w:tblPr>
      <w:tblStyleRowBandSize w:val="1"/>
      <w:tblStyleColBandSize w:val="1"/>
      <w:tblBorders>
        <w:top w:val="single" w:sz="8" w:space="0" w:color="660B68" w:themeColor="text1"/>
        <w:bottom w:val="single" w:sz="8" w:space="0" w:color="660B68" w:themeColor="text1"/>
      </w:tblBorders>
    </w:tblPr>
    <w:tblStylePr w:type="firstRow">
      <w:pPr>
        <w:spacing w:before="0" w:after="0" w:line="240" w:lineRule="auto"/>
      </w:pPr>
      <w:rPr>
        <w:b/>
        <w:bCs/>
      </w:rPr>
      <w:tblPr/>
      <w:tcPr>
        <w:tcBorders>
          <w:top w:val="single" w:sz="8" w:space="0" w:color="660B68" w:themeColor="text1"/>
          <w:left w:val="nil"/>
          <w:bottom w:val="single" w:sz="8" w:space="0" w:color="660B68" w:themeColor="text1"/>
          <w:right w:val="nil"/>
          <w:insideH w:val="nil"/>
          <w:insideV w:val="nil"/>
        </w:tcBorders>
      </w:tcPr>
    </w:tblStylePr>
    <w:tblStylePr w:type="lastRow">
      <w:pPr>
        <w:spacing w:before="0" w:after="0" w:line="240" w:lineRule="auto"/>
      </w:pPr>
      <w:rPr>
        <w:b/>
        <w:bCs/>
      </w:rPr>
      <w:tblPr/>
      <w:tcPr>
        <w:tcBorders>
          <w:top w:val="single" w:sz="8" w:space="0" w:color="660B68" w:themeColor="text1"/>
          <w:left w:val="nil"/>
          <w:bottom w:val="single" w:sz="8" w:space="0" w:color="660B68"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A6F5" w:themeFill="text1" w:themeFillTint="3F"/>
      </w:tcPr>
    </w:tblStylePr>
    <w:tblStylePr w:type="band1Horz">
      <w:tblPr/>
      <w:tcPr>
        <w:tcBorders>
          <w:left w:val="nil"/>
          <w:right w:val="nil"/>
          <w:insideH w:val="nil"/>
          <w:insideV w:val="nil"/>
        </w:tcBorders>
        <w:shd w:val="clear" w:color="auto" w:fill="F3A6F5" w:themeFill="text1" w:themeFillTint="3F"/>
      </w:tcPr>
    </w:tblStylePr>
  </w:style>
  <w:style w:type="table" w:styleId="TableGrid">
    <w:name w:val="Table Grid"/>
    <w:basedOn w:val="TableNormal"/>
    <w:uiPriority w:val="59"/>
    <w:rsid w:val="009D1C63"/>
    <w:pPr>
      <w:spacing w:before="20" w:after="20" w:line="240" w:lineRule="auto"/>
      <w:jc w:val="right"/>
    </w:pPr>
    <w:rPr>
      <w:rFonts w:eastAsiaTheme="minorHAnsi"/>
      <w:spacing w:val="2"/>
      <w:sz w:val="17"/>
      <w:szCs w:val="21"/>
      <w:lang w:eastAsia="en-US"/>
    </w:rPr>
    <w:tblPr>
      <w:tblStyleColBandSize w:val="1"/>
      <w:tblBorders>
        <w:bottom w:val="single" w:sz="12" w:space="0" w:color="81119B" w:themeColor="accent1"/>
      </w:tblBorders>
      <w:tblCellMar>
        <w:left w:w="57" w:type="dxa"/>
        <w:right w:w="57" w:type="dxa"/>
      </w:tblCellMar>
    </w:tblPr>
    <w:tblStylePr w:type="firstRow">
      <w:pPr>
        <w:keepNext/>
        <w:keepLines/>
        <w:widowControl/>
        <w:wordWrap/>
        <w:spacing w:beforeLines="0" w:before="120" w:beforeAutospacing="0" w:afterLines="0" w:after="30" w:afterAutospacing="0"/>
        <w:jc w:val="left"/>
      </w:pPr>
      <w:rPr>
        <w:i w:val="0"/>
        <w:color w:val="FFFFFF" w:themeColor="background1"/>
      </w:rPr>
      <w:tblPr/>
      <w:trPr>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StylePr>
    <w:tblStylePr w:type="band1Vert">
      <w:pPr>
        <w:jc w:val="right"/>
      </w:pPr>
    </w:tblStylePr>
    <w:tblStylePr w:type="band2Vert">
      <w:pPr>
        <w:jc w:val="right"/>
      </w:pPr>
    </w:tblStylePr>
  </w:style>
  <w:style w:type="table" w:styleId="LightList-Accent4">
    <w:name w:val="Light List Accent 4"/>
    <w:basedOn w:val="TableNormal"/>
    <w:uiPriority w:val="61"/>
    <w:rsid w:val="009D1C63"/>
    <w:pPr>
      <w:spacing w:after="0" w:line="240" w:lineRule="auto"/>
    </w:pPr>
    <w:tblPr>
      <w:tblStyleRowBandSize w:val="1"/>
      <w:tblStyleColBandSize w:val="1"/>
      <w:tblBorders>
        <w:top w:val="single" w:sz="8" w:space="0" w:color="CB1B56" w:themeColor="accent4"/>
        <w:left w:val="single" w:sz="8" w:space="0" w:color="CB1B56" w:themeColor="accent4"/>
        <w:bottom w:val="single" w:sz="8" w:space="0" w:color="CB1B56" w:themeColor="accent4"/>
        <w:right w:val="single" w:sz="8" w:space="0" w:color="CB1B56" w:themeColor="accent4"/>
      </w:tblBorders>
    </w:tblPr>
    <w:tblStylePr w:type="firstRow">
      <w:pPr>
        <w:spacing w:before="0" w:after="0" w:line="240" w:lineRule="auto"/>
      </w:pPr>
      <w:rPr>
        <w:b/>
        <w:bCs/>
        <w:color w:val="FFFFFF" w:themeColor="background1"/>
      </w:rPr>
      <w:tblPr/>
      <w:tcPr>
        <w:shd w:val="clear" w:color="auto" w:fill="CB1B56" w:themeFill="accent4"/>
      </w:tcPr>
    </w:tblStylePr>
    <w:tblStylePr w:type="lastRow">
      <w:pPr>
        <w:spacing w:before="0" w:after="0" w:line="240" w:lineRule="auto"/>
      </w:pPr>
      <w:rPr>
        <w:b/>
        <w:bCs/>
      </w:rPr>
      <w:tblPr/>
      <w:tcPr>
        <w:tcBorders>
          <w:top w:val="double" w:sz="6" w:space="0" w:color="CB1B56" w:themeColor="accent4"/>
          <w:left w:val="single" w:sz="8" w:space="0" w:color="CB1B56" w:themeColor="accent4"/>
          <w:bottom w:val="single" w:sz="8" w:space="0" w:color="CB1B56" w:themeColor="accent4"/>
          <w:right w:val="single" w:sz="8" w:space="0" w:color="CB1B56" w:themeColor="accent4"/>
        </w:tcBorders>
      </w:tcPr>
    </w:tblStylePr>
    <w:tblStylePr w:type="firstCol">
      <w:rPr>
        <w:b/>
        <w:bCs/>
      </w:rPr>
    </w:tblStylePr>
    <w:tblStylePr w:type="lastCol">
      <w:rPr>
        <w:b/>
        <w:bCs/>
      </w:rPr>
    </w:tblStylePr>
    <w:tblStylePr w:type="band1Vert">
      <w:tblPr/>
      <w:tcPr>
        <w:tcBorders>
          <w:top w:val="single" w:sz="8" w:space="0" w:color="CB1B56" w:themeColor="accent4"/>
          <w:left w:val="single" w:sz="8" w:space="0" w:color="CB1B56" w:themeColor="accent4"/>
          <w:bottom w:val="single" w:sz="8" w:space="0" w:color="CB1B56" w:themeColor="accent4"/>
          <w:right w:val="single" w:sz="8" w:space="0" w:color="CB1B56" w:themeColor="accent4"/>
        </w:tcBorders>
      </w:tcPr>
    </w:tblStylePr>
    <w:tblStylePr w:type="band1Horz">
      <w:tblPr/>
      <w:tcPr>
        <w:tcBorders>
          <w:top w:val="single" w:sz="8" w:space="0" w:color="CB1B56" w:themeColor="accent4"/>
          <w:left w:val="single" w:sz="8" w:space="0" w:color="CB1B56" w:themeColor="accent4"/>
          <w:bottom w:val="single" w:sz="8" w:space="0" w:color="CB1B56" w:themeColor="accent4"/>
          <w:right w:val="single" w:sz="8" w:space="0" w:color="CB1B56" w:themeColor="accent4"/>
        </w:tcBorders>
      </w:tcPr>
    </w:tblStylePr>
  </w:style>
  <w:style w:type="table" w:styleId="LightList-Accent1">
    <w:name w:val="Light List Accent 1"/>
    <w:basedOn w:val="TableNormal"/>
    <w:uiPriority w:val="61"/>
    <w:rsid w:val="009D1C63"/>
    <w:pPr>
      <w:spacing w:after="0" w:line="240" w:lineRule="auto"/>
    </w:pPr>
    <w:tblPr>
      <w:tblStyleRowBandSize w:val="1"/>
      <w:tblStyleColBandSize w:val="1"/>
      <w:tblBorders>
        <w:top w:val="single" w:sz="8" w:space="0" w:color="81119B" w:themeColor="accent1"/>
        <w:left w:val="single" w:sz="8" w:space="0" w:color="81119B" w:themeColor="accent1"/>
        <w:bottom w:val="single" w:sz="8" w:space="0" w:color="81119B" w:themeColor="accent1"/>
        <w:right w:val="single" w:sz="8" w:space="0" w:color="81119B" w:themeColor="accent1"/>
      </w:tblBorders>
    </w:tblPr>
    <w:tblStylePr w:type="firstRow">
      <w:pPr>
        <w:spacing w:before="0" w:after="0" w:line="240" w:lineRule="auto"/>
      </w:pPr>
      <w:rPr>
        <w:b/>
        <w:bCs/>
        <w:color w:val="FFFFFF" w:themeColor="background1"/>
      </w:rPr>
      <w:tblPr/>
      <w:tcPr>
        <w:shd w:val="clear" w:color="auto" w:fill="81119B" w:themeFill="accent1"/>
      </w:tcPr>
    </w:tblStylePr>
    <w:tblStylePr w:type="lastRow">
      <w:pPr>
        <w:spacing w:before="0" w:after="0" w:line="240" w:lineRule="auto"/>
      </w:pPr>
      <w:rPr>
        <w:b/>
        <w:bCs/>
      </w:rPr>
      <w:tblPr/>
      <w:tcPr>
        <w:tcBorders>
          <w:top w:val="double" w:sz="6" w:space="0" w:color="81119B" w:themeColor="accent1"/>
          <w:left w:val="single" w:sz="8" w:space="0" w:color="81119B" w:themeColor="accent1"/>
          <w:bottom w:val="single" w:sz="8" w:space="0" w:color="81119B" w:themeColor="accent1"/>
          <w:right w:val="single" w:sz="8" w:space="0" w:color="81119B" w:themeColor="accent1"/>
        </w:tcBorders>
      </w:tcPr>
    </w:tblStylePr>
    <w:tblStylePr w:type="firstCol">
      <w:rPr>
        <w:b/>
        <w:bCs/>
      </w:rPr>
    </w:tblStylePr>
    <w:tblStylePr w:type="lastCol">
      <w:rPr>
        <w:b/>
        <w:bCs/>
      </w:rPr>
    </w:tblStylePr>
    <w:tblStylePr w:type="band1Vert">
      <w:tblPr/>
      <w:tcPr>
        <w:tcBorders>
          <w:top w:val="single" w:sz="8" w:space="0" w:color="81119B" w:themeColor="accent1"/>
          <w:left w:val="single" w:sz="8" w:space="0" w:color="81119B" w:themeColor="accent1"/>
          <w:bottom w:val="single" w:sz="8" w:space="0" w:color="81119B" w:themeColor="accent1"/>
          <w:right w:val="single" w:sz="8" w:space="0" w:color="81119B" w:themeColor="accent1"/>
        </w:tcBorders>
      </w:tcPr>
    </w:tblStylePr>
    <w:tblStylePr w:type="band1Horz">
      <w:tblPr/>
      <w:tcPr>
        <w:tcBorders>
          <w:top w:val="single" w:sz="8" w:space="0" w:color="81119B" w:themeColor="accent1"/>
          <w:left w:val="single" w:sz="8" w:space="0" w:color="81119B" w:themeColor="accent1"/>
          <w:bottom w:val="single" w:sz="8" w:space="0" w:color="81119B" w:themeColor="accent1"/>
          <w:right w:val="single" w:sz="8" w:space="0" w:color="81119B" w:themeColor="accent1"/>
        </w:tcBorders>
      </w:tcPr>
    </w:tblStylePr>
  </w:style>
  <w:style w:type="paragraph" w:styleId="TOC1">
    <w:name w:val="toc 1"/>
    <w:basedOn w:val="Normal"/>
    <w:next w:val="Normal"/>
    <w:uiPriority w:val="39"/>
    <w:rsid w:val="009D1C63"/>
    <w:pPr>
      <w:tabs>
        <w:tab w:val="right" w:leader="dot" w:pos="8730"/>
      </w:tabs>
      <w:ind w:right="432"/>
    </w:pPr>
    <w:rPr>
      <w:noProof/>
      <w:sz w:val="24"/>
      <w:szCs w:val="24"/>
    </w:rPr>
  </w:style>
  <w:style w:type="paragraph" w:styleId="TOC2">
    <w:name w:val="toc 2"/>
    <w:next w:val="Normal"/>
    <w:uiPriority w:val="39"/>
    <w:rsid w:val="009D1C63"/>
    <w:pPr>
      <w:tabs>
        <w:tab w:val="right" w:leader="dot" w:pos="8730"/>
      </w:tabs>
      <w:spacing w:after="100"/>
      <w:ind w:left="446" w:right="432"/>
      <w:contextualSpacing/>
    </w:pPr>
    <w:rPr>
      <w:noProof/>
      <w:spacing w:val="2"/>
    </w:rPr>
  </w:style>
  <w:style w:type="paragraph" w:styleId="TOC3">
    <w:name w:val="toc 3"/>
    <w:basedOn w:val="Normal"/>
    <w:next w:val="Normal"/>
    <w:uiPriority w:val="39"/>
    <w:rsid w:val="009D1C63"/>
    <w:pPr>
      <w:tabs>
        <w:tab w:val="right" w:leader="dot" w:pos="8730"/>
      </w:tabs>
      <w:spacing w:before="0"/>
      <w:ind w:left="1080" w:right="432"/>
      <w:contextualSpacing/>
    </w:pPr>
    <w:rPr>
      <w:noProof/>
      <w:sz w:val="18"/>
      <w:szCs w:val="18"/>
    </w:rPr>
  </w:style>
  <w:style w:type="paragraph" w:styleId="Index1">
    <w:name w:val="index 1"/>
    <w:basedOn w:val="Normal"/>
    <w:next w:val="Normal"/>
    <w:uiPriority w:val="99"/>
    <w:semiHidden/>
    <w:rsid w:val="009D1C63"/>
    <w:pPr>
      <w:spacing w:after="60" w:line="240" w:lineRule="auto"/>
    </w:pPr>
    <w:rPr>
      <w:sz w:val="16"/>
    </w:rPr>
  </w:style>
  <w:style w:type="paragraph" w:styleId="Index2">
    <w:name w:val="index 2"/>
    <w:basedOn w:val="Normal"/>
    <w:next w:val="Normal"/>
    <w:uiPriority w:val="99"/>
    <w:semiHidden/>
    <w:rsid w:val="009D1C63"/>
    <w:pPr>
      <w:spacing w:after="0" w:line="240" w:lineRule="auto"/>
      <w:ind w:left="216"/>
    </w:pPr>
    <w:rPr>
      <w:sz w:val="16"/>
      <w:szCs w:val="16"/>
    </w:rPr>
  </w:style>
  <w:style w:type="character" w:styleId="Hyperlink">
    <w:name w:val="Hyperlink"/>
    <w:basedOn w:val="DefaultParagraphFont"/>
    <w:uiPriority w:val="99"/>
    <w:rsid w:val="009D1C63"/>
    <w:rPr>
      <w:color w:val="81119B" w:themeColor="accent1"/>
      <w:u w:val="none"/>
    </w:rPr>
  </w:style>
  <w:style w:type="character" w:customStyle="1" w:styleId="Heading1Char">
    <w:name w:val="Heading 1 Char"/>
    <w:basedOn w:val="DefaultParagraphFont"/>
    <w:link w:val="Heading1"/>
    <w:rsid w:val="00DA77D2"/>
    <w:rPr>
      <w:rFonts w:asciiTheme="majorHAnsi" w:eastAsiaTheme="majorEastAsia" w:hAnsiTheme="majorHAnsi" w:cstheme="majorBidi"/>
      <w:b/>
      <w:bCs/>
      <w:color w:val="53565A"/>
      <w:spacing w:val="-1"/>
      <w:sz w:val="36"/>
      <w:szCs w:val="28"/>
    </w:rPr>
  </w:style>
  <w:style w:type="character" w:customStyle="1" w:styleId="Heading2Char">
    <w:name w:val="Heading 2 Char"/>
    <w:basedOn w:val="DefaultParagraphFont"/>
    <w:link w:val="Heading2"/>
    <w:rsid w:val="009D1C63"/>
    <w:rPr>
      <w:rFonts w:asciiTheme="majorHAnsi" w:eastAsiaTheme="majorEastAsia" w:hAnsiTheme="majorHAnsi" w:cstheme="majorBidi"/>
      <w:b/>
      <w:bCs/>
      <w:color w:val="53565A"/>
      <w:spacing w:val="2"/>
      <w:sz w:val="28"/>
      <w:szCs w:val="26"/>
    </w:rPr>
  </w:style>
  <w:style w:type="paragraph" w:customStyle="1" w:styleId="Bullet1">
    <w:name w:val="Bullet 1"/>
    <w:uiPriority w:val="1"/>
    <w:qFormat/>
    <w:rsid w:val="009D1C63"/>
    <w:pPr>
      <w:numPr>
        <w:numId w:val="2"/>
      </w:numPr>
      <w:spacing w:before="100" w:after="100" w:line="240" w:lineRule="auto"/>
      <w:contextualSpacing/>
    </w:pPr>
    <w:rPr>
      <w:rFonts w:eastAsia="Times New Roman" w:cs="Calibri"/>
      <w:spacing w:val="2"/>
    </w:rPr>
  </w:style>
  <w:style w:type="paragraph" w:customStyle="1" w:styleId="Bullet2">
    <w:name w:val="Bullet 2"/>
    <w:basedOn w:val="Bullet1"/>
    <w:uiPriority w:val="1"/>
    <w:qFormat/>
    <w:rsid w:val="009D1C63"/>
    <w:pPr>
      <w:numPr>
        <w:ilvl w:val="1"/>
      </w:numPr>
    </w:pPr>
  </w:style>
  <w:style w:type="paragraph" w:customStyle="1" w:styleId="Bulletindent">
    <w:name w:val="Bullet indent"/>
    <w:basedOn w:val="Bullet2"/>
    <w:uiPriority w:val="9"/>
    <w:qFormat/>
    <w:rsid w:val="009D1C63"/>
    <w:pPr>
      <w:numPr>
        <w:ilvl w:val="2"/>
      </w:numPr>
    </w:pPr>
  </w:style>
  <w:style w:type="paragraph" w:customStyle="1" w:styleId="Heading1numbered">
    <w:name w:val="Heading 1 numbered"/>
    <w:basedOn w:val="Heading1"/>
    <w:next w:val="NormalIndent"/>
    <w:uiPriority w:val="8"/>
    <w:qFormat/>
    <w:rsid w:val="009D1C63"/>
    <w:pPr>
      <w:numPr>
        <w:ilvl w:val="2"/>
        <w:numId w:val="4"/>
      </w:numPr>
    </w:pPr>
  </w:style>
  <w:style w:type="paragraph" w:customStyle="1" w:styleId="Heading2numbered">
    <w:name w:val="Heading 2 numbered"/>
    <w:basedOn w:val="Heading2"/>
    <w:next w:val="NormalIndent"/>
    <w:uiPriority w:val="8"/>
    <w:qFormat/>
    <w:rsid w:val="009D1C63"/>
    <w:pPr>
      <w:numPr>
        <w:ilvl w:val="3"/>
        <w:numId w:val="4"/>
      </w:numPr>
    </w:pPr>
  </w:style>
  <w:style w:type="paragraph" w:customStyle="1" w:styleId="Heading3numbered">
    <w:name w:val="Heading 3 numbered"/>
    <w:basedOn w:val="Heading3"/>
    <w:next w:val="NormalIndent"/>
    <w:uiPriority w:val="8"/>
    <w:qFormat/>
    <w:rsid w:val="009D1C63"/>
    <w:pPr>
      <w:numPr>
        <w:ilvl w:val="4"/>
        <w:numId w:val="4"/>
      </w:numPr>
    </w:pPr>
  </w:style>
  <w:style w:type="character" w:customStyle="1" w:styleId="Heading3Char">
    <w:name w:val="Heading 3 Char"/>
    <w:basedOn w:val="DefaultParagraphFont"/>
    <w:link w:val="Heading3"/>
    <w:rsid w:val="009D1C63"/>
    <w:rPr>
      <w:rFonts w:asciiTheme="majorHAnsi" w:eastAsiaTheme="majorEastAsia" w:hAnsiTheme="majorHAnsi" w:cstheme="majorBidi"/>
      <w:b/>
      <w:bCs/>
      <w:color w:val="81119B" w:themeColor="accent1"/>
      <w:spacing w:val="2"/>
      <w:sz w:val="22"/>
      <w:szCs w:val="22"/>
    </w:rPr>
  </w:style>
  <w:style w:type="paragraph" w:customStyle="1" w:styleId="Heading4numbered">
    <w:name w:val="Heading 4 numbered"/>
    <w:basedOn w:val="Heading4"/>
    <w:next w:val="NormalIndent"/>
    <w:uiPriority w:val="8"/>
    <w:qFormat/>
    <w:rsid w:val="009D1C63"/>
    <w:pPr>
      <w:numPr>
        <w:ilvl w:val="5"/>
        <w:numId w:val="4"/>
      </w:numPr>
    </w:pPr>
  </w:style>
  <w:style w:type="character" w:customStyle="1" w:styleId="Heading4Char">
    <w:name w:val="Heading 4 Char"/>
    <w:basedOn w:val="DefaultParagraphFont"/>
    <w:link w:val="Heading4"/>
    <w:rsid w:val="009D1C63"/>
    <w:rPr>
      <w:rFonts w:asciiTheme="majorHAnsi" w:eastAsiaTheme="majorEastAsia" w:hAnsiTheme="majorHAnsi" w:cstheme="majorBidi"/>
      <w:b/>
      <w:bCs/>
      <w:iCs/>
      <w:color w:val="53565A"/>
      <w:spacing w:val="2"/>
    </w:rPr>
  </w:style>
  <w:style w:type="paragraph" w:styleId="NormalIndent">
    <w:name w:val="Normal Indent"/>
    <w:basedOn w:val="Normal"/>
    <w:uiPriority w:val="8"/>
    <w:qFormat/>
    <w:rsid w:val="009D1C63"/>
    <w:pPr>
      <w:spacing w:line="252" w:lineRule="auto"/>
      <w:ind w:left="792"/>
    </w:pPr>
  </w:style>
  <w:style w:type="paragraph" w:customStyle="1" w:styleId="NoteNormal">
    <w:name w:val="Note Normal"/>
    <w:basedOn w:val="Normal"/>
    <w:rsid w:val="00D41AD9"/>
    <w:pPr>
      <w:spacing w:before="80" w:line="264" w:lineRule="auto"/>
    </w:pPr>
    <w:rPr>
      <w:rFonts w:eastAsia="Times New Roman" w:cstheme="minorHAnsi"/>
      <w:color w:val="000000"/>
      <w:spacing w:val="1"/>
      <w:sz w:val="16"/>
      <w:szCs w:val="16"/>
      <w:lang w:eastAsia="en-US"/>
    </w:rPr>
  </w:style>
  <w:style w:type="paragraph" w:customStyle="1" w:styleId="Spacer">
    <w:name w:val="Spacer"/>
    <w:basedOn w:val="Normal"/>
    <w:uiPriority w:val="13"/>
    <w:semiHidden/>
    <w:qFormat/>
    <w:rsid w:val="009D1C63"/>
    <w:pPr>
      <w:spacing w:before="0" w:after="0" w:line="120" w:lineRule="atLeast"/>
    </w:pPr>
    <w:rPr>
      <w:rFonts w:eastAsia="Times New Roman" w:cs="Calibri"/>
      <w:spacing w:val="0"/>
      <w:sz w:val="10"/>
      <w:szCs w:val="22"/>
    </w:rPr>
  </w:style>
  <w:style w:type="paragraph" w:styleId="Subtitle">
    <w:name w:val="Subtitle"/>
    <w:next w:val="TertiaryTitle"/>
    <w:link w:val="SubtitleChar"/>
    <w:uiPriority w:val="99"/>
    <w:rsid w:val="009D1C63"/>
    <w:pPr>
      <w:spacing w:after="120" w:line="440" w:lineRule="exact"/>
    </w:pPr>
    <w:rPr>
      <w:rFonts w:asciiTheme="majorHAnsi" w:eastAsia="Times New Roman" w:hAnsiTheme="majorHAnsi" w:cstheme="majorHAnsi"/>
      <w:color w:val="81119B" w:themeColor="accent1"/>
      <w:spacing w:val="-2"/>
      <w:sz w:val="40"/>
      <w:szCs w:val="24"/>
    </w:rPr>
  </w:style>
  <w:style w:type="character" w:customStyle="1" w:styleId="SubtitleChar">
    <w:name w:val="Subtitle Char"/>
    <w:basedOn w:val="DefaultParagraphFont"/>
    <w:link w:val="Subtitle"/>
    <w:uiPriority w:val="99"/>
    <w:rsid w:val="009D1C63"/>
    <w:rPr>
      <w:rFonts w:asciiTheme="majorHAnsi" w:eastAsia="Times New Roman" w:hAnsiTheme="majorHAnsi" w:cstheme="majorHAnsi"/>
      <w:color w:val="81119B" w:themeColor="accent1"/>
      <w:spacing w:val="-2"/>
      <w:sz w:val="40"/>
      <w:szCs w:val="24"/>
    </w:rPr>
  </w:style>
  <w:style w:type="paragraph" w:customStyle="1" w:styleId="TertiaryTitle">
    <w:name w:val="Tertiary Title"/>
    <w:next w:val="Normal"/>
    <w:uiPriority w:val="98"/>
    <w:rsid w:val="009D1C63"/>
    <w:pPr>
      <w:spacing w:after="0"/>
    </w:pPr>
    <w:rPr>
      <w:rFonts w:asciiTheme="majorHAnsi" w:eastAsia="Times New Roman" w:hAnsiTheme="majorHAnsi" w:cstheme="majorHAnsi"/>
      <w:color w:val="81119B" w:themeColor="accent1"/>
      <w:spacing w:val="-2"/>
      <w:szCs w:val="40"/>
      <w:lang w:eastAsia="en-US"/>
    </w:rPr>
  </w:style>
  <w:style w:type="paragraph" w:styleId="Title">
    <w:name w:val="Title"/>
    <w:next w:val="Subtitle"/>
    <w:link w:val="TitleChar"/>
    <w:uiPriority w:val="97"/>
    <w:rsid w:val="008D74A7"/>
    <w:pPr>
      <w:spacing w:after="300" w:line="252" w:lineRule="auto"/>
    </w:pPr>
    <w:rPr>
      <w:rFonts w:asciiTheme="majorHAnsi" w:eastAsia="Times New Roman" w:hAnsiTheme="majorHAnsi" w:cstheme="majorHAnsi"/>
      <w:b/>
      <w:color w:val="81119B" w:themeColor="accent1"/>
      <w:spacing w:val="-2"/>
      <w:sz w:val="56"/>
      <w:szCs w:val="22"/>
    </w:rPr>
  </w:style>
  <w:style w:type="character" w:customStyle="1" w:styleId="TitleChar">
    <w:name w:val="Title Char"/>
    <w:basedOn w:val="DefaultParagraphFont"/>
    <w:link w:val="Title"/>
    <w:uiPriority w:val="97"/>
    <w:rsid w:val="008D74A7"/>
    <w:rPr>
      <w:rFonts w:asciiTheme="majorHAnsi" w:eastAsia="Times New Roman" w:hAnsiTheme="majorHAnsi" w:cstheme="majorHAnsi"/>
      <w:b/>
      <w:color w:val="81119B" w:themeColor="accent1"/>
      <w:spacing w:val="-2"/>
      <w:sz w:val="56"/>
      <w:szCs w:val="22"/>
    </w:rPr>
  </w:style>
  <w:style w:type="paragraph" w:styleId="BalloonText">
    <w:name w:val="Balloon Text"/>
    <w:basedOn w:val="Normal"/>
    <w:link w:val="BalloonTextChar"/>
    <w:uiPriority w:val="99"/>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02C"/>
    <w:rPr>
      <w:rFonts w:ascii="Tahoma" w:hAnsi="Tahoma" w:cs="Tahoma"/>
      <w:spacing w:val="2"/>
      <w:sz w:val="16"/>
      <w:szCs w:val="16"/>
    </w:rPr>
  </w:style>
  <w:style w:type="paragraph" w:customStyle="1" w:styleId="Bulletindent2">
    <w:name w:val="Bullet indent 2"/>
    <w:basedOn w:val="Normal"/>
    <w:uiPriority w:val="9"/>
    <w:qFormat/>
    <w:rsid w:val="009D1C63"/>
    <w:pPr>
      <w:numPr>
        <w:ilvl w:val="3"/>
        <w:numId w:val="2"/>
      </w:numPr>
      <w:spacing w:before="100"/>
      <w:contextualSpacing/>
    </w:pPr>
  </w:style>
  <w:style w:type="paragraph" w:styleId="IndexHeading">
    <w:name w:val="index heading"/>
    <w:basedOn w:val="Normal"/>
    <w:next w:val="Index1"/>
    <w:uiPriority w:val="99"/>
    <w:semiHidden/>
    <w:rsid w:val="009D1C63"/>
    <w:rPr>
      <w:rFonts w:asciiTheme="majorHAnsi" w:eastAsiaTheme="majorEastAsia" w:hAnsiTheme="majorHAnsi" w:cstheme="majorBidi"/>
      <w:b/>
      <w:bCs/>
    </w:rPr>
  </w:style>
  <w:style w:type="paragraph" w:styleId="Header">
    <w:name w:val="header"/>
    <w:basedOn w:val="Normal"/>
    <w:link w:val="HeaderChar"/>
    <w:uiPriority w:val="24"/>
    <w:rsid w:val="009D1C63"/>
    <w:pPr>
      <w:tabs>
        <w:tab w:val="center" w:pos="4513"/>
        <w:tab w:val="right" w:pos="9026"/>
      </w:tabs>
      <w:spacing w:after="0" w:line="240" w:lineRule="auto"/>
    </w:pPr>
  </w:style>
  <w:style w:type="character" w:customStyle="1" w:styleId="HeaderChar">
    <w:name w:val="Header Char"/>
    <w:basedOn w:val="DefaultParagraphFont"/>
    <w:link w:val="Header"/>
    <w:uiPriority w:val="24"/>
    <w:rsid w:val="009D1C63"/>
    <w:rPr>
      <w:spacing w:val="2"/>
    </w:rPr>
  </w:style>
  <w:style w:type="paragraph" w:styleId="Footer">
    <w:name w:val="footer"/>
    <w:basedOn w:val="Normal"/>
    <w:link w:val="FooterChar"/>
    <w:uiPriority w:val="99"/>
    <w:rsid w:val="009D1C63"/>
    <w:pPr>
      <w:tabs>
        <w:tab w:val="right" w:pos="9810"/>
      </w:tabs>
      <w:spacing w:before="0" w:after="0" w:line="240" w:lineRule="auto"/>
      <w:ind w:right="-784"/>
    </w:pPr>
    <w:rPr>
      <w:noProof/>
      <w:sz w:val="18"/>
      <w:szCs w:val="18"/>
    </w:rPr>
  </w:style>
  <w:style w:type="character" w:customStyle="1" w:styleId="FooterChar">
    <w:name w:val="Footer Char"/>
    <w:basedOn w:val="DefaultParagraphFont"/>
    <w:link w:val="Footer"/>
    <w:uiPriority w:val="99"/>
    <w:rsid w:val="009D1C63"/>
    <w:rPr>
      <w:noProof/>
      <w:spacing w:val="2"/>
      <w:sz w:val="18"/>
      <w:szCs w:val="18"/>
    </w:rPr>
  </w:style>
  <w:style w:type="character" w:styleId="PageNumber">
    <w:name w:val="page number"/>
    <w:uiPriority w:val="49"/>
    <w:semiHidden/>
    <w:rsid w:val="009D1C63"/>
    <w:rPr>
      <w:rFonts w:asciiTheme="minorHAnsi" w:hAnsiTheme="minorHAnsi"/>
      <w:b w:val="0"/>
      <w:color w:val="FFFFFF" w:themeColor="background1"/>
      <w:sz w:val="24"/>
    </w:rPr>
  </w:style>
  <w:style w:type="paragraph" w:styleId="TOCHeading">
    <w:name w:val="TOC Heading"/>
    <w:basedOn w:val="Heading1"/>
    <w:next w:val="Normal"/>
    <w:uiPriority w:val="39"/>
    <w:rsid w:val="009D1C63"/>
    <w:pPr>
      <w:spacing w:before="480" w:after="720"/>
      <w:outlineLvl w:val="9"/>
    </w:pPr>
    <w:rPr>
      <w:color w:val="660B68" w:themeColor="text2"/>
      <w:spacing w:val="2"/>
    </w:rPr>
  </w:style>
  <w:style w:type="paragraph" w:customStyle="1" w:styleId="NormalTight">
    <w:name w:val="Normal Tight"/>
    <w:uiPriority w:val="99"/>
    <w:semiHidden/>
    <w:rsid w:val="009D1C63"/>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49"/>
    <w:semiHidden/>
    <w:rsid w:val="00EC171D"/>
    <w:pPr>
      <w:spacing w:before="100" w:line="240" w:lineRule="auto"/>
      <w:ind w:left="794"/>
    </w:pPr>
    <w:rPr>
      <w:rFonts w:ascii="Calibri" w:eastAsia="Times New Roman" w:hAnsi="Calibri" w:cs="Calibri"/>
      <w:spacing w:val="0"/>
      <w:sz w:val="22"/>
      <w:szCs w:val="22"/>
    </w:rPr>
  </w:style>
  <w:style w:type="character" w:customStyle="1" w:styleId="BodyTextChar">
    <w:name w:val="Body Text Char"/>
    <w:basedOn w:val="DefaultParagraphFont"/>
    <w:link w:val="BodyText"/>
    <w:uiPriority w:val="49"/>
    <w:semiHidden/>
    <w:rsid w:val="00EC171D"/>
    <w:rPr>
      <w:rFonts w:ascii="Calibri" w:eastAsia="Times New Roman" w:hAnsi="Calibri" w:cs="Calibri"/>
      <w:sz w:val="22"/>
      <w:szCs w:val="22"/>
    </w:rPr>
  </w:style>
  <w:style w:type="paragraph" w:customStyle="1" w:styleId="Insidecoverspacer">
    <w:name w:val="Inside cover spacer"/>
    <w:basedOn w:val="NormalTight"/>
    <w:uiPriority w:val="99"/>
    <w:semiHidden/>
    <w:qFormat/>
    <w:rsid w:val="009D1C63"/>
    <w:pPr>
      <w:spacing w:before="5800"/>
      <w:ind w:right="1382"/>
    </w:pPr>
  </w:style>
  <w:style w:type="paragraph" w:styleId="TOC4">
    <w:name w:val="toc 4"/>
    <w:basedOn w:val="TOC1"/>
    <w:next w:val="Normal"/>
    <w:uiPriority w:val="39"/>
    <w:rsid w:val="009D1C63"/>
    <w:pPr>
      <w:ind w:left="450" w:hanging="450"/>
    </w:pPr>
    <w:rPr>
      <w:lang w:eastAsia="en-US"/>
    </w:rPr>
  </w:style>
  <w:style w:type="paragraph" w:styleId="TOC5">
    <w:name w:val="toc 5"/>
    <w:basedOn w:val="TOC2"/>
    <w:next w:val="Normal"/>
    <w:uiPriority w:val="39"/>
    <w:rsid w:val="009D1C63"/>
    <w:pPr>
      <w:ind w:left="1080" w:hanging="634"/>
    </w:pPr>
    <w:rPr>
      <w:lang w:eastAsia="en-US"/>
    </w:rPr>
  </w:style>
  <w:style w:type="paragraph" w:styleId="TOC6">
    <w:name w:val="toc 6"/>
    <w:basedOn w:val="TOC3"/>
    <w:next w:val="Normal"/>
    <w:uiPriority w:val="39"/>
    <w:rsid w:val="009D1C63"/>
    <w:pPr>
      <w:ind w:left="1800" w:hanging="720"/>
    </w:pPr>
    <w:rPr>
      <w:lang w:eastAsia="en-US"/>
    </w:rPr>
  </w:style>
  <w:style w:type="table" w:customStyle="1" w:styleId="DTFtexttable">
    <w:name w:val="DTF text table"/>
    <w:basedOn w:val="TableGrid"/>
    <w:uiPriority w:val="99"/>
    <w:rsid w:val="009D1C63"/>
    <w:pPr>
      <w:spacing w:before="30" w:after="30" w:line="264" w:lineRule="auto"/>
      <w:jc w:val="left"/>
    </w:pPr>
    <w:tblPr>
      <w:tblStyleRowBandSize w:val="1"/>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Pr/>
      <w:tcPr>
        <w:shd w:val="clear" w:color="auto" w:fill="EBEBEB"/>
      </w:tcPr>
    </w:tblStylePr>
    <w:tblStylePr w:type="lastCol">
      <w:pPr>
        <w:jc w:val="left"/>
      </w:pPr>
    </w:tblStylePr>
    <w:tblStylePr w:type="band1Vert">
      <w:pPr>
        <w:jc w:val="left"/>
      </w:pPr>
    </w:tblStylePr>
    <w:tblStylePr w:type="band2Vert">
      <w:pPr>
        <w:jc w:val="left"/>
      </w:pPr>
    </w:tblStylePr>
    <w:tblStylePr w:type="band2Horz">
      <w:tblPr/>
      <w:tcPr>
        <w:shd w:val="clear" w:color="auto" w:fill="EBEBEB"/>
      </w:tcPr>
    </w:tblStylePr>
    <w:tblStylePr w:type="neCell">
      <w:pPr>
        <w:jc w:val="left"/>
      </w:pPr>
    </w:tblStylePr>
    <w:tblStylePr w:type="nwCell">
      <w:pPr>
        <w:jc w:val="left"/>
      </w:pPr>
    </w:tblStylePr>
    <w:tblStylePr w:type="seCell">
      <w:pPr>
        <w:jc w:val="left"/>
      </w:pPr>
    </w:tblStylePr>
    <w:tblStylePr w:type="swCell">
      <w:pPr>
        <w:jc w:val="left"/>
      </w:pPr>
    </w:tblStylePr>
  </w:style>
  <w:style w:type="table" w:customStyle="1" w:styleId="DTFfinancialtable">
    <w:name w:val="DTF financial table"/>
    <w:basedOn w:val="TableGrid"/>
    <w:uiPriority w:val="99"/>
    <w:rsid w:val="009D1C63"/>
    <w:pPr>
      <w:spacing w:before="30" w:after="30" w:line="264" w:lineRule="auto"/>
    </w:pPr>
    <w:tblPr>
      <w:tblStyleRowBandSize w:val="1"/>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Pr/>
      <w:tcPr>
        <w:shd w:val="clear" w:color="auto" w:fill="EBEBEB"/>
      </w:tcPr>
    </w:tblStylePr>
    <w:tblStylePr w:type="band1Vert">
      <w:pPr>
        <w:jc w:val="right"/>
      </w:pPr>
    </w:tblStylePr>
    <w:tblStylePr w:type="band2Vert">
      <w:pPr>
        <w:jc w:val="right"/>
      </w:pPr>
    </w:tblStylePr>
    <w:tblStylePr w:type="band2Horz">
      <w:tblPr/>
      <w:tcPr>
        <w:shd w:val="clear" w:color="auto" w:fill="EBEBEB"/>
      </w:tcPr>
    </w:tblStylePr>
    <w:tblStylePr w:type="nwCell">
      <w:pPr>
        <w:jc w:val="left"/>
      </w:pPr>
      <w:tblPr/>
      <w:tcPr>
        <w:vAlign w:val="bottom"/>
      </w:tcPr>
    </w:tblStylePr>
  </w:style>
  <w:style w:type="paragraph" w:customStyle="1" w:styleId="Tabletext">
    <w:name w:val="Table text"/>
    <w:basedOn w:val="Normal"/>
    <w:uiPriority w:val="5"/>
    <w:qFormat/>
    <w:rsid w:val="009D1C63"/>
    <w:pPr>
      <w:spacing w:before="60" w:after="60" w:line="264" w:lineRule="auto"/>
    </w:pPr>
    <w:rPr>
      <w:sz w:val="17"/>
    </w:rPr>
  </w:style>
  <w:style w:type="paragraph" w:customStyle="1" w:styleId="Tabletextright">
    <w:name w:val="Table text right"/>
    <w:basedOn w:val="Tabletext"/>
    <w:uiPriority w:val="5"/>
    <w:qFormat/>
    <w:rsid w:val="009D1C63"/>
    <w:pPr>
      <w:jc w:val="right"/>
    </w:pPr>
  </w:style>
  <w:style w:type="paragraph" w:customStyle="1" w:styleId="Listnumindent2">
    <w:name w:val="List num indent 2"/>
    <w:basedOn w:val="Normal"/>
    <w:uiPriority w:val="9"/>
    <w:qFormat/>
    <w:rsid w:val="009D1C63"/>
    <w:pPr>
      <w:numPr>
        <w:ilvl w:val="7"/>
        <w:numId w:val="4"/>
      </w:numPr>
      <w:spacing w:before="100"/>
      <w:contextualSpacing/>
    </w:pPr>
  </w:style>
  <w:style w:type="paragraph" w:customStyle="1" w:styleId="Listnumindent">
    <w:name w:val="List num indent"/>
    <w:basedOn w:val="Normal"/>
    <w:uiPriority w:val="9"/>
    <w:qFormat/>
    <w:rsid w:val="009D1C63"/>
    <w:pPr>
      <w:numPr>
        <w:ilvl w:val="6"/>
        <w:numId w:val="4"/>
      </w:numPr>
      <w:spacing w:before="100"/>
    </w:pPr>
  </w:style>
  <w:style w:type="paragraph" w:customStyle="1" w:styleId="Listnum">
    <w:name w:val="List num"/>
    <w:basedOn w:val="Normal"/>
    <w:uiPriority w:val="1"/>
    <w:qFormat/>
    <w:rsid w:val="009D1C63"/>
    <w:pPr>
      <w:numPr>
        <w:numId w:val="4"/>
      </w:numPr>
    </w:pPr>
  </w:style>
  <w:style w:type="paragraph" w:customStyle="1" w:styleId="Listnum2">
    <w:name w:val="List num 2"/>
    <w:basedOn w:val="Normal"/>
    <w:uiPriority w:val="1"/>
    <w:qFormat/>
    <w:rsid w:val="009D1C63"/>
    <w:pPr>
      <w:numPr>
        <w:ilvl w:val="1"/>
        <w:numId w:val="4"/>
      </w:numPr>
    </w:pPr>
  </w:style>
  <w:style w:type="paragraph" w:customStyle="1" w:styleId="Tabletextcentred">
    <w:name w:val="Table text centred"/>
    <w:basedOn w:val="Tabletext"/>
    <w:uiPriority w:val="5"/>
    <w:qFormat/>
    <w:rsid w:val="009D1C63"/>
    <w:pPr>
      <w:jc w:val="center"/>
    </w:pPr>
  </w:style>
  <w:style w:type="paragraph" w:customStyle="1" w:styleId="Tableheader">
    <w:name w:val="Table header"/>
    <w:basedOn w:val="Tabletext"/>
    <w:uiPriority w:val="5"/>
    <w:qFormat/>
    <w:rsid w:val="009D1C63"/>
    <w:pPr>
      <w:keepNext/>
      <w:keepLines/>
      <w:spacing w:before="120"/>
    </w:pPr>
    <w:rPr>
      <w:rFonts w:eastAsiaTheme="minorHAnsi"/>
      <w:color w:val="FFFFFF" w:themeColor="background1"/>
      <w:sz w:val="20"/>
      <w:szCs w:val="21"/>
      <w:lang w:eastAsia="en-US"/>
    </w:rPr>
  </w:style>
  <w:style w:type="paragraph" w:customStyle="1" w:styleId="Tablebullet">
    <w:name w:val="Table bullet"/>
    <w:basedOn w:val="Tabletext"/>
    <w:uiPriority w:val="6"/>
    <w:rsid w:val="009D1C63"/>
    <w:pPr>
      <w:numPr>
        <w:numId w:val="5"/>
      </w:numPr>
    </w:pPr>
  </w:style>
  <w:style w:type="paragraph" w:customStyle="1" w:styleId="Tabledash">
    <w:name w:val="Table dash"/>
    <w:basedOn w:val="Tablebullet"/>
    <w:uiPriority w:val="6"/>
    <w:rsid w:val="009D1C63"/>
    <w:pPr>
      <w:numPr>
        <w:ilvl w:val="1"/>
      </w:numPr>
    </w:pPr>
  </w:style>
  <w:style w:type="paragraph" w:customStyle="1" w:styleId="Tabletextindent">
    <w:name w:val="Table text indent"/>
    <w:basedOn w:val="Tabletext"/>
    <w:uiPriority w:val="5"/>
    <w:qFormat/>
    <w:rsid w:val="009D1C63"/>
    <w:pPr>
      <w:ind w:left="288"/>
    </w:pPr>
  </w:style>
  <w:style w:type="paragraph" w:customStyle="1" w:styleId="Numpara">
    <w:name w:val="Num para"/>
    <w:basedOn w:val="ListParagraph"/>
    <w:uiPriority w:val="2"/>
    <w:qFormat/>
    <w:rsid w:val="009D1C63"/>
    <w:pPr>
      <w:numPr>
        <w:numId w:val="3"/>
      </w:numPr>
      <w:tabs>
        <w:tab w:val="left" w:pos="540"/>
      </w:tabs>
    </w:pPr>
  </w:style>
  <w:style w:type="paragraph" w:styleId="ListParagraph">
    <w:name w:val="List Paragraph"/>
    <w:basedOn w:val="Normal"/>
    <w:uiPriority w:val="34"/>
    <w:semiHidden/>
    <w:qFormat/>
    <w:rsid w:val="009D1C63"/>
    <w:pPr>
      <w:ind w:left="720"/>
      <w:contextualSpacing/>
    </w:pPr>
  </w:style>
  <w:style w:type="paragraph" w:customStyle="1" w:styleId="Tablechartdiagramheading">
    <w:name w:val="Table/chart/diagram heading"/>
    <w:uiPriority w:val="4"/>
    <w:qFormat/>
    <w:rsid w:val="00061803"/>
    <w:pPr>
      <w:keepNext/>
      <w:tabs>
        <w:tab w:val="left" w:pos="1080"/>
      </w:tabs>
      <w:spacing w:before="160" w:after="100"/>
    </w:pPr>
    <w:rPr>
      <w:b/>
      <w:bCs/>
      <w:color w:val="81119B" w:themeColor="accent1"/>
      <w:spacing w:val="2"/>
      <w:sz w:val="18"/>
      <w:szCs w:val="18"/>
    </w:rPr>
  </w:style>
  <w:style w:type="paragraph" w:styleId="FootnoteText">
    <w:name w:val="footnote text"/>
    <w:basedOn w:val="Normal"/>
    <w:link w:val="FootnoteTextChar"/>
    <w:uiPriority w:val="99"/>
    <w:semiHidden/>
    <w:rsid w:val="009D1C63"/>
    <w:pPr>
      <w:spacing w:before="0" w:after="0" w:line="240" w:lineRule="auto"/>
    </w:pPr>
    <w:rPr>
      <w:sz w:val="17"/>
    </w:rPr>
  </w:style>
  <w:style w:type="character" w:customStyle="1" w:styleId="FootnoteTextChar">
    <w:name w:val="Footnote Text Char"/>
    <w:basedOn w:val="DefaultParagraphFont"/>
    <w:link w:val="FootnoteText"/>
    <w:uiPriority w:val="99"/>
    <w:semiHidden/>
    <w:rsid w:val="009D1C63"/>
    <w:rPr>
      <w:spacing w:val="2"/>
      <w:sz w:val="17"/>
    </w:rPr>
  </w:style>
  <w:style w:type="character" w:styleId="FootnoteReference">
    <w:name w:val="footnote reference"/>
    <w:basedOn w:val="DefaultParagraphFont"/>
    <w:uiPriority w:val="99"/>
    <w:semiHidden/>
    <w:rsid w:val="009D1C63"/>
    <w:rPr>
      <w:vertAlign w:val="superscript"/>
    </w:rPr>
  </w:style>
  <w:style w:type="table" w:customStyle="1" w:styleId="DTFfinancialtableindent">
    <w:name w:val="DTF financial table indent"/>
    <w:basedOn w:val="DTFfinancialtable"/>
    <w:uiPriority w:val="99"/>
    <w:rsid w:val="009D1C63"/>
    <w:pPr>
      <w:spacing w:after="0" w:line="240" w:lineRule="auto"/>
    </w:pPr>
    <w:tblPr>
      <w:tblInd w:w="821" w:type="dxa"/>
    </w:tblPr>
    <w:tblStylePr w:type="firstRow">
      <w:pPr>
        <w:keepNext/>
        <w:keepLines/>
        <w:widowControl/>
        <w:wordWrap/>
        <w:spacing w:beforeLines="0" w:before="120" w:beforeAutospacing="0" w:afterLines="0" w:after="30" w:afterAutospacing="0"/>
        <w:jc w:val="right"/>
      </w:pPr>
      <w:rPr>
        <w:i w:val="0"/>
        <w:color w:val="FFFFFF" w:themeColor="background1"/>
      </w:rPr>
      <w:tblPr/>
      <w:trPr>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Pr/>
      <w:tcPr>
        <w:shd w:val="clear" w:color="auto" w:fill="EBEBEB"/>
      </w:tcPr>
    </w:tblStylePr>
    <w:tblStylePr w:type="band1Vert">
      <w:pPr>
        <w:jc w:val="right"/>
      </w:pPr>
    </w:tblStylePr>
    <w:tblStylePr w:type="band2Vert">
      <w:pPr>
        <w:jc w:val="right"/>
      </w:pPr>
    </w:tblStylePr>
    <w:tblStylePr w:type="band2Horz">
      <w:tblPr/>
      <w:tcPr>
        <w:shd w:val="clear" w:color="auto" w:fill="EBEBEB"/>
      </w:tcPr>
    </w:tblStylePr>
    <w:tblStylePr w:type="nwCell">
      <w:pPr>
        <w:jc w:val="left"/>
      </w:pPr>
      <w:tblPr/>
      <w:tcPr>
        <w:vAlign w:val="bottom"/>
      </w:tcPr>
    </w:tblStylePr>
  </w:style>
  <w:style w:type="table" w:customStyle="1" w:styleId="DTFtexttableindent">
    <w:name w:val="DTF text table indent"/>
    <w:basedOn w:val="DTFtexttable"/>
    <w:uiPriority w:val="99"/>
    <w:rsid w:val="009D1C63"/>
    <w:pPr>
      <w:spacing w:after="0" w:line="240" w:lineRule="auto"/>
    </w:pPr>
    <w:tblPr>
      <w:tblInd w:w="821" w:type="dxa"/>
    </w:tblPr>
    <w:tblStylePr w:type="firstRow">
      <w:pPr>
        <w:keepNext/>
        <w:keepLines/>
        <w:widowControl/>
        <w:wordWrap/>
        <w:spacing w:beforeLines="0" w:before="120" w:beforeAutospacing="0" w:afterLines="0" w:after="30" w:afterAutospacing="0"/>
        <w:jc w:val="left"/>
      </w:pPr>
      <w:rPr>
        <w:b/>
        <w:i w:val="0"/>
        <w:color w:val="FFFFFF" w:themeColor="background1"/>
      </w:rPr>
      <w:tblPr/>
      <w:trPr>
        <w:cantSplit w:val="0"/>
        <w:tblHeader/>
      </w:trPr>
      <w:tcPr>
        <w:shd w:val="clear" w:color="auto" w:fill="81119B" w:themeFill="accent1"/>
        <w:vAlign w:val="bottom"/>
      </w:tcPr>
    </w:tblStylePr>
    <w:tblStylePr w:type="lastRow">
      <w:rPr>
        <w:b/>
      </w:rPr>
      <w:tblPr/>
      <w:tcPr>
        <w:tcBorders>
          <w:top w:val="single" w:sz="6" w:space="0" w:color="81119B" w:themeColor="accent1"/>
          <w:left w:val="nil"/>
          <w:bottom w:val="single" w:sz="12" w:space="0" w:color="81119B" w:themeColor="accent1"/>
          <w:right w:val="nil"/>
          <w:insideV w:val="nil"/>
        </w:tcBorders>
      </w:tcPr>
    </w:tblStylePr>
    <w:tblStylePr w:type="firstCol">
      <w:pPr>
        <w:jc w:val="left"/>
      </w:pPr>
      <w:tblPr/>
      <w:tcPr>
        <w:shd w:val="clear" w:color="auto" w:fill="EBEBEB"/>
      </w:tcPr>
    </w:tblStylePr>
    <w:tblStylePr w:type="lastCol">
      <w:pPr>
        <w:jc w:val="left"/>
      </w:pPr>
    </w:tblStylePr>
    <w:tblStylePr w:type="band1Vert">
      <w:pPr>
        <w:jc w:val="left"/>
      </w:pPr>
    </w:tblStylePr>
    <w:tblStylePr w:type="band2Vert">
      <w:pPr>
        <w:jc w:val="left"/>
      </w:pPr>
    </w:tblStylePr>
    <w:tblStylePr w:type="band2Horz">
      <w:tblPr/>
      <w:tcPr>
        <w:shd w:val="clear" w:color="auto" w:fill="EBEBEB"/>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Numparaindent">
    <w:name w:val="Num para indent"/>
    <w:basedOn w:val="Numpara"/>
    <w:uiPriority w:val="9"/>
    <w:qFormat/>
    <w:rsid w:val="009D1C63"/>
    <w:pPr>
      <w:numPr>
        <w:ilvl w:val="8"/>
        <w:numId w:val="4"/>
      </w:numPr>
      <w:tabs>
        <w:tab w:val="clear" w:pos="540"/>
      </w:tabs>
    </w:pPr>
  </w:style>
  <w:style w:type="paragraph" w:customStyle="1" w:styleId="Tablenum1">
    <w:name w:val="Table num 1"/>
    <w:basedOn w:val="Normal"/>
    <w:uiPriority w:val="6"/>
    <w:rsid w:val="009D1C63"/>
    <w:pPr>
      <w:numPr>
        <w:ilvl w:val="2"/>
        <w:numId w:val="5"/>
      </w:numPr>
    </w:pPr>
    <w:rPr>
      <w:sz w:val="17"/>
    </w:rPr>
  </w:style>
  <w:style w:type="paragraph" w:customStyle="1" w:styleId="Tablenum2">
    <w:name w:val="Table num 2"/>
    <w:basedOn w:val="Normal"/>
    <w:uiPriority w:val="6"/>
    <w:rsid w:val="009D1C63"/>
    <w:pPr>
      <w:numPr>
        <w:ilvl w:val="3"/>
        <w:numId w:val="5"/>
      </w:numPr>
    </w:pPr>
    <w:rPr>
      <w:sz w:val="17"/>
    </w:rPr>
  </w:style>
  <w:style w:type="paragraph" w:customStyle="1" w:styleId="NoteNormalindent">
    <w:name w:val="Note Normal indent"/>
    <w:basedOn w:val="NoteNormal"/>
    <w:uiPriority w:val="9"/>
    <w:rsid w:val="009D1C63"/>
    <w:pPr>
      <w:ind w:left="792"/>
    </w:pPr>
  </w:style>
  <w:style w:type="paragraph" w:styleId="Caption">
    <w:name w:val="caption"/>
    <w:basedOn w:val="Normal"/>
    <w:next w:val="Normal"/>
    <w:uiPriority w:val="35"/>
    <w:rsid w:val="009D1C63"/>
    <w:pPr>
      <w:spacing w:before="0" w:after="200" w:line="240" w:lineRule="auto"/>
    </w:pPr>
    <w:rPr>
      <w:b/>
      <w:bCs/>
      <w:color w:val="404040" w:themeColor="background2" w:themeShade="40"/>
      <w:sz w:val="18"/>
      <w:szCs w:val="18"/>
    </w:rPr>
  </w:style>
  <w:style w:type="character" w:styleId="PlaceholderText">
    <w:name w:val="Placeholder Text"/>
    <w:basedOn w:val="DefaultParagraphFont"/>
    <w:uiPriority w:val="99"/>
    <w:semiHidden/>
    <w:rsid w:val="009D1C63"/>
    <w:rPr>
      <w:color w:val="808080"/>
    </w:rPr>
  </w:style>
  <w:style w:type="paragraph" w:customStyle="1" w:styleId="NoteNormalbullet">
    <w:name w:val="Note Normal bullet"/>
    <w:basedOn w:val="NoteNormal"/>
    <w:qFormat/>
    <w:rsid w:val="004F6B20"/>
    <w:pPr>
      <w:numPr>
        <w:numId w:val="6"/>
      </w:numPr>
      <w:ind w:left="360"/>
    </w:pPr>
  </w:style>
  <w:style w:type="paragraph" w:customStyle="1" w:styleId="NoteNormalshaded">
    <w:name w:val="Note Normal shaded"/>
    <w:basedOn w:val="Normal"/>
    <w:qFormat/>
    <w:rsid w:val="00C13BEC"/>
    <w:pPr>
      <w:keepNext/>
      <w:keepLines/>
      <w:shd w:val="clear" w:color="auto" w:fill="E9E9E7"/>
      <w:spacing w:before="80" w:after="80"/>
    </w:pPr>
    <w:rPr>
      <w:rFonts w:ascii="Arial" w:eastAsia="Times New Roman" w:hAnsi="Arial" w:cs="Calibri"/>
      <w:color w:val="000000"/>
      <w:spacing w:val="0"/>
      <w:sz w:val="18"/>
      <w:szCs w:val="22"/>
      <w:lang w:eastAsia="en-US"/>
    </w:rPr>
  </w:style>
  <w:style w:type="paragraph" w:customStyle="1" w:styleId="NoteNormalshadedbullet">
    <w:name w:val="Note Normal shaded bullet"/>
    <w:basedOn w:val="NoteNormalbullet"/>
    <w:qFormat/>
    <w:rsid w:val="009438DA"/>
    <w:pPr>
      <w:shd w:val="clear" w:color="auto" w:fill="E9E9E7"/>
    </w:pPr>
    <w:rPr>
      <w:sz w:val="18"/>
    </w:rPr>
  </w:style>
  <w:style w:type="paragraph" w:customStyle="1" w:styleId="Tabletextbold">
    <w:name w:val="Table text bold"/>
    <w:basedOn w:val="Tabletext"/>
    <w:uiPriority w:val="5"/>
    <w:qFormat/>
    <w:rsid w:val="00356081"/>
    <w:rPr>
      <w:b/>
    </w:rPr>
  </w:style>
  <w:style w:type="paragraph" w:customStyle="1" w:styleId="NoteNormalshadedheading">
    <w:name w:val="Note Normal shaded heading"/>
    <w:basedOn w:val="Heading4"/>
    <w:qFormat/>
    <w:rsid w:val="00C13BEC"/>
    <w:pPr>
      <w:shd w:val="clear" w:color="auto" w:fill="E9E9E7"/>
    </w:pPr>
  </w:style>
  <w:style w:type="character" w:styleId="UnresolvedMention">
    <w:name w:val="Unresolved Mention"/>
    <w:basedOn w:val="DefaultParagraphFont"/>
    <w:uiPriority w:val="99"/>
    <w:semiHidden/>
    <w:unhideWhenUsed/>
    <w:rsid w:val="00260334"/>
    <w:rPr>
      <w:color w:val="808080"/>
      <w:shd w:val="clear" w:color="auto" w:fill="E6E6E6"/>
    </w:rPr>
  </w:style>
  <w:style w:type="character" w:styleId="CommentReference">
    <w:name w:val="annotation reference"/>
    <w:basedOn w:val="DefaultParagraphFont"/>
    <w:uiPriority w:val="99"/>
    <w:semiHidden/>
    <w:unhideWhenUsed/>
    <w:rsid w:val="00C72838"/>
    <w:rPr>
      <w:sz w:val="16"/>
      <w:szCs w:val="16"/>
    </w:rPr>
  </w:style>
  <w:style w:type="paragraph" w:styleId="CommentText">
    <w:name w:val="annotation text"/>
    <w:basedOn w:val="Normal"/>
    <w:link w:val="CommentTextChar"/>
    <w:uiPriority w:val="99"/>
    <w:semiHidden/>
    <w:unhideWhenUsed/>
    <w:rsid w:val="00C72838"/>
    <w:pPr>
      <w:spacing w:line="240" w:lineRule="auto"/>
    </w:pPr>
  </w:style>
  <w:style w:type="character" w:customStyle="1" w:styleId="CommentTextChar">
    <w:name w:val="Comment Text Char"/>
    <w:basedOn w:val="DefaultParagraphFont"/>
    <w:link w:val="CommentText"/>
    <w:uiPriority w:val="99"/>
    <w:semiHidden/>
    <w:rsid w:val="00C72838"/>
    <w:rPr>
      <w:spacing w:val="2"/>
    </w:rPr>
  </w:style>
  <w:style w:type="paragraph" w:styleId="CommentSubject">
    <w:name w:val="annotation subject"/>
    <w:basedOn w:val="CommentText"/>
    <w:next w:val="CommentText"/>
    <w:link w:val="CommentSubjectChar"/>
    <w:uiPriority w:val="99"/>
    <w:semiHidden/>
    <w:unhideWhenUsed/>
    <w:rsid w:val="00C72838"/>
    <w:rPr>
      <w:b/>
      <w:bCs/>
    </w:rPr>
  </w:style>
  <w:style w:type="character" w:customStyle="1" w:styleId="CommentSubjectChar">
    <w:name w:val="Comment Subject Char"/>
    <w:basedOn w:val="CommentTextChar"/>
    <w:link w:val="CommentSubject"/>
    <w:uiPriority w:val="99"/>
    <w:semiHidden/>
    <w:rsid w:val="00C72838"/>
    <w:rPr>
      <w:b/>
      <w:bCs/>
      <w:spacing w:val="2"/>
    </w:rPr>
  </w:style>
  <w:style w:type="paragraph" w:styleId="Revision">
    <w:name w:val="Revision"/>
    <w:hidden/>
    <w:uiPriority w:val="99"/>
    <w:semiHidden/>
    <w:rsid w:val="00535CF7"/>
    <w:pPr>
      <w:spacing w:after="0" w:line="240" w:lineRule="auto"/>
    </w:pPr>
    <w:rPr>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uyingfor.vic.gov.au/arbitrators-available-dispute-resolution-under-international-agreement"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buyingfor.vic.gov.au/arbitrators-available-dispute-resolution-under-international-agreement" TargetMode="External"/><Relationship Id="rId17" Type="http://schemas.openxmlformats.org/officeDocument/2006/relationships/hyperlink" Target="mailto:IPpolicy@dtf.vic.gov.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reativecommons.org/licenses/by/4.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uyingfor.vic.gov.au/relevant-jurisdictions-domestic-dispute-resolution-international-agreement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hyperlink" Target="https://www.buyingfor.vic.gov.au/measures-implementing-procurement-requirements-international-agreement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w.buyingfor.vic.gov.au/government-procurement-under-international-agreements-goods-and-services-procurement-guide" TargetMode="External"/><Relationship Id="rId14" Type="http://schemas.openxmlformats.org/officeDocument/2006/relationships/hyperlink" Target="http://creativecommons.org/licenses/by/3.0/au/"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VFDTF001\DTF_APPS01$\DTF\ZEN\Template\Other\VGPB%20portrait.dotx" TargetMode="External"/></Relationships>
</file>

<file path=word/theme/theme1.xml><?xml version="1.0" encoding="utf-8"?>
<a:theme xmlns:a="http://schemas.openxmlformats.org/drawingml/2006/main" name="Office Theme">
  <a:themeElements>
    <a:clrScheme name="VGPB">
      <a:dk1>
        <a:srgbClr val="660B68"/>
      </a:dk1>
      <a:lt1>
        <a:srgbClr val="FFFFFF"/>
      </a:lt1>
      <a:dk2>
        <a:srgbClr val="660B68"/>
      </a:dk2>
      <a:lt2>
        <a:srgbClr val="FFFFFF"/>
      </a:lt2>
      <a:accent1>
        <a:srgbClr val="81119B"/>
      </a:accent1>
      <a:accent2>
        <a:srgbClr val="A61646"/>
      </a:accent2>
      <a:accent3>
        <a:srgbClr val="A036F8"/>
      </a:accent3>
      <a:accent4>
        <a:srgbClr val="CB1B56"/>
      </a:accent4>
      <a:accent5>
        <a:srgbClr val="C685FB"/>
      </a:accent5>
      <a:accent6>
        <a:srgbClr val="E7477C"/>
      </a:accent6>
      <a:hlink>
        <a:srgbClr val="E1BFFD"/>
      </a:hlink>
      <a:folHlink>
        <a:srgbClr val="F08CAD"/>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53C1E-2B19-4382-91E0-597B7E707843}">
  <ds:schemaRefs>
    <ds:schemaRef ds:uri="http://www.w3.org/2001/XMLSchema"/>
  </ds:schemaRefs>
</ds:datastoreItem>
</file>

<file path=customXml/itemProps2.xml><?xml version="1.0" encoding="utf-8"?>
<ds:datastoreItem xmlns:ds="http://schemas.openxmlformats.org/officeDocument/2006/customXml" ds:itemID="{1DF4F8C3-60F2-4496-8894-CE30EABC3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VGPB portrait.dotx</Template>
  <TotalTime>37</TotalTime>
  <Pages>4</Pages>
  <Words>1321</Words>
  <Characters>7532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Treasury and Finance</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Arbitration-clause-International-Agreements</dc:title>
  <dc:creator>Steve Robertson (DTF)</dc:creator>
  <cp:lastModifiedBy>Athena Rozenberg (DTF)</cp:lastModifiedBy>
  <cp:revision>11</cp:revision>
  <cp:lastPrinted>2019-04-24T06:22:00Z</cp:lastPrinted>
  <dcterms:created xsi:type="dcterms:W3CDTF">2020-02-13T22:11:00Z</dcterms:created>
  <dcterms:modified xsi:type="dcterms:W3CDTF">2020-02-13T23:47:00Z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f9143855-4fb9-4adf-b848-b5225a00fe66</vt:lpwstr>
  </property>
  <property fmtid="{D5CDD505-2E9C-101B-9397-08002B2CF9AE}" pid="3" name="PSPFClassification">
    <vt:lpwstr>Do Not Mark</vt:lpwstr>
  </property>
  <property fmtid="{D5CDD505-2E9C-101B-9397-08002B2CF9AE}" pid="4" name="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Owner">
    <vt:lpwstr>athena.rozenberg@dtf.vic.gov.au</vt:lpwstr>
  </property>
  <property fmtid="{D5CDD505-2E9C-101B-9397-08002B2CF9AE}" pid="8" name="MSIP_Label_7158ebbd-6c5e-441f-bfc9-4eb8c11e3978_SetDate">
    <vt:lpwstr>2020-02-13T22:11:25.2547292Z</vt:lpwstr>
  </property>
  <property fmtid="{D5CDD505-2E9C-101B-9397-08002B2CF9AE}" pid="9" name="MSIP_Label_7158ebbd-6c5e-441f-bfc9-4eb8c11e3978_Name">
    <vt:lpwstr>OFFICIAL</vt:lpwstr>
  </property>
  <property fmtid="{D5CDD505-2E9C-101B-9397-08002B2CF9AE}" pid="10" name="MSIP_Label_7158ebbd-6c5e-441f-bfc9-4eb8c11e3978_Application">
    <vt:lpwstr>Microsoft Azure Information Protection</vt:lpwstr>
  </property>
  <property fmtid="{D5CDD505-2E9C-101B-9397-08002B2CF9AE}" pid="11" name="MSIP_Label_7158ebbd-6c5e-441f-bfc9-4eb8c11e3978_Extended_MSFT_Method">
    <vt:lpwstr>Manual</vt:lpwstr>
  </property>
  <property fmtid="{D5CDD505-2E9C-101B-9397-08002B2CF9AE}" pid="12" name="Sensitivity">
    <vt:lpwstr>OFFICIAL</vt:lpwstr>
  </property>
</Properties>
</file>