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A972D" w14:textId="2AF4E2A0" w:rsidR="00031D12" w:rsidRDefault="00DE021E">
      <w:pPr>
        <w:rPr>
          <w:rFonts w:ascii="Arial" w:eastAsia="Times New Roman" w:hAnsi="Arial" w:cs="Arial"/>
          <w:color w:val="381F6A"/>
          <w:kern w:val="36"/>
          <w:sz w:val="48"/>
          <w:szCs w:val="48"/>
          <w:lang w:eastAsia="en-AU"/>
        </w:rPr>
      </w:pPr>
      <w:r>
        <w:rPr>
          <w:rFonts w:ascii="Arial" w:eastAsia="Times New Roman" w:hAnsi="Arial" w:cs="Arial"/>
          <w:color w:val="381F6A"/>
          <w:kern w:val="36"/>
          <w:sz w:val="48"/>
          <w:szCs w:val="48"/>
          <w:lang w:eastAsia="en-AU"/>
        </w:rPr>
        <w:t>N</w:t>
      </w:r>
      <w:r w:rsidRPr="00657FE0">
        <w:rPr>
          <w:rFonts w:ascii="Arial" w:eastAsia="Times New Roman" w:hAnsi="Arial" w:cs="Arial"/>
          <w:color w:val="381F6A"/>
          <w:kern w:val="36"/>
          <w:sz w:val="48"/>
          <w:szCs w:val="48"/>
          <w:lang w:eastAsia="en-AU"/>
        </w:rPr>
        <w:t>egotiat</w:t>
      </w:r>
      <w:r>
        <w:rPr>
          <w:rFonts w:ascii="Arial" w:eastAsia="Times New Roman" w:hAnsi="Arial" w:cs="Arial"/>
          <w:color w:val="381F6A"/>
          <w:kern w:val="36"/>
          <w:sz w:val="48"/>
          <w:szCs w:val="48"/>
          <w:lang w:eastAsia="en-AU"/>
        </w:rPr>
        <w:t>e</w:t>
      </w:r>
      <w:r w:rsidRPr="00657FE0">
        <w:rPr>
          <w:rFonts w:ascii="Arial" w:eastAsia="Times New Roman" w:hAnsi="Arial" w:cs="Arial"/>
          <w:color w:val="381F6A"/>
          <w:kern w:val="36"/>
          <w:sz w:val="48"/>
          <w:szCs w:val="48"/>
          <w:lang w:eastAsia="en-AU"/>
        </w:rPr>
        <w:t xml:space="preserve"> – goods and services procurement guide</w:t>
      </w:r>
    </w:p>
    <w:p w14:paraId="51843A27" w14:textId="32F957E2" w:rsidR="00DE021E" w:rsidRPr="00657FE0" w:rsidRDefault="00DE021E" w:rsidP="00DE021E">
      <w:pPr>
        <w:spacing w:before="100" w:beforeAutospacing="1" w:after="100" w:afterAutospacing="1" w:line="281" w:lineRule="atLeast"/>
        <w:rPr>
          <w:rFonts w:ascii="Arial" w:eastAsia="Times New Roman" w:hAnsi="Arial" w:cs="Arial"/>
          <w:color w:val="53565A"/>
          <w:sz w:val="24"/>
          <w:szCs w:val="24"/>
          <w:lang w:eastAsia="en-AU"/>
        </w:rPr>
      </w:pPr>
      <w:r w:rsidRPr="00657FE0">
        <w:rPr>
          <w:rFonts w:ascii="Arial" w:eastAsia="Times New Roman" w:hAnsi="Arial" w:cs="Arial"/>
          <w:color w:val="53565A"/>
          <w:sz w:val="24"/>
          <w:szCs w:val="24"/>
          <w:lang w:eastAsia="en-AU"/>
        </w:rPr>
        <w:t>Find out how to negotiate suppliers</w:t>
      </w:r>
      <w:r>
        <w:rPr>
          <w:rFonts w:ascii="Arial" w:eastAsia="Times New Roman" w:hAnsi="Arial" w:cs="Arial"/>
          <w:color w:val="53565A"/>
          <w:sz w:val="24"/>
          <w:szCs w:val="24"/>
          <w:lang w:eastAsia="en-AU"/>
        </w:rPr>
        <w:t>’ offers</w:t>
      </w:r>
      <w:r w:rsidRPr="00657FE0">
        <w:rPr>
          <w:rFonts w:ascii="Arial" w:eastAsia="Times New Roman" w:hAnsi="Arial" w:cs="Arial"/>
          <w:color w:val="53565A"/>
          <w:sz w:val="24"/>
          <w:szCs w:val="24"/>
          <w:lang w:eastAsia="en-AU"/>
        </w:rPr>
        <w:t xml:space="preserve"> for goods and services procurement.</w:t>
      </w:r>
    </w:p>
    <w:p w14:paraId="58B7BAA4" w14:textId="77777777" w:rsidR="00DE021E" w:rsidRDefault="00DE021E" w:rsidP="00DE021E">
      <w:pPr>
        <w:pStyle w:val="Heading2"/>
        <w:spacing w:before="0" w:line="240" w:lineRule="atLeast"/>
        <w:rPr>
          <w:rFonts w:ascii="Arial" w:hAnsi="Arial" w:cs="Arial"/>
          <w:color w:val="011A3C"/>
        </w:rPr>
      </w:pPr>
      <w:r>
        <w:rPr>
          <w:rFonts w:ascii="Arial" w:hAnsi="Arial" w:cs="Arial"/>
          <w:b/>
          <w:bCs/>
          <w:color w:val="011A3C"/>
        </w:rPr>
        <w:t>On this page:</w:t>
      </w:r>
    </w:p>
    <w:p w14:paraId="1B800291" w14:textId="51496F58" w:rsidR="00DE021E" w:rsidRDefault="002B3667" w:rsidP="00DE021E">
      <w:pPr>
        <w:pStyle w:val="rpl-anchor-linksitem"/>
        <w:numPr>
          <w:ilvl w:val="0"/>
          <w:numId w:val="1"/>
        </w:numPr>
        <w:rPr>
          <w:rFonts w:ascii="Arial" w:hAnsi="Arial" w:cs="Arial"/>
          <w:color w:val="000000"/>
        </w:rPr>
      </w:pPr>
      <w:hyperlink r:id="rId12" w:anchor="what-is-evaluation-negotiation-and-selection" w:history="1">
        <w:r w:rsidR="00DE021E">
          <w:rPr>
            <w:rStyle w:val="rpl-text-label"/>
            <w:rFonts w:ascii="Arial" w:eastAsiaTheme="majorEastAsia" w:hAnsi="Arial" w:cs="Arial"/>
            <w:color w:val="011A3C"/>
          </w:rPr>
          <w:t>Purpose</w:t>
        </w:r>
      </w:hyperlink>
      <w:r w:rsidR="00DE021E">
        <w:rPr>
          <w:rFonts w:ascii="Arial" w:hAnsi="Arial" w:cs="Arial"/>
          <w:color w:val="000000"/>
        </w:rPr>
        <w:t xml:space="preserve"> </w:t>
      </w:r>
    </w:p>
    <w:p w14:paraId="18EF381D" w14:textId="529B761B" w:rsidR="00DE021E" w:rsidRDefault="002B3667" w:rsidP="00DE021E">
      <w:pPr>
        <w:pStyle w:val="rpl-anchor-linksitem"/>
        <w:numPr>
          <w:ilvl w:val="0"/>
          <w:numId w:val="1"/>
        </w:numPr>
        <w:rPr>
          <w:rFonts w:ascii="Arial" w:hAnsi="Arial" w:cs="Arial"/>
          <w:color w:val="000000"/>
        </w:rPr>
      </w:pPr>
      <w:hyperlink r:id="rId13" w:anchor="conducting-an-evaluation" w:history="1">
        <w:r w:rsidR="00F6669F">
          <w:rPr>
            <w:rStyle w:val="rpl-text-label"/>
            <w:rFonts w:ascii="Arial" w:eastAsiaTheme="majorEastAsia" w:hAnsi="Arial" w:cs="Arial"/>
            <w:color w:val="011A3C"/>
          </w:rPr>
          <w:t>Plan</w:t>
        </w:r>
      </w:hyperlink>
      <w:r w:rsidR="00F6669F">
        <w:rPr>
          <w:rStyle w:val="rpl-text-label"/>
          <w:rFonts w:ascii="Arial" w:eastAsiaTheme="majorEastAsia" w:hAnsi="Arial" w:cs="Arial"/>
          <w:color w:val="011A3C"/>
        </w:rPr>
        <w:t xml:space="preserve"> </w:t>
      </w:r>
      <w:r w:rsidR="005C49D0">
        <w:rPr>
          <w:rStyle w:val="rpl-text-label"/>
          <w:rFonts w:ascii="Arial" w:eastAsiaTheme="majorEastAsia" w:hAnsi="Arial" w:cs="Arial"/>
          <w:color w:val="011A3C"/>
        </w:rPr>
        <w:t>negotiation</w:t>
      </w:r>
    </w:p>
    <w:p w14:paraId="6C4D0F23" w14:textId="0F3EF038" w:rsidR="009738CC" w:rsidRPr="00751F0D" w:rsidRDefault="009A1ECA" w:rsidP="009A1ECA">
      <w:pPr>
        <w:pStyle w:val="rpl-anchor-linksitem"/>
        <w:numPr>
          <w:ilvl w:val="0"/>
          <w:numId w:val="1"/>
        </w:numPr>
        <w:rPr>
          <w:rStyle w:val="rpl-text-label"/>
          <w:rFonts w:ascii="Arial" w:hAnsi="Arial" w:cs="Arial"/>
          <w:color w:val="000000"/>
        </w:rPr>
      </w:pPr>
      <w:r w:rsidRPr="009A1ECA">
        <w:rPr>
          <w:rStyle w:val="rpl-text-label"/>
          <w:rFonts w:ascii="Arial" w:eastAsiaTheme="majorEastAsia" w:hAnsi="Arial" w:cs="Arial"/>
          <w:color w:val="011A3C"/>
        </w:rPr>
        <w:t>Types of negotiation</w:t>
      </w:r>
    </w:p>
    <w:p w14:paraId="72EEF934" w14:textId="419A7178" w:rsidR="00DE021E" w:rsidRPr="0054408E" w:rsidRDefault="009A1ECA" w:rsidP="009738CC">
      <w:pPr>
        <w:pStyle w:val="rpl-anchor-linksitem"/>
        <w:numPr>
          <w:ilvl w:val="0"/>
          <w:numId w:val="1"/>
        </w:numPr>
        <w:rPr>
          <w:rStyle w:val="rpl-text-label"/>
          <w:rFonts w:ascii="Arial" w:hAnsi="Arial" w:cs="Arial"/>
          <w:color w:val="000000"/>
        </w:rPr>
      </w:pPr>
      <w:r w:rsidRPr="009738CC">
        <w:rPr>
          <w:rStyle w:val="rpl-text-label"/>
          <w:rFonts w:ascii="Arial" w:eastAsiaTheme="majorEastAsia" w:hAnsi="Arial" w:cs="Arial"/>
          <w:color w:val="011A3C"/>
        </w:rPr>
        <w:t>Conclud</w:t>
      </w:r>
      <w:r w:rsidR="009738CC" w:rsidRPr="009738CC">
        <w:rPr>
          <w:rStyle w:val="rpl-text-label"/>
          <w:rFonts w:ascii="Arial" w:eastAsiaTheme="majorEastAsia" w:hAnsi="Arial" w:cs="Arial"/>
          <w:color w:val="011A3C"/>
        </w:rPr>
        <w:t>e</w:t>
      </w:r>
      <w:r w:rsidRPr="009738CC">
        <w:rPr>
          <w:rStyle w:val="rpl-text-label"/>
          <w:rFonts w:ascii="Arial" w:eastAsiaTheme="majorEastAsia" w:hAnsi="Arial" w:cs="Arial"/>
          <w:color w:val="011A3C"/>
        </w:rPr>
        <w:t xml:space="preserve"> negotiation</w:t>
      </w:r>
    </w:p>
    <w:p w14:paraId="6A0E5618" w14:textId="537F90A3" w:rsidR="009A1ECA" w:rsidRPr="009738CC" w:rsidRDefault="009738CC" w:rsidP="009738CC">
      <w:pPr>
        <w:pStyle w:val="rpl-anchor-linksitem"/>
        <w:numPr>
          <w:ilvl w:val="0"/>
          <w:numId w:val="1"/>
        </w:numPr>
        <w:rPr>
          <w:rFonts w:ascii="Arial" w:hAnsi="Arial" w:cs="Arial"/>
          <w:color w:val="000000"/>
        </w:rPr>
      </w:pPr>
      <w:r w:rsidRPr="009738CC">
        <w:rPr>
          <w:rFonts w:ascii="Arial" w:hAnsi="Arial" w:cs="Arial"/>
          <w:color w:val="000000"/>
        </w:rPr>
        <w:t>D</w:t>
      </w:r>
      <w:r w:rsidR="009A1ECA" w:rsidRPr="009738CC">
        <w:rPr>
          <w:rFonts w:ascii="Arial" w:hAnsi="Arial" w:cs="Arial"/>
          <w:color w:val="000000"/>
        </w:rPr>
        <w:t>ocument the negotiation process</w:t>
      </w:r>
    </w:p>
    <w:p w14:paraId="2D00B131" w14:textId="59F9193C" w:rsidR="009A1ECA" w:rsidRPr="009A1ECA" w:rsidRDefault="009A1ECA" w:rsidP="009A1ECA">
      <w:pPr>
        <w:pStyle w:val="rpl-anchor-linksitem"/>
        <w:numPr>
          <w:ilvl w:val="0"/>
          <w:numId w:val="1"/>
        </w:numPr>
        <w:rPr>
          <w:rFonts w:ascii="Arial" w:hAnsi="Arial" w:cs="Arial"/>
          <w:color w:val="000000"/>
        </w:rPr>
      </w:pPr>
      <w:r w:rsidRPr="009A1ECA">
        <w:rPr>
          <w:rFonts w:ascii="Arial" w:hAnsi="Arial" w:cs="Arial"/>
          <w:color w:val="000000"/>
        </w:rPr>
        <w:t>Maintain the integrity of the market approach</w:t>
      </w:r>
    </w:p>
    <w:p w14:paraId="54DB378D" w14:textId="77777777" w:rsidR="00DE021E" w:rsidRDefault="002B3667" w:rsidP="00DE021E">
      <w:pPr>
        <w:pStyle w:val="rpl-anchor-linksitem"/>
        <w:numPr>
          <w:ilvl w:val="0"/>
          <w:numId w:val="1"/>
        </w:numPr>
        <w:rPr>
          <w:rFonts w:ascii="Arial" w:hAnsi="Arial" w:cs="Arial"/>
          <w:color w:val="000000"/>
        </w:rPr>
      </w:pPr>
      <w:hyperlink r:id="rId14" w:anchor="using-this-guide" w:history="1">
        <w:r w:rsidR="00DE021E">
          <w:rPr>
            <w:rStyle w:val="rpl-text-label"/>
            <w:rFonts w:ascii="Arial" w:eastAsiaTheme="majorEastAsia" w:hAnsi="Arial" w:cs="Arial"/>
            <w:color w:val="011A3C"/>
          </w:rPr>
          <w:t>Using this guide</w:t>
        </w:r>
      </w:hyperlink>
    </w:p>
    <w:p w14:paraId="78EEF935" w14:textId="77777777" w:rsidR="00DE021E" w:rsidRDefault="002B3667" w:rsidP="00DE021E">
      <w:pPr>
        <w:pStyle w:val="rpl-anchor-linksitem"/>
        <w:numPr>
          <w:ilvl w:val="0"/>
          <w:numId w:val="1"/>
        </w:numPr>
        <w:rPr>
          <w:rFonts w:ascii="Arial" w:hAnsi="Arial" w:cs="Arial"/>
          <w:color w:val="000000"/>
        </w:rPr>
      </w:pPr>
      <w:hyperlink r:id="rId15" w:anchor="tools-and-support" w:history="1">
        <w:r w:rsidR="00DE021E">
          <w:rPr>
            <w:rStyle w:val="rpl-text-label"/>
            <w:rFonts w:ascii="Arial" w:eastAsiaTheme="majorEastAsia" w:hAnsi="Arial" w:cs="Arial"/>
            <w:color w:val="011A3C"/>
          </w:rPr>
          <w:t>Tools and support</w:t>
        </w:r>
      </w:hyperlink>
    </w:p>
    <w:p w14:paraId="5A74CA00" w14:textId="2E0641E9" w:rsidR="00DE021E" w:rsidRDefault="00DE021E" w:rsidP="00DE021E">
      <w:pPr>
        <w:pStyle w:val="Heading2"/>
        <w:spacing w:line="312" w:lineRule="atLeast"/>
        <w:rPr>
          <w:rFonts w:eastAsia="Times New Roman"/>
          <w:lang w:eastAsia="en-AU"/>
        </w:rPr>
      </w:pPr>
      <w:r>
        <w:rPr>
          <w:rFonts w:ascii="Arial" w:hAnsi="Arial" w:cs="Arial"/>
          <w:b/>
          <w:bCs/>
          <w:color w:val="381F6A"/>
        </w:rPr>
        <w:t>Purpose</w:t>
      </w:r>
    </w:p>
    <w:p w14:paraId="4D76504B" w14:textId="77777777" w:rsidR="00DE021E" w:rsidRPr="00EB290D" w:rsidRDefault="00DE021E" w:rsidP="00DE021E">
      <w:pPr>
        <w:spacing w:before="240"/>
        <w:rPr>
          <w:rFonts w:ascii="Arial" w:eastAsia="Times New Roman" w:hAnsi="Arial" w:cs="Arial"/>
          <w:color w:val="011A3C"/>
          <w:sz w:val="24"/>
          <w:szCs w:val="24"/>
          <w:lang w:eastAsia="en-AU"/>
        </w:rPr>
      </w:pPr>
      <w:r w:rsidRPr="00EB290D">
        <w:rPr>
          <w:rFonts w:ascii="Arial" w:eastAsia="Times New Roman" w:hAnsi="Arial" w:cs="Arial"/>
          <w:color w:val="011A3C"/>
          <w:sz w:val="24"/>
          <w:szCs w:val="24"/>
          <w:lang w:eastAsia="en-AU"/>
        </w:rPr>
        <w:t>Negotiate to improve the value for money outcome of the procurement through:</w:t>
      </w:r>
    </w:p>
    <w:p w14:paraId="4EF33579" w14:textId="77777777" w:rsidR="00DE021E" w:rsidRPr="00D00E7D" w:rsidRDefault="00DE021E" w:rsidP="00DE021E">
      <w:pPr>
        <w:numPr>
          <w:ilvl w:val="0"/>
          <w:numId w:val="2"/>
        </w:numPr>
        <w:spacing w:before="100" w:beforeAutospacing="1" w:after="100" w:afterAutospacing="1" w:line="240" w:lineRule="auto"/>
        <w:rPr>
          <w:rFonts w:ascii="Arial" w:hAnsi="Arial" w:cs="Arial"/>
          <w:color w:val="011A3C"/>
          <w:sz w:val="24"/>
          <w:szCs w:val="24"/>
        </w:rPr>
      </w:pPr>
      <w:r w:rsidRPr="00D00E7D">
        <w:rPr>
          <w:rFonts w:ascii="Arial" w:hAnsi="Arial" w:cs="Arial"/>
          <w:color w:val="011A3C"/>
          <w:sz w:val="24"/>
          <w:szCs w:val="24"/>
        </w:rPr>
        <w:t xml:space="preserve">improving compliance with the specification and the draft contract; </w:t>
      </w:r>
    </w:p>
    <w:p w14:paraId="63572FD5" w14:textId="77777777" w:rsidR="00DE021E" w:rsidRPr="00D00E7D" w:rsidRDefault="00DE021E" w:rsidP="00DE021E">
      <w:pPr>
        <w:numPr>
          <w:ilvl w:val="0"/>
          <w:numId w:val="2"/>
        </w:numPr>
        <w:spacing w:before="100" w:beforeAutospacing="1" w:after="100" w:afterAutospacing="1" w:line="240" w:lineRule="auto"/>
        <w:rPr>
          <w:rFonts w:ascii="Arial" w:hAnsi="Arial" w:cs="Arial"/>
          <w:color w:val="011A3C"/>
          <w:sz w:val="24"/>
          <w:szCs w:val="24"/>
        </w:rPr>
      </w:pPr>
      <w:r w:rsidRPr="00D00E7D">
        <w:rPr>
          <w:rFonts w:ascii="Arial" w:hAnsi="Arial" w:cs="Arial"/>
          <w:color w:val="011A3C"/>
          <w:sz w:val="24"/>
          <w:szCs w:val="24"/>
        </w:rPr>
        <w:t>treating risk;</w:t>
      </w:r>
    </w:p>
    <w:p w14:paraId="22D2E628" w14:textId="77777777" w:rsidR="00DE021E" w:rsidRPr="00D00E7D" w:rsidRDefault="00DE021E" w:rsidP="00DE021E">
      <w:pPr>
        <w:numPr>
          <w:ilvl w:val="0"/>
          <w:numId w:val="2"/>
        </w:numPr>
        <w:spacing w:before="100" w:beforeAutospacing="1" w:after="100" w:afterAutospacing="1" w:line="240" w:lineRule="auto"/>
        <w:rPr>
          <w:rFonts w:ascii="Arial" w:hAnsi="Arial" w:cs="Arial"/>
          <w:color w:val="011A3C"/>
          <w:sz w:val="24"/>
          <w:szCs w:val="24"/>
        </w:rPr>
      </w:pPr>
      <w:r w:rsidRPr="00D00E7D">
        <w:rPr>
          <w:rFonts w:ascii="Arial" w:hAnsi="Arial" w:cs="Arial"/>
          <w:color w:val="011A3C"/>
          <w:sz w:val="24"/>
          <w:szCs w:val="24"/>
        </w:rPr>
        <w:t>improving cost/price; and</w:t>
      </w:r>
    </w:p>
    <w:p w14:paraId="0FD455F7" w14:textId="60787DA5" w:rsidR="00DE021E" w:rsidRDefault="00DE021E" w:rsidP="00DE021E">
      <w:pPr>
        <w:numPr>
          <w:ilvl w:val="0"/>
          <w:numId w:val="2"/>
        </w:numPr>
        <w:spacing w:before="100" w:beforeAutospacing="1" w:after="100" w:afterAutospacing="1" w:line="240" w:lineRule="auto"/>
        <w:rPr>
          <w:rFonts w:ascii="Arial" w:hAnsi="Arial" w:cs="Arial"/>
          <w:color w:val="011A3C"/>
        </w:rPr>
      </w:pPr>
      <w:r w:rsidRPr="00D00E7D">
        <w:rPr>
          <w:rFonts w:ascii="Arial" w:hAnsi="Arial" w:cs="Arial"/>
          <w:color w:val="011A3C"/>
          <w:sz w:val="24"/>
          <w:szCs w:val="24"/>
        </w:rPr>
        <w:t xml:space="preserve">identifying </w:t>
      </w:r>
      <w:r w:rsidR="00A86C4E" w:rsidRPr="00D00E7D">
        <w:rPr>
          <w:rFonts w:ascii="Arial" w:hAnsi="Arial" w:cs="Arial"/>
          <w:color w:val="011A3C"/>
          <w:sz w:val="24"/>
          <w:szCs w:val="24"/>
        </w:rPr>
        <w:t xml:space="preserve">wider </w:t>
      </w:r>
      <w:r w:rsidRPr="00D00E7D">
        <w:rPr>
          <w:rFonts w:ascii="Arial" w:hAnsi="Arial" w:cs="Arial"/>
          <w:color w:val="011A3C"/>
          <w:sz w:val="24"/>
          <w:szCs w:val="24"/>
        </w:rPr>
        <w:t>opportunities for collaboration, innovation, and further benefits for both parties, including for broader government objectives.</w:t>
      </w:r>
    </w:p>
    <w:p w14:paraId="2CDFB45F" w14:textId="51E3BD63" w:rsidR="00583BBE" w:rsidRPr="00583BBE" w:rsidRDefault="00583BBE" w:rsidP="006740D5">
      <w:pPr>
        <w:pStyle w:val="Heading2"/>
        <w:spacing w:line="480" w:lineRule="auto"/>
        <w:rPr>
          <w:b/>
          <w:bCs/>
          <w:color w:val="381F6A"/>
        </w:rPr>
      </w:pPr>
      <w:r>
        <w:rPr>
          <w:rFonts w:ascii="Arial" w:hAnsi="Arial" w:cs="Arial"/>
          <w:b/>
          <w:bCs/>
          <w:color w:val="381F6A"/>
        </w:rPr>
        <w:t>Plan negotiation</w:t>
      </w:r>
    </w:p>
    <w:p w14:paraId="77EAAFEA" w14:textId="7CE5182B" w:rsidR="009F0445" w:rsidRDefault="001D3DF1" w:rsidP="00104887">
      <w:pPr>
        <w:pStyle w:val="paragraph"/>
        <w:spacing w:before="0" w:beforeAutospacing="0" w:after="0" w:afterAutospacing="0"/>
        <w:textAlignment w:val="baseline"/>
        <w:rPr>
          <w:rStyle w:val="rpl-text-label"/>
          <w:rFonts w:ascii="Arial" w:eastAsiaTheme="majorEastAsia" w:hAnsi="Arial" w:cs="Arial"/>
          <w:color w:val="011A3C"/>
          <w:sz w:val="26"/>
          <w:szCs w:val="26"/>
          <w:lang w:eastAsia="en-US"/>
        </w:rPr>
      </w:pPr>
      <w:r>
        <w:rPr>
          <w:rStyle w:val="rpl-text-label"/>
          <w:rFonts w:ascii="Arial" w:eastAsiaTheme="majorEastAsia" w:hAnsi="Arial" w:cs="Arial"/>
          <w:color w:val="011A3C"/>
        </w:rPr>
        <w:t xml:space="preserve">Plan negotiation to </w:t>
      </w:r>
      <w:r w:rsidR="00983424">
        <w:rPr>
          <w:rStyle w:val="rpl-text-label"/>
          <w:rFonts w:ascii="Arial" w:eastAsiaTheme="majorEastAsia" w:hAnsi="Arial" w:cs="Arial"/>
          <w:color w:val="011A3C"/>
        </w:rPr>
        <w:t xml:space="preserve">improve </w:t>
      </w:r>
      <w:r w:rsidR="00C34D92">
        <w:rPr>
          <w:rStyle w:val="rpl-text-label"/>
          <w:rFonts w:ascii="Arial" w:eastAsiaTheme="majorEastAsia" w:hAnsi="Arial" w:cs="Arial"/>
          <w:color w:val="011A3C"/>
        </w:rPr>
        <w:t xml:space="preserve">the potential </w:t>
      </w:r>
      <w:r w:rsidR="00983424">
        <w:rPr>
          <w:rStyle w:val="rpl-text-label"/>
          <w:rFonts w:ascii="Arial" w:eastAsiaTheme="majorEastAsia" w:hAnsi="Arial" w:cs="Arial"/>
          <w:color w:val="011A3C"/>
        </w:rPr>
        <w:t>value for money</w:t>
      </w:r>
      <w:r w:rsidR="00C34D92">
        <w:rPr>
          <w:rStyle w:val="rpl-text-label"/>
          <w:rFonts w:ascii="Arial" w:eastAsiaTheme="majorEastAsia" w:hAnsi="Arial" w:cs="Arial"/>
          <w:color w:val="011A3C"/>
        </w:rPr>
        <w:t xml:space="preserve"> of offers</w:t>
      </w:r>
      <w:r>
        <w:rPr>
          <w:rStyle w:val="rpl-text-label"/>
          <w:rFonts w:ascii="Arial" w:eastAsiaTheme="majorEastAsia" w:hAnsi="Arial" w:cs="Arial"/>
          <w:color w:val="011A3C"/>
        </w:rPr>
        <w:t>.</w:t>
      </w:r>
      <w:r w:rsidR="00563873">
        <w:rPr>
          <w:rStyle w:val="rpl-text-label"/>
          <w:rFonts w:ascii="Arial" w:eastAsiaTheme="majorEastAsia" w:hAnsi="Arial" w:cs="Arial"/>
          <w:color w:val="011A3C"/>
        </w:rPr>
        <w:t xml:space="preserve"> </w:t>
      </w:r>
      <w:r w:rsidR="00866868">
        <w:rPr>
          <w:rStyle w:val="rpl-text-label"/>
          <w:rFonts w:ascii="Arial" w:eastAsiaTheme="majorEastAsia" w:hAnsi="Arial" w:cs="Arial"/>
          <w:color w:val="011A3C"/>
        </w:rPr>
        <w:t>The approach to negotiation should be appro</w:t>
      </w:r>
      <w:r w:rsidR="009F77D3">
        <w:rPr>
          <w:rStyle w:val="rpl-text-label"/>
          <w:rFonts w:ascii="Arial" w:eastAsiaTheme="majorEastAsia" w:hAnsi="Arial" w:cs="Arial"/>
          <w:color w:val="011A3C"/>
        </w:rPr>
        <w:t xml:space="preserve">priate to the complexity </w:t>
      </w:r>
      <w:r w:rsidR="0075226B">
        <w:rPr>
          <w:rStyle w:val="rpl-text-label"/>
          <w:rFonts w:ascii="Arial" w:eastAsiaTheme="majorEastAsia" w:hAnsi="Arial" w:cs="Arial"/>
          <w:color w:val="011A3C"/>
        </w:rPr>
        <w:t>of the procurement</w:t>
      </w:r>
      <w:r w:rsidR="009137E6">
        <w:rPr>
          <w:rStyle w:val="rpl-text-label"/>
          <w:rFonts w:ascii="Arial" w:eastAsiaTheme="majorEastAsia" w:hAnsi="Arial" w:cs="Arial"/>
          <w:color w:val="011A3C"/>
        </w:rPr>
        <w:t>.</w:t>
      </w:r>
      <w:r w:rsidR="009137E6" w:rsidRPr="009137E6">
        <w:rPr>
          <w:rStyle w:val="rpl-text-label"/>
          <w:rFonts w:ascii="Arial" w:eastAsiaTheme="majorEastAsia" w:hAnsi="Arial" w:cs="Arial"/>
          <w:color w:val="011A3C"/>
        </w:rPr>
        <w:t xml:space="preserve"> </w:t>
      </w:r>
      <w:r w:rsidR="009F0445">
        <w:rPr>
          <w:rStyle w:val="rpl-text-label"/>
          <w:rFonts w:ascii="Arial" w:eastAsiaTheme="majorEastAsia" w:hAnsi="Arial" w:cs="Arial"/>
          <w:color w:val="011A3C"/>
        </w:rPr>
        <w:t xml:space="preserve">The negotiation plan should </w:t>
      </w:r>
      <w:r w:rsidR="00AA4B30">
        <w:rPr>
          <w:rStyle w:val="rpl-text-label"/>
          <w:rFonts w:ascii="Arial" w:eastAsiaTheme="majorEastAsia" w:hAnsi="Arial" w:cs="Arial"/>
          <w:color w:val="011A3C"/>
        </w:rPr>
        <w:t xml:space="preserve">be approved </w:t>
      </w:r>
      <w:r w:rsidR="00CD607F">
        <w:rPr>
          <w:rFonts w:ascii="Arial" w:hAnsi="Arial" w:cs="Arial"/>
          <w:color w:val="011A3C"/>
        </w:rPr>
        <w:t xml:space="preserve">prior to </w:t>
      </w:r>
      <w:r w:rsidR="00EF6858">
        <w:rPr>
          <w:rFonts w:ascii="Arial" w:hAnsi="Arial" w:cs="Arial"/>
          <w:color w:val="011A3C"/>
        </w:rPr>
        <w:t>negotiation</w:t>
      </w:r>
      <w:r w:rsidR="00CD607F">
        <w:rPr>
          <w:rStyle w:val="rpl-text-label"/>
          <w:rFonts w:ascii="Arial" w:eastAsiaTheme="majorEastAsia" w:hAnsi="Arial" w:cs="Arial"/>
          <w:color w:val="011A3C"/>
        </w:rPr>
        <w:t xml:space="preserve"> </w:t>
      </w:r>
      <w:r w:rsidR="00FC3502">
        <w:rPr>
          <w:rStyle w:val="rpl-text-label"/>
          <w:rFonts w:ascii="Arial" w:eastAsiaTheme="majorEastAsia" w:hAnsi="Arial" w:cs="Arial"/>
          <w:color w:val="011A3C"/>
        </w:rPr>
        <w:t xml:space="preserve">by an </w:t>
      </w:r>
      <w:r w:rsidR="00FC3502">
        <w:rPr>
          <w:rFonts w:ascii="Arial" w:hAnsi="Arial" w:cs="Arial"/>
        </w:rPr>
        <w:t xml:space="preserve">appropriate delegate </w:t>
      </w:r>
      <w:r w:rsidR="00265D5D">
        <w:rPr>
          <w:rFonts w:ascii="Arial" w:hAnsi="Arial" w:cs="Arial"/>
        </w:rPr>
        <w:t xml:space="preserve">according to </w:t>
      </w:r>
      <w:r w:rsidR="00815D74">
        <w:rPr>
          <w:rStyle w:val="rpl-text-label"/>
          <w:rFonts w:ascii="Arial" w:eastAsiaTheme="majorEastAsia" w:hAnsi="Arial" w:cs="Arial"/>
          <w:color w:val="011A3C"/>
        </w:rPr>
        <w:t>the</w:t>
      </w:r>
      <w:r w:rsidR="00AA4B30">
        <w:rPr>
          <w:rStyle w:val="rpl-text-label"/>
          <w:rFonts w:ascii="Arial" w:eastAsiaTheme="majorEastAsia" w:hAnsi="Arial" w:cs="Arial"/>
          <w:color w:val="011A3C"/>
        </w:rPr>
        <w:t xml:space="preserve"> </w:t>
      </w:r>
      <w:r w:rsidR="003D5412">
        <w:rPr>
          <w:rStyle w:val="rpl-text-label"/>
          <w:rFonts w:ascii="Arial" w:eastAsiaTheme="majorEastAsia" w:hAnsi="Arial" w:cs="Arial"/>
          <w:color w:val="011A3C"/>
        </w:rPr>
        <w:t>governance</w:t>
      </w:r>
      <w:r w:rsidR="00815D74">
        <w:rPr>
          <w:rStyle w:val="rpl-text-label"/>
          <w:rFonts w:ascii="Arial" w:eastAsiaTheme="majorEastAsia" w:hAnsi="Arial" w:cs="Arial"/>
          <w:color w:val="011A3C"/>
        </w:rPr>
        <w:t xml:space="preserve"> framework for the procurement</w:t>
      </w:r>
      <w:r w:rsidR="00AA4B30">
        <w:rPr>
          <w:rStyle w:val="rpl-text-label"/>
          <w:rFonts w:ascii="Arial" w:eastAsiaTheme="majorEastAsia" w:hAnsi="Arial" w:cs="Arial"/>
          <w:color w:val="011A3C"/>
        </w:rPr>
        <w:t>.</w:t>
      </w:r>
    </w:p>
    <w:p w14:paraId="75500FDA" w14:textId="77777777" w:rsidR="00DE021E" w:rsidRDefault="00DE021E" w:rsidP="00DE021E">
      <w:pPr>
        <w:pStyle w:val="NormalWeb"/>
        <w:rPr>
          <w:rFonts w:ascii="Arial" w:hAnsi="Arial" w:cs="Arial"/>
          <w:color w:val="011A3C"/>
        </w:rPr>
      </w:pPr>
      <w:r>
        <w:rPr>
          <w:rFonts w:ascii="Arial" w:hAnsi="Arial" w:cs="Arial"/>
          <w:color w:val="011A3C"/>
        </w:rPr>
        <w:t>Conducting negotiations is particularly relevant for procurement activities with one or more of the following characteristics:</w:t>
      </w:r>
    </w:p>
    <w:p w14:paraId="1B7D109D" w14:textId="13A96D59" w:rsidR="00DE021E" w:rsidRPr="00D00E7D" w:rsidRDefault="00DE021E" w:rsidP="00D00E7D">
      <w:pPr>
        <w:numPr>
          <w:ilvl w:val="0"/>
          <w:numId w:val="2"/>
        </w:numPr>
        <w:spacing w:before="100" w:beforeAutospacing="1" w:after="100" w:afterAutospacing="1" w:line="240" w:lineRule="auto"/>
        <w:rPr>
          <w:rFonts w:ascii="Arial" w:hAnsi="Arial" w:cs="Arial"/>
          <w:color w:val="011A3C"/>
          <w:sz w:val="24"/>
          <w:szCs w:val="24"/>
        </w:rPr>
      </w:pPr>
      <w:r w:rsidRPr="00D00E7D">
        <w:rPr>
          <w:rFonts w:ascii="Arial" w:hAnsi="Arial" w:cs="Arial"/>
          <w:color w:val="011A3C"/>
          <w:sz w:val="24"/>
          <w:szCs w:val="24"/>
        </w:rPr>
        <w:t>strategic</w:t>
      </w:r>
      <w:r w:rsidR="00AD3DF5" w:rsidRPr="00D00E7D">
        <w:rPr>
          <w:rFonts w:ascii="Arial" w:hAnsi="Arial" w:cs="Arial"/>
          <w:color w:val="011A3C"/>
          <w:sz w:val="24"/>
          <w:szCs w:val="24"/>
        </w:rPr>
        <w:t xml:space="preserve"> complexity</w:t>
      </w:r>
      <w:r w:rsidRPr="00D00E7D">
        <w:rPr>
          <w:rFonts w:ascii="Arial" w:hAnsi="Arial" w:cs="Arial"/>
          <w:color w:val="011A3C"/>
          <w:sz w:val="24"/>
          <w:szCs w:val="24"/>
        </w:rPr>
        <w:t>, high risk or close to core business;</w:t>
      </w:r>
    </w:p>
    <w:p w14:paraId="27F31899" w14:textId="77777777" w:rsidR="00DE021E" w:rsidRPr="00D00E7D" w:rsidRDefault="00DE021E" w:rsidP="00D00E7D">
      <w:pPr>
        <w:numPr>
          <w:ilvl w:val="0"/>
          <w:numId w:val="2"/>
        </w:numPr>
        <w:spacing w:before="100" w:beforeAutospacing="1" w:after="100" w:afterAutospacing="1" w:line="240" w:lineRule="auto"/>
        <w:rPr>
          <w:rFonts w:ascii="Arial" w:hAnsi="Arial" w:cs="Arial"/>
          <w:color w:val="011A3C"/>
          <w:sz w:val="24"/>
          <w:szCs w:val="24"/>
        </w:rPr>
      </w:pPr>
      <w:r w:rsidRPr="00D00E7D">
        <w:rPr>
          <w:rFonts w:ascii="Arial" w:hAnsi="Arial" w:cs="Arial"/>
          <w:color w:val="011A3C"/>
          <w:sz w:val="24"/>
          <w:szCs w:val="24"/>
        </w:rPr>
        <w:t>high element of innovation or novelty;</w:t>
      </w:r>
    </w:p>
    <w:p w14:paraId="34037CF3" w14:textId="77777777" w:rsidR="00DE021E" w:rsidRPr="00D00E7D" w:rsidRDefault="00DE021E" w:rsidP="00D00E7D">
      <w:pPr>
        <w:numPr>
          <w:ilvl w:val="0"/>
          <w:numId w:val="2"/>
        </w:numPr>
        <w:spacing w:before="100" w:beforeAutospacing="1" w:after="100" w:afterAutospacing="1" w:line="240" w:lineRule="auto"/>
        <w:rPr>
          <w:rFonts w:ascii="Arial" w:hAnsi="Arial" w:cs="Arial"/>
          <w:color w:val="011A3C"/>
          <w:sz w:val="24"/>
          <w:szCs w:val="24"/>
        </w:rPr>
      </w:pPr>
      <w:r w:rsidRPr="00D00E7D">
        <w:rPr>
          <w:rFonts w:ascii="Arial" w:hAnsi="Arial" w:cs="Arial"/>
          <w:color w:val="011A3C"/>
          <w:sz w:val="24"/>
          <w:szCs w:val="24"/>
        </w:rPr>
        <w:t>to better define procurement requirements;</w:t>
      </w:r>
    </w:p>
    <w:p w14:paraId="04DD482E" w14:textId="77777777" w:rsidR="00DE021E" w:rsidRPr="00D00E7D" w:rsidRDefault="00DE021E" w:rsidP="00D00E7D">
      <w:pPr>
        <w:numPr>
          <w:ilvl w:val="0"/>
          <w:numId w:val="2"/>
        </w:numPr>
        <w:spacing w:before="100" w:beforeAutospacing="1" w:after="100" w:afterAutospacing="1" w:line="240" w:lineRule="auto"/>
        <w:rPr>
          <w:rFonts w:ascii="Arial" w:hAnsi="Arial" w:cs="Arial"/>
          <w:color w:val="011A3C"/>
          <w:sz w:val="24"/>
          <w:szCs w:val="24"/>
        </w:rPr>
      </w:pPr>
      <w:r w:rsidRPr="00D00E7D">
        <w:rPr>
          <w:rFonts w:ascii="Arial" w:hAnsi="Arial" w:cs="Arial"/>
          <w:color w:val="011A3C"/>
          <w:sz w:val="24"/>
          <w:szCs w:val="24"/>
        </w:rPr>
        <w:t>there is a proposal to allocate risks and ownership at variance from a standard operating position; and/or</w:t>
      </w:r>
    </w:p>
    <w:p w14:paraId="3826AE48" w14:textId="77777777" w:rsidR="00DE021E" w:rsidRPr="00D00E7D" w:rsidRDefault="00DE021E" w:rsidP="00D00E7D">
      <w:pPr>
        <w:numPr>
          <w:ilvl w:val="0"/>
          <w:numId w:val="2"/>
        </w:numPr>
        <w:spacing w:before="100" w:beforeAutospacing="1" w:after="100" w:afterAutospacing="1" w:line="240" w:lineRule="auto"/>
        <w:rPr>
          <w:rFonts w:ascii="Arial" w:hAnsi="Arial" w:cs="Arial"/>
          <w:color w:val="011A3C"/>
          <w:sz w:val="24"/>
          <w:szCs w:val="24"/>
        </w:rPr>
      </w:pPr>
      <w:r w:rsidRPr="00D00E7D">
        <w:rPr>
          <w:rFonts w:ascii="Arial" w:hAnsi="Arial" w:cs="Arial"/>
          <w:color w:val="011A3C"/>
          <w:sz w:val="24"/>
          <w:szCs w:val="24"/>
        </w:rPr>
        <w:t>the procurement requires access to designated intellectual property in the supply market.</w:t>
      </w:r>
    </w:p>
    <w:p w14:paraId="21D73819" w14:textId="0078B4ED" w:rsidR="00370931" w:rsidRDefault="00370931" w:rsidP="00370931">
      <w:pPr>
        <w:pStyle w:val="NormalWeb"/>
        <w:rPr>
          <w:rFonts w:ascii="Arial" w:hAnsi="Arial" w:cs="Arial"/>
          <w:color w:val="011A3C"/>
        </w:rPr>
      </w:pPr>
      <w:r>
        <w:rPr>
          <w:rFonts w:ascii="Arial" w:hAnsi="Arial" w:cs="Arial"/>
          <w:color w:val="011A3C"/>
        </w:rPr>
        <w:lastRenderedPageBreak/>
        <w:t>The negotiation plan</w:t>
      </w:r>
      <w:r w:rsidR="00AB247E">
        <w:rPr>
          <w:rFonts w:ascii="Arial" w:hAnsi="Arial" w:cs="Arial"/>
          <w:color w:val="011A3C"/>
        </w:rPr>
        <w:t xml:space="preserve"> should</w:t>
      </w:r>
      <w:r>
        <w:rPr>
          <w:rFonts w:ascii="Arial" w:hAnsi="Arial" w:cs="Arial"/>
          <w:color w:val="011A3C"/>
        </w:rPr>
        <w:t>:</w:t>
      </w:r>
    </w:p>
    <w:p w14:paraId="588FDE43" w14:textId="1EBBF8F5" w:rsidR="00370931" w:rsidRPr="00D00E7D" w:rsidRDefault="00370931" w:rsidP="00D00E7D">
      <w:pPr>
        <w:numPr>
          <w:ilvl w:val="0"/>
          <w:numId w:val="2"/>
        </w:numPr>
        <w:spacing w:before="100" w:beforeAutospacing="1" w:after="100" w:afterAutospacing="1" w:line="240" w:lineRule="auto"/>
        <w:rPr>
          <w:rFonts w:ascii="Arial" w:hAnsi="Arial" w:cs="Arial"/>
          <w:color w:val="011A3C"/>
          <w:sz w:val="24"/>
          <w:szCs w:val="24"/>
        </w:rPr>
      </w:pPr>
      <w:r w:rsidRPr="00D00E7D">
        <w:rPr>
          <w:rFonts w:ascii="Arial" w:hAnsi="Arial" w:cs="Arial"/>
          <w:color w:val="011A3C"/>
          <w:sz w:val="24"/>
          <w:szCs w:val="24"/>
        </w:rPr>
        <w:t>align the capability and authority of the negotiati</w:t>
      </w:r>
      <w:r w:rsidR="00AB247E" w:rsidRPr="00D00E7D">
        <w:rPr>
          <w:rFonts w:ascii="Arial" w:hAnsi="Arial" w:cs="Arial"/>
          <w:color w:val="011A3C"/>
          <w:sz w:val="24"/>
          <w:szCs w:val="24"/>
        </w:rPr>
        <w:t>ng</w:t>
      </w:r>
      <w:r w:rsidRPr="00D00E7D">
        <w:rPr>
          <w:rFonts w:ascii="Arial" w:hAnsi="Arial" w:cs="Arial"/>
          <w:color w:val="011A3C"/>
          <w:sz w:val="24"/>
          <w:szCs w:val="24"/>
        </w:rPr>
        <w:t xml:space="preserve"> </w:t>
      </w:r>
      <w:r w:rsidR="00AB247E" w:rsidRPr="00D00E7D">
        <w:rPr>
          <w:rFonts w:ascii="Arial" w:hAnsi="Arial" w:cs="Arial"/>
          <w:color w:val="011A3C"/>
          <w:sz w:val="24"/>
          <w:szCs w:val="24"/>
        </w:rPr>
        <w:t>team</w:t>
      </w:r>
      <w:r w:rsidRPr="00D00E7D">
        <w:rPr>
          <w:rFonts w:ascii="Arial" w:hAnsi="Arial" w:cs="Arial"/>
          <w:color w:val="011A3C"/>
          <w:sz w:val="24"/>
          <w:szCs w:val="24"/>
        </w:rPr>
        <w:t xml:space="preserve"> with the complexity of the procurement;</w:t>
      </w:r>
    </w:p>
    <w:p w14:paraId="224E9F9C" w14:textId="2C4A98F6" w:rsidR="00370931" w:rsidRPr="00D00E7D" w:rsidRDefault="00370931" w:rsidP="00D00E7D">
      <w:pPr>
        <w:numPr>
          <w:ilvl w:val="0"/>
          <w:numId w:val="2"/>
        </w:numPr>
        <w:spacing w:before="100" w:beforeAutospacing="1" w:after="100" w:afterAutospacing="1" w:line="240" w:lineRule="auto"/>
        <w:rPr>
          <w:rFonts w:ascii="Arial" w:hAnsi="Arial" w:cs="Arial"/>
          <w:color w:val="011A3C"/>
          <w:sz w:val="24"/>
          <w:szCs w:val="24"/>
        </w:rPr>
      </w:pPr>
      <w:r w:rsidRPr="00D00E7D">
        <w:rPr>
          <w:rFonts w:ascii="Arial" w:hAnsi="Arial" w:cs="Arial"/>
          <w:color w:val="011A3C"/>
          <w:sz w:val="24"/>
          <w:szCs w:val="24"/>
        </w:rPr>
        <w:t>establish a process for engaging stakeholders to obtain input and advice as negotiation progress</w:t>
      </w:r>
      <w:r w:rsidR="00F709DE">
        <w:rPr>
          <w:rFonts w:ascii="Arial" w:hAnsi="Arial" w:cs="Arial"/>
          <w:color w:val="011A3C"/>
          <w:sz w:val="24"/>
          <w:szCs w:val="24"/>
        </w:rPr>
        <w:t>es</w:t>
      </w:r>
      <w:r w:rsidRPr="00D00E7D">
        <w:rPr>
          <w:rFonts w:ascii="Arial" w:hAnsi="Arial" w:cs="Arial"/>
          <w:color w:val="011A3C"/>
          <w:sz w:val="24"/>
          <w:szCs w:val="24"/>
        </w:rPr>
        <w:t>;</w:t>
      </w:r>
    </w:p>
    <w:p w14:paraId="59D817CA" w14:textId="3DC19FE7" w:rsidR="007A3DEF" w:rsidRPr="00D00E7D" w:rsidRDefault="007A3DEF" w:rsidP="00D00E7D">
      <w:pPr>
        <w:numPr>
          <w:ilvl w:val="0"/>
          <w:numId w:val="2"/>
        </w:numPr>
        <w:spacing w:before="100" w:beforeAutospacing="1" w:after="100" w:afterAutospacing="1" w:line="240" w:lineRule="auto"/>
        <w:rPr>
          <w:rFonts w:ascii="Arial" w:hAnsi="Arial" w:cs="Arial"/>
          <w:color w:val="011A3C"/>
          <w:sz w:val="24"/>
          <w:szCs w:val="24"/>
        </w:rPr>
      </w:pPr>
      <w:r w:rsidRPr="00D00E7D">
        <w:rPr>
          <w:rFonts w:ascii="Arial" w:hAnsi="Arial" w:cs="Arial"/>
          <w:color w:val="011A3C"/>
          <w:sz w:val="24"/>
          <w:szCs w:val="24"/>
        </w:rPr>
        <w:t>detail the approach to negotiating;</w:t>
      </w:r>
    </w:p>
    <w:p w14:paraId="3D4DF365" w14:textId="1355E499" w:rsidR="00370931" w:rsidRPr="00D00E7D" w:rsidRDefault="00D87BBB" w:rsidP="00D00E7D">
      <w:pPr>
        <w:numPr>
          <w:ilvl w:val="0"/>
          <w:numId w:val="2"/>
        </w:numPr>
        <w:spacing w:before="100" w:beforeAutospacing="1" w:after="100" w:afterAutospacing="1" w:line="240" w:lineRule="auto"/>
        <w:rPr>
          <w:rFonts w:ascii="Arial" w:hAnsi="Arial" w:cs="Arial"/>
          <w:color w:val="011A3C"/>
          <w:sz w:val="24"/>
          <w:szCs w:val="24"/>
        </w:rPr>
      </w:pPr>
      <w:r w:rsidRPr="00D00E7D">
        <w:rPr>
          <w:rFonts w:ascii="Arial" w:hAnsi="Arial" w:cs="Arial"/>
          <w:color w:val="011A3C"/>
          <w:sz w:val="24"/>
          <w:szCs w:val="24"/>
        </w:rPr>
        <w:t>detail</w:t>
      </w:r>
      <w:r w:rsidR="00CD607F" w:rsidRPr="00D00E7D">
        <w:rPr>
          <w:rFonts w:ascii="Arial" w:hAnsi="Arial" w:cs="Arial"/>
          <w:color w:val="011A3C"/>
          <w:sz w:val="24"/>
          <w:szCs w:val="24"/>
        </w:rPr>
        <w:t xml:space="preserve"> the scope and</w:t>
      </w:r>
      <w:r w:rsidR="00370931" w:rsidRPr="00D00E7D">
        <w:rPr>
          <w:rFonts w:ascii="Arial" w:hAnsi="Arial" w:cs="Arial"/>
          <w:color w:val="011A3C"/>
          <w:sz w:val="24"/>
          <w:szCs w:val="24"/>
        </w:rPr>
        <w:t xml:space="preserve"> </w:t>
      </w:r>
      <w:r w:rsidR="00CD607F" w:rsidRPr="00D00E7D">
        <w:rPr>
          <w:rFonts w:ascii="Arial" w:hAnsi="Arial" w:cs="Arial"/>
          <w:color w:val="011A3C"/>
          <w:sz w:val="24"/>
          <w:szCs w:val="24"/>
        </w:rPr>
        <w:t>outcomes sought</w:t>
      </w:r>
      <w:r w:rsidR="00370931" w:rsidRPr="00D00E7D">
        <w:rPr>
          <w:rFonts w:ascii="Arial" w:hAnsi="Arial" w:cs="Arial"/>
          <w:color w:val="011A3C"/>
          <w:sz w:val="24"/>
          <w:szCs w:val="24"/>
        </w:rPr>
        <w:t>;</w:t>
      </w:r>
    </w:p>
    <w:p w14:paraId="18D5787E" w14:textId="6C15B15B" w:rsidR="00370931" w:rsidRPr="00D00E7D" w:rsidRDefault="00370931" w:rsidP="00D00E7D">
      <w:pPr>
        <w:numPr>
          <w:ilvl w:val="0"/>
          <w:numId w:val="2"/>
        </w:numPr>
        <w:spacing w:before="100" w:beforeAutospacing="1" w:after="100" w:afterAutospacing="1" w:line="240" w:lineRule="auto"/>
        <w:rPr>
          <w:rFonts w:ascii="Arial" w:hAnsi="Arial" w:cs="Arial"/>
          <w:color w:val="011A3C"/>
          <w:sz w:val="24"/>
          <w:szCs w:val="24"/>
        </w:rPr>
      </w:pPr>
      <w:r w:rsidRPr="00D00E7D">
        <w:rPr>
          <w:rFonts w:ascii="Arial" w:hAnsi="Arial" w:cs="Arial"/>
          <w:color w:val="011A3C"/>
          <w:sz w:val="24"/>
          <w:szCs w:val="24"/>
        </w:rPr>
        <w:t xml:space="preserve">ensure </w:t>
      </w:r>
      <w:r w:rsidR="00CD607F" w:rsidRPr="00D00E7D">
        <w:rPr>
          <w:rFonts w:ascii="Arial" w:hAnsi="Arial" w:cs="Arial"/>
          <w:color w:val="011A3C"/>
          <w:sz w:val="24"/>
          <w:szCs w:val="24"/>
        </w:rPr>
        <w:t>probity</w:t>
      </w:r>
      <w:r w:rsidRPr="00D00E7D">
        <w:rPr>
          <w:rFonts w:ascii="Arial" w:hAnsi="Arial" w:cs="Arial"/>
          <w:color w:val="011A3C"/>
          <w:sz w:val="24"/>
          <w:szCs w:val="24"/>
        </w:rPr>
        <w:t>; and</w:t>
      </w:r>
    </w:p>
    <w:p w14:paraId="507C3BEF" w14:textId="4D9A53B5" w:rsidR="00370931" w:rsidRPr="00D00E7D" w:rsidRDefault="00370931" w:rsidP="00D00E7D">
      <w:pPr>
        <w:numPr>
          <w:ilvl w:val="0"/>
          <w:numId w:val="2"/>
        </w:numPr>
        <w:spacing w:before="100" w:beforeAutospacing="1" w:after="100" w:afterAutospacing="1" w:line="240" w:lineRule="auto"/>
        <w:rPr>
          <w:rFonts w:ascii="Arial" w:hAnsi="Arial" w:cs="Arial"/>
          <w:color w:val="011A3C"/>
          <w:sz w:val="24"/>
          <w:szCs w:val="24"/>
        </w:rPr>
      </w:pPr>
      <w:r w:rsidRPr="00D00E7D">
        <w:rPr>
          <w:rFonts w:ascii="Arial" w:hAnsi="Arial" w:cs="Arial"/>
          <w:color w:val="011A3C"/>
          <w:sz w:val="24"/>
          <w:szCs w:val="24"/>
        </w:rPr>
        <w:t>establish a framework for conducting the meetings.</w:t>
      </w:r>
    </w:p>
    <w:p w14:paraId="49142893" w14:textId="75F84296" w:rsidR="00370931" w:rsidRDefault="00CD607F" w:rsidP="00370931">
      <w:pPr>
        <w:pStyle w:val="NormalWeb"/>
        <w:rPr>
          <w:rFonts w:ascii="Arial" w:hAnsi="Arial" w:cs="Arial"/>
          <w:color w:val="011A3C"/>
        </w:rPr>
      </w:pPr>
      <w:r>
        <w:rPr>
          <w:rFonts w:ascii="Arial" w:hAnsi="Arial" w:cs="Arial"/>
          <w:color w:val="011A3C"/>
        </w:rPr>
        <w:t>The scope of negotiations may include:</w:t>
      </w:r>
    </w:p>
    <w:p w14:paraId="256566B2" w14:textId="77777777" w:rsidR="00370931" w:rsidRPr="00D00E7D" w:rsidRDefault="00370931" w:rsidP="00D00E7D">
      <w:pPr>
        <w:numPr>
          <w:ilvl w:val="0"/>
          <w:numId w:val="2"/>
        </w:numPr>
        <w:spacing w:before="100" w:beforeAutospacing="1" w:after="100" w:afterAutospacing="1" w:line="240" w:lineRule="auto"/>
        <w:rPr>
          <w:rFonts w:ascii="Arial" w:hAnsi="Arial" w:cs="Arial"/>
          <w:color w:val="011A3C"/>
          <w:sz w:val="24"/>
          <w:szCs w:val="24"/>
        </w:rPr>
      </w:pPr>
      <w:r w:rsidRPr="00D00E7D">
        <w:rPr>
          <w:rFonts w:ascii="Arial" w:hAnsi="Arial" w:cs="Arial"/>
          <w:color w:val="011A3C"/>
          <w:sz w:val="24"/>
          <w:szCs w:val="24"/>
        </w:rPr>
        <w:t>technical matters;</w:t>
      </w:r>
    </w:p>
    <w:p w14:paraId="3E218598" w14:textId="77777777" w:rsidR="00370931" w:rsidRPr="00D00E7D" w:rsidRDefault="00370931" w:rsidP="00D00E7D">
      <w:pPr>
        <w:numPr>
          <w:ilvl w:val="0"/>
          <w:numId w:val="2"/>
        </w:numPr>
        <w:spacing w:before="100" w:beforeAutospacing="1" w:after="100" w:afterAutospacing="1" w:line="240" w:lineRule="auto"/>
        <w:rPr>
          <w:rFonts w:ascii="Arial" w:hAnsi="Arial" w:cs="Arial"/>
          <w:color w:val="011A3C"/>
          <w:sz w:val="24"/>
          <w:szCs w:val="24"/>
        </w:rPr>
      </w:pPr>
      <w:r w:rsidRPr="00D00E7D">
        <w:rPr>
          <w:rFonts w:ascii="Arial" w:hAnsi="Arial" w:cs="Arial"/>
          <w:color w:val="011A3C"/>
          <w:sz w:val="24"/>
          <w:szCs w:val="24"/>
        </w:rPr>
        <w:t>access to management and ownership of intellectual property;</w:t>
      </w:r>
    </w:p>
    <w:p w14:paraId="270EE446" w14:textId="77777777" w:rsidR="00370931" w:rsidRPr="00D00E7D" w:rsidRDefault="00370931" w:rsidP="00D00E7D">
      <w:pPr>
        <w:numPr>
          <w:ilvl w:val="0"/>
          <w:numId w:val="2"/>
        </w:numPr>
        <w:spacing w:before="100" w:beforeAutospacing="1" w:after="100" w:afterAutospacing="1" w:line="240" w:lineRule="auto"/>
        <w:rPr>
          <w:rFonts w:ascii="Arial" w:hAnsi="Arial" w:cs="Arial"/>
          <w:color w:val="011A3C"/>
          <w:sz w:val="24"/>
          <w:szCs w:val="24"/>
        </w:rPr>
      </w:pPr>
      <w:r w:rsidRPr="00D00E7D">
        <w:rPr>
          <w:rFonts w:ascii="Arial" w:hAnsi="Arial" w:cs="Arial"/>
          <w:color w:val="011A3C"/>
          <w:sz w:val="24"/>
          <w:szCs w:val="24"/>
        </w:rPr>
        <w:t>risk allocation and responsibilities;</w:t>
      </w:r>
    </w:p>
    <w:p w14:paraId="015812EC" w14:textId="77777777" w:rsidR="00370931" w:rsidRPr="00D00E7D" w:rsidRDefault="00370931" w:rsidP="00D00E7D">
      <w:pPr>
        <w:numPr>
          <w:ilvl w:val="0"/>
          <w:numId w:val="2"/>
        </w:numPr>
        <w:spacing w:before="100" w:beforeAutospacing="1" w:after="100" w:afterAutospacing="1" w:line="240" w:lineRule="auto"/>
        <w:rPr>
          <w:rFonts w:ascii="Arial" w:hAnsi="Arial" w:cs="Arial"/>
          <w:color w:val="011A3C"/>
          <w:sz w:val="24"/>
          <w:szCs w:val="24"/>
        </w:rPr>
      </w:pPr>
      <w:r w:rsidRPr="00D00E7D">
        <w:rPr>
          <w:rFonts w:ascii="Arial" w:hAnsi="Arial" w:cs="Arial"/>
          <w:color w:val="011A3C"/>
          <w:sz w:val="24"/>
          <w:szCs w:val="24"/>
        </w:rPr>
        <w:t>insurances, indemnities, warranties and guarantees;</w:t>
      </w:r>
    </w:p>
    <w:p w14:paraId="2ADA91C5" w14:textId="77777777" w:rsidR="00370931" w:rsidRPr="00D00E7D" w:rsidRDefault="00370931" w:rsidP="00D00E7D">
      <w:pPr>
        <w:numPr>
          <w:ilvl w:val="0"/>
          <w:numId w:val="2"/>
        </w:numPr>
        <w:spacing w:before="100" w:beforeAutospacing="1" w:after="100" w:afterAutospacing="1" w:line="240" w:lineRule="auto"/>
        <w:rPr>
          <w:rFonts w:ascii="Arial" w:hAnsi="Arial" w:cs="Arial"/>
          <w:color w:val="011A3C"/>
          <w:sz w:val="24"/>
          <w:szCs w:val="24"/>
        </w:rPr>
      </w:pPr>
      <w:r w:rsidRPr="00D00E7D">
        <w:rPr>
          <w:rFonts w:ascii="Arial" w:hAnsi="Arial" w:cs="Arial"/>
          <w:color w:val="011A3C"/>
          <w:sz w:val="24"/>
          <w:szCs w:val="24"/>
        </w:rPr>
        <w:t>financial matters;</w:t>
      </w:r>
    </w:p>
    <w:p w14:paraId="1E170896" w14:textId="77777777" w:rsidR="00370931" w:rsidRPr="00D00E7D" w:rsidRDefault="00370931" w:rsidP="00D00E7D">
      <w:pPr>
        <w:numPr>
          <w:ilvl w:val="0"/>
          <w:numId w:val="2"/>
        </w:numPr>
        <w:spacing w:before="100" w:beforeAutospacing="1" w:after="100" w:afterAutospacing="1" w:line="240" w:lineRule="auto"/>
        <w:rPr>
          <w:rFonts w:ascii="Arial" w:hAnsi="Arial" w:cs="Arial"/>
          <w:color w:val="011A3C"/>
          <w:sz w:val="24"/>
          <w:szCs w:val="24"/>
        </w:rPr>
      </w:pPr>
      <w:r w:rsidRPr="00D00E7D">
        <w:rPr>
          <w:rFonts w:ascii="Arial" w:hAnsi="Arial" w:cs="Arial"/>
          <w:color w:val="011A3C"/>
          <w:sz w:val="24"/>
          <w:szCs w:val="24"/>
        </w:rPr>
        <w:t>pricing;</w:t>
      </w:r>
    </w:p>
    <w:p w14:paraId="74B1358C" w14:textId="77777777" w:rsidR="00370931" w:rsidRPr="00D00E7D" w:rsidRDefault="00370931" w:rsidP="00D00E7D">
      <w:pPr>
        <w:numPr>
          <w:ilvl w:val="0"/>
          <w:numId w:val="2"/>
        </w:numPr>
        <w:spacing w:before="100" w:beforeAutospacing="1" w:after="100" w:afterAutospacing="1" w:line="240" w:lineRule="auto"/>
        <w:rPr>
          <w:rFonts w:ascii="Arial" w:hAnsi="Arial" w:cs="Arial"/>
          <w:color w:val="011A3C"/>
          <w:sz w:val="24"/>
          <w:szCs w:val="24"/>
        </w:rPr>
      </w:pPr>
      <w:r w:rsidRPr="00D00E7D">
        <w:rPr>
          <w:rFonts w:ascii="Arial" w:hAnsi="Arial" w:cs="Arial"/>
          <w:color w:val="011A3C"/>
          <w:sz w:val="24"/>
          <w:szCs w:val="24"/>
        </w:rPr>
        <w:t>contractual matters;</w:t>
      </w:r>
    </w:p>
    <w:p w14:paraId="4D603641" w14:textId="77777777" w:rsidR="00370931" w:rsidRPr="00D00E7D" w:rsidRDefault="00370931" w:rsidP="00D00E7D">
      <w:pPr>
        <w:numPr>
          <w:ilvl w:val="0"/>
          <w:numId w:val="2"/>
        </w:numPr>
        <w:spacing w:before="100" w:beforeAutospacing="1" w:after="100" w:afterAutospacing="1" w:line="240" w:lineRule="auto"/>
        <w:rPr>
          <w:rFonts w:ascii="Arial" w:hAnsi="Arial" w:cs="Arial"/>
          <w:color w:val="011A3C"/>
          <w:sz w:val="24"/>
          <w:szCs w:val="24"/>
        </w:rPr>
      </w:pPr>
      <w:r w:rsidRPr="00D00E7D">
        <w:rPr>
          <w:rFonts w:ascii="Arial" w:hAnsi="Arial" w:cs="Arial"/>
          <w:color w:val="011A3C"/>
          <w:sz w:val="24"/>
          <w:szCs w:val="24"/>
        </w:rPr>
        <w:t>performance objectives;</w:t>
      </w:r>
    </w:p>
    <w:p w14:paraId="7F0E3D8B" w14:textId="77777777" w:rsidR="00370931" w:rsidRPr="00D00E7D" w:rsidRDefault="00370931" w:rsidP="00D00E7D">
      <w:pPr>
        <w:numPr>
          <w:ilvl w:val="0"/>
          <w:numId w:val="2"/>
        </w:numPr>
        <w:spacing w:before="100" w:beforeAutospacing="1" w:after="100" w:afterAutospacing="1" w:line="240" w:lineRule="auto"/>
        <w:rPr>
          <w:rFonts w:ascii="Arial" w:hAnsi="Arial" w:cs="Arial"/>
          <w:color w:val="011A3C"/>
          <w:sz w:val="24"/>
          <w:szCs w:val="24"/>
        </w:rPr>
      </w:pPr>
      <w:r w:rsidRPr="00D00E7D">
        <w:rPr>
          <w:rFonts w:ascii="Arial" w:hAnsi="Arial" w:cs="Arial"/>
          <w:color w:val="011A3C"/>
          <w:sz w:val="24"/>
          <w:szCs w:val="24"/>
        </w:rPr>
        <w:t>benefit sharing and incentives;</w:t>
      </w:r>
    </w:p>
    <w:p w14:paraId="605BE6D8" w14:textId="77777777" w:rsidR="00370931" w:rsidRPr="00D00E7D" w:rsidRDefault="00370931" w:rsidP="00D00E7D">
      <w:pPr>
        <w:numPr>
          <w:ilvl w:val="0"/>
          <w:numId w:val="2"/>
        </w:numPr>
        <w:spacing w:before="100" w:beforeAutospacing="1" w:after="100" w:afterAutospacing="1" w:line="240" w:lineRule="auto"/>
        <w:rPr>
          <w:rFonts w:ascii="Arial" w:hAnsi="Arial" w:cs="Arial"/>
          <w:color w:val="011A3C"/>
          <w:sz w:val="24"/>
          <w:szCs w:val="24"/>
        </w:rPr>
      </w:pPr>
      <w:r w:rsidRPr="00D00E7D">
        <w:rPr>
          <w:rFonts w:ascii="Arial" w:hAnsi="Arial" w:cs="Arial"/>
          <w:color w:val="011A3C"/>
          <w:sz w:val="24"/>
          <w:szCs w:val="24"/>
        </w:rPr>
        <w:t>reporting format and structure;</w:t>
      </w:r>
    </w:p>
    <w:p w14:paraId="40B3D54B" w14:textId="77777777" w:rsidR="00370931" w:rsidRPr="00D00E7D" w:rsidRDefault="00370931" w:rsidP="00D00E7D">
      <w:pPr>
        <w:numPr>
          <w:ilvl w:val="0"/>
          <w:numId w:val="2"/>
        </w:numPr>
        <w:spacing w:before="100" w:beforeAutospacing="1" w:after="100" w:afterAutospacing="1" w:line="240" w:lineRule="auto"/>
        <w:rPr>
          <w:rFonts w:ascii="Arial" w:hAnsi="Arial" w:cs="Arial"/>
          <w:color w:val="011A3C"/>
          <w:sz w:val="24"/>
          <w:szCs w:val="24"/>
        </w:rPr>
      </w:pPr>
      <w:r w:rsidRPr="00D00E7D">
        <w:rPr>
          <w:rFonts w:ascii="Arial" w:hAnsi="Arial" w:cs="Arial"/>
          <w:color w:val="011A3C"/>
          <w:sz w:val="24"/>
          <w:szCs w:val="24"/>
        </w:rPr>
        <w:t>delivery and implementation commitments; and</w:t>
      </w:r>
    </w:p>
    <w:p w14:paraId="4E0A7C81" w14:textId="77777777" w:rsidR="00370931" w:rsidRPr="00D00E7D" w:rsidRDefault="00370931" w:rsidP="00D00E7D">
      <w:pPr>
        <w:numPr>
          <w:ilvl w:val="0"/>
          <w:numId w:val="2"/>
        </w:numPr>
        <w:spacing w:before="100" w:beforeAutospacing="1" w:after="100" w:afterAutospacing="1" w:line="240" w:lineRule="auto"/>
        <w:rPr>
          <w:rFonts w:ascii="Arial" w:hAnsi="Arial" w:cs="Arial"/>
          <w:color w:val="011A3C"/>
          <w:sz w:val="24"/>
          <w:szCs w:val="24"/>
        </w:rPr>
      </w:pPr>
      <w:r w:rsidRPr="00D00E7D">
        <w:rPr>
          <w:rFonts w:ascii="Arial" w:hAnsi="Arial" w:cs="Arial"/>
          <w:color w:val="011A3C"/>
          <w:sz w:val="24"/>
          <w:szCs w:val="24"/>
        </w:rPr>
        <w:t>matters of confidentiality and security.</w:t>
      </w:r>
    </w:p>
    <w:p w14:paraId="17EBCC27" w14:textId="0E916460" w:rsidR="004A7717" w:rsidRPr="004A7717" w:rsidRDefault="004A7717" w:rsidP="00265D5D">
      <w:pPr>
        <w:pStyle w:val="NormalWeb"/>
        <w:rPr>
          <w:rFonts w:ascii="Arial" w:hAnsi="Arial" w:cs="Arial"/>
          <w:color w:val="011A3C"/>
        </w:rPr>
      </w:pPr>
      <w:r>
        <w:rPr>
          <w:rFonts w:ascii="Arial" w:hAnsi="Arial" w:cs="Arial"/>
          <w:color w:val="011A3C"/>
        </w:rPr>
        <w:t>Negotiations can be time consuming and should be managed by persons with the required technical skills and with the ability to commit the organisation to any agreed outcomes. Whether to conduct negotiations depends on if the potential improvement in value for money outcomes exceeds the cost of the negotiation process.</w:t>
      </w:r>
    </w:p>
    <w:p w14:paraId="375C63BF" w14:textId="6EF714F4" w:rsidR="00DE021E" w:rsidRDefault="00DE021E" w:rsidP="00DE021E">
      <w:pPr>
        <w:pStyle w:val="Heading3"/>
        <w:spacing w:line="288" w:lineRule="atLeast"/>
        <w:rPr>
          <w:rFonts w:ascii="Arial" w:hAnsi="Arial" w:cs="Arial"/>
          <w:color w:val="381F6A"/>
        </w:rPr>
      </w:pPr>
      <w:r>
        <w:rPr>
          <w:rFonts w:ascii="Arial" w:hAnsi="Arial" w:cs="Arial"/>
          <w:b/>
          <w:bCs/>
          <w:color w:val="381F6A"/>
        </w:rPr>
        <w:t>Types of negotiations</w:t>
      </w:r>
    </w:p>
    <w:p w14:paraId="6E6B6E20" w14:textId="77777777" w:rsidR="00DE021E" w:rsidRDefault="00DE021E" w:rsidP="00DE021E">
      <w:pPr>
        <w:pStyle w:val="NormalWeb"/>
        <w:rPr>
          <w:rFonts w:ascii="Arial" w:hAnsi="Arial" w:cs="Arial"/>
          <w:color w:val="011A3C"/>
        </w:rPr>
      </w:pPr>
      <w:r>
        <w:rPr>
          <w:rFonts w:ascii="Arial" w:hAnsi="Arial" w:cs="Arial"/>
          <w:color w:val="011A3C"/>
        </w:rPr>
        <w:t>There are different types of negotiation processes that can assist in achieving clarification and commitment from suppliers to provide value for money outcomes. Two such processes include:</w:t>
      </w:r>
    </w:p>
    <w:p w14:paraId="2A6CB65D" w14:textId="77777777" w:rsidR="00DE021E" w:rsidRPr="009759C9" w:rsidRDefault="00DE021E" w:rsidP="009759C9">
      <w:pPr>
        <w:numPr>
          <w:ilvl w:val="0"/>
          <w:numId w:val="2"/>
        </w:numPr>
        <w:spacing w:before="100" w:beforeAutospacing="1" w:after="100" w:afterAutospacing="1" w:line="240" w:lineRule="auto"/>
        <w:rPr>
          <w:rFonts w:ascii="Arial" w:hAnsi="Arial" w:cs="Arial"/>
          <w:color w:val="011A3C"/>
          <w:sz w:val="24"/>
          <w:szCs w:val="24"/>
        </w:rPr>
      </w:pPr>
      <w:r w:rsidRPr="009759C9">
        <w:rPr>
          <w:rFonts w:ascii="Arial" w:hAnsi="Arial" w:cs="Arial"/>
          <w:color w:val="011A3C"/>
          <w:sz w:val="24"/>
          <w:szCs w:val="24"/>
        </w:rPr>
        <w:t>Targeted improvement process (TIP); and</w:t>
      </w:r>
    </w:p>
    <w:p w14:paraId="279CE7A0" w14:textId="77777777" w:rsidR="00DE021E" w:rsidRPr="009759C9" w:rsidRDefault="00DE021E" w:rsidP="009759C9">
      <w:pPr>
        <w:numPr>
          <w:ilvl w:val="0"/>
          <w:numId w:val="2"/>
        </w:numPr>
        <w:spacing w:before="100" w:beforeAutospacing="1" w:after="100" w:afterAutospacing="1" w:line="240" w:lineRule="auto"/>
        <w:rPr>
          <w:rFonts w:ascii="Arial" w:hAnsi="Arial" w:cs="Arial"/>
          <w:color w:val="011A3C"/>
          <w:sz w:val="24"/>
          <w:szCs w:val="24"/>
        </w:rPr>
      </w:pPr>
      <w:r w:rsidRPr="009759C9">
        <w:rPr>
          <w:rFonts w:ascii="Arial" w:hAnsi="Arial" w:cs="Arial"/>
          <w:color w:val="011A3C"/>
          <w:sz w:val="24"/>
          <w:szCs w:val="24"/>
        </w:rPr>
        <w:t>Best and final offer (BAFO).</w:t>
      </w:r>
    </w:p>
    <w:p w14:paraId="496EB6CC" w14:textId="77777777" w:rsidR="00DE021E" w:rsidRDefault="00DE021E" w:rsidP="00DE021E">
      <w:pPr>
        <w:pStyle w:val="NormalWeb"/>
        <w:rPr>
          <w:rFonts w:ascii="Arial" w:hAnsi="Arial" w:cs="Arial"/>
          <w:color w:val="011A3C"/>
        </w:rPr>
      </w:pPr>
      <w:r>
        <w:rPr>
          <w:rFonts w:ascii="Arial" w:hAnsi="Arial" w:cs="Arial"/>
          <w:color w:val="011A3C"/>
        </w:rPr>
        <w:t>These negotiation processes are not mutually exclusive. They may overlap and have common elements across each.</w:t>
      </w:r>
    </w:p>
    <w:p w14:paraId="37678980" w14:textId="77777777" w:rsidR="00DE021E" w:rsidRDefault="00DE021E" w:rsidP="00DE021E">
      <w:pPr>
        <w:pStyle w:val="NormalWeb"/>
        <w:rPr>
          <w:rFonts w:ascii="Arial" w:hAnsi="Arial" w:cs="Arial"/>
          <w:color w:val="011A3C"/>
        </w:rPr>
      </w:pPr>
      <w:r>
        <w:rPr>
          <w:rFonts w:ascii="Arial" w:hAnsi="Arial" w:cs="Arial"/>
          <w:color w:val="011A3C"/>
        </w:rPr>
        <w:t>A targeted improvement process (TIP) is a tailored process that involves inviting all shortlisted suppliers to provide a response on identified areas that do not meet expectations or need improvement such as specific areas of risk allocation, technical specification, price and significant contract departures.</w:t>
      </w:r>
    </w:p>
    <w:p w14:paraId="1A12C1BA" w14:textId="4D0D0E16" w:rsidR="00DE021E" w:rsidRDefault="00DE021E" w:rsidP="00DE021E">
      <w:pPr>
        <w:pStyle w:val="NormalWeb"/>
        <w:rPr>
          <w:rFonts w:ascii="Arial" w:hAnsi="Arial" w:cs="Arial"/>
          <w:color w:val="011A3C"/>
        </w:rPr>
      </w:pPr>
      <w:r>
        <w:rPr>
          <w:rFonts w:ascii="Arial" w:hAnsi="Arial" w:cs="Arial"/>
          <w:color w:val="011A3C"/>
        </w:rPr>
        <w:lastRenderedPageBreak/>
        <w:t>A best and final offer (BAFO</w:t>
      </w:r>
      <w:r w:rsidR="006A7B81">
        <w:rPr>
          <w:rFonts w:ascii="Arial" w:hAnsi="Arial" w:cs="Arial"/>
          <w:color w:val="011A3C"/>
        </w:rPr>
        <w:t>)</w:t>
      </w:r>
      <w:r>
        <w:rPr>
          <w:rFonts w:ascii="Arial" w:hAnsi="Arial" w:cs="Arial"/>
          <w:color w:val="011A3C"/>
        </w:rPr>
        <w:t xml:space="preserve"> is a process that seeks to obtain the best result from shortlisted suppliers in relation to the procurement requirements. You can conduct a BAFO process at any stage of the evaluation or negotiation phase. The process involves inviting all shortlisted bidders to submit their final offer, which will not be subject to subsequent negotiations.</w:t>
      </w:r>
    </w:p>
    <w:p w14:paraId="5C9EC852" w14:textId="77777777" w:rsidR="00DE021E" w:rsidRDefault="00DE021E" w:rsidP="00DE021E">
      <w:pPr>
        <w:pStyle w:val="NormalWeb"/>
        <w:rPr>
          <w:rFonts w:ascii="Arial" w:hAnsi="Arial" w:cs="Arial"/>
          <w:color w:val="011A3C"/>
        </w:rPr>
      </w:pPr>
      <w:r>
        <w:rPr>
          <w:rFonts w:ascii="Arial" w:hAnsi="Arial" w:cs="Arial"/>
          <w:color w:val="011A3C"/>
        </w:rPr>
        <w:t>The negotiation process decided upon will vary according to the type and complexity of the procurement. Where necessary, legal and probity advice should be sought.</w:t>
      </w:r>
    </w:p>
    <w:p w14:paraId="5277E421" w14:textId="77777777" w:rsidR="00DE021E" w:rsidRDefault="00DE021E" w:rsidP="00DE021E">
      <w:pPr>
        <w:pStyle w:val="NormalWeb"/>
        <w:rPr>
          <w:rFonts w:ascii="Arial" w:hAnsi="Arial" w:cs="Arial"/>
          <w:color w:val="011A3C"/>
        </w:rPr>
      </w:pPr>
      <w:r>
        <w:rPr>
          <w:rFonts w:ascii="Arial" w:hAnsi="Arial" w:cs="Arial"/>
          <w:color w:val="011A3C"/>
        </w:rPr>
        <w:t>Whatever negotiation strategy is undertaken it must be consistent with the tender process and evaluation plan. The methodology and decisions made must be documented and be defendable, if challenged. The process must ensure fairness, consistency and impartiality to meet high standards of probity.</w:t>
      </w:r>
    </w:p>
    <w:p w14:paraId="5C77A6DF" w14:textId="77777777" w:rsidR="00DE021E" w:rsidRDefault="00DE021E" w:rsidP="00DE021E">
      <w:pPr>
        <w:pStyle w:val="NormalWeb"/>
        <w:rPr>
          <w:rFonts w:ascii="Arial" w:hAnsi="Arial" w:cs="Arial"/>
          <w:color w:val="011A3C"/>
        </w:rPr>
      </w:pPr>
      <w:r>
        <w:rPr>
          <w:rFonts w:ascii="Arial" w:hAnsi="Arial" w:cs="Arial"/>
          <w:color w:val="011A3C"/>
        </w:rPr>
        <w:t>A best alternative to a negotiated agreement (BATNA) is having a course of action that you can take if the current negotiations fail or an agreement cannot be reached. With all negotiation strategies, a baseline should be determined. The BATNA deals with what happens if negotiations do not meet the predetermined baseline.</w:t>
      </w:r>
    </w:p>
    <w:p w14:paraId="75498D87" w14:textId="67699B23" w:rsidR="00DE021E" w:rsidRDefault="00DE021E" w:rsidP="00DE021E">
      <w:pPr>
        <w:pStyle w:val="Heading3"/>
        <w:spacing w:line="288" w:lineRule="atLeast"/>
        <w:rPr>
          <w:rFonts w:ascii="Arial" w:hAnsi="Arial" w:cs="Arial"/>
          <w:color w:val="381F6A"/>
        </w:rPr>
      </w:pPr>
      <w:r>
        <w:rPr>
          <w:rFonts w:ascii="Arial" w:hAnsi="Arial" w:cs="Arial"/>
          <w:b/>
          <w:bCs/>
          <w:color w:val="381F6A"/>
        </w:rPr>
        <w:t>Conclud</w:t>
      </w:r>
      <w:r w:rsidR="00A54FAC">
        <w:rPr>
          <w:rFonts w:ascii="Arial" w:hAnsi="Arial" w:cs="Arial"/>
          <w:b/>
          <w:bCs/>
          <w:color w:val="381F6A"/>
        </w:rPr>
        <w:t>e</w:t>
      </w:r>
      <w:r>
        <w:rPr>
          <w:rFonts w:ascii="Arial" w:hAnsi="Arial" w:cs="Arial"/>
          <w:b/>
          <w:bCs/>
          <w:color w:val="381F6A"/>
        </w:rPr>
        <w:t xml:space="preserve"> negotiations</w:t>
      </w:r>
    </w:p>
    <w:p w14:paraId="21C7700D" w14:textId="6EF513CC" w:rsidR="00DE021E" w:rsidRDefault="00DE021E" w:rsidP="00DE021E">
      <w:pPr>
        <w:pStyle w:val="NormalWeb"/>
        <w:rPr>
          <w:rFonts w:ascii="Arial" w:hAnsi="Arial" w:cs="Arial"/>
          <w:color w:val="011A3C"/>
        </w:rPr>
      </w:pPr>
      <w:r>
        <w:rPr>
          <w:rFonts w:ascii="Arial" w:hAnsi="Arial" w:cs="Arial"/>
          <w:color w:val="011A3C"/>
        </w:rPr>
        <w:t xml:space="preserve">Ideally, the negotiation process reaches an end when all parties commit to an agreement and proceed to contract execution. However, commencing a negotiation process does not bind the parties to reach an agreed outcome. Either party can withdraw from the negotiations if they </w:t>
      </w:r>
      <w:r w:rsidR="00A54FAC">
        <w:rPr>
          <w:rFonts w:ascii="Arial" w:hAnsi="Arial" w:cs="Arial"/>
          <w:color w:val="011A3C"/>
        </w:rPr>
        <w:t>decide</w:t>
      </w:r>
      <w:r>
        <w:rPr>
          <w:rFonts w:ascii="Arial" w:hAnsi="Arial" w:cs="Arial"/>
          <w:color w:val="011A3C"/>
        </w:rPr>
        <w:t xml:space="preserve"> that there is no further interest in continuing with the process.</w:t>
      </w:r>
    </w:p>
    <w:p w14:paraId="7B226DDF" w14:textId="1C59F684" w:rsidR="00DE021E" w:rsidRDefault="00DE021E" w:rsidP="00DE021E">
      <w:pPr>
        <w:pStyle w:val="Heading3"/>
        <w:spacing w:line="288" w:lineRule="atLeast"/>
        <w:rPr>
          <w:rFonts w:ascii="Arial" w:hAnsi="Arial" w:cs="Arial"/>
          <w:color w:val="381F6A"/>
        </w:rPr>
      </w:pPr>
      <w:r>
        <w:rPr>
          <w:rFonts w:ascii="Arial" w:hAnsi="Arial" w:cs="Arial"/>
          <w:b/>
          <w:bCs/>
          <w:color w:val="381F6A"/>
        </w:rPr>
        <w:t>Document the negotiation process</w:t>
      </w:r>
    </w:p>
    <w:p w14:paraId="72DE0B54" w14:textId="7AA0230F" w:rsidR="00DE021E" w:rsidRDefault="00DE021E" w:rsidP="00DE021E">
      <w:pPr>
        <w:pStyle w:val="NormalWeb"/>
        <w:rPr>
          <w:rFonts w:ascii="Arial" w:hAnsi="Arial" w:cs="Arial"/>
          <w:color w:val="011A3C"/>
        </w:rPr>
      </w:pPr>
      <w:r>
        <w:rPr>
          <w:rFonts w:ascii="Arial" w:hAnsi="Arial" w:cs="Arial"/>
          <w:color w:val="011A3C"/>
        </w:rPr>
        <w:t xml:space="preserve">Document each stage of the negotiation process </w:t>
      </w:r>
      <w:r w:rsidR="00A54FAC">
        <w:rPr>
          <w:rFonts w:ascii="Arial" w:hAnsi="Arial" w:cs="Arial"/>
          <w:color w:val="011A3C"/>
        </w:rPr>
        <w:t xml:space="preserve">to </w:t>
      </w:r>
      <w:r>
        <w:rPr>
          <w:rFonts w:ascii="Arial" w:hAnsi="Arial" w:cs="Arial"/>
          <w:color w:val="011A3C"/>
        </w:rPr>
        <w:t>ensure:</w:t>
      </w:r>
    </w:p>
    <w:p w14:paraId="4B659784" w14:textId="77777777" w:rsidR="00DE021E" w:rsidRPr="004C708B" w:rsidRDefault="00DE021E" w:rsidP="004C708B">
      <w:pPr>
        <w:numPr>
          <w:ilvl w:val="0"/>
          <w:numId w:val="2"/>
        </w:numPr>
        <w:spacing w:before="100" w:beforeAutospacing="1" w:after="100" w:afterAutospacing="1" w:line="240" w:lineRule="auto"/>
        <w:rPr>
          <w:rFonts w:ascii="Arial" w:hAnsi="Arial" w:cs="Arial"/>
          <w:color w:val="011A3C"/>
          <w:sz w:val="24"/>
          <w:szCs w:val="24"/>
        </w:rPr>
      </w:pPr>
      <w:r w:rsidRPr="004C708B">
        <w:rPr>
          <w:rFonts w:ascii="Arial" w:hAnsi="Arial" w:cs="Arial"/>
          <w:color w:val="011A3C"/>
          <w:sz w:val="24"/>
          <w:szCs w:val="24"/>
        </w:rPr>
        <w:t>accuracy of details, i.e. who, what, why and when;</w:t>
      </w:r>
    </w:p>
    <w:p w14:paraId="1372827D" w14:textId="77777777" w:rsidR="00DE021E" w:rsidRPr="004C708B" w:rsidRDefault="00DE021E" w:rsidP="004C708B">
      <w:pPr>
        <w:numPr>
          <w:ilvl w:val="0"/>
          <w:numId w:val="2"/>
        </w:numPr>
        <w:spacing w:before="100" w:beforeAutospacing="1" w:after="100" w:afterAutospacing="1" w:line="240" w:lineRule="auto"/>
        <w:rPr>
          <w:rFonts w:ascii="Arial" w:hAnsi="Arial" w:cs="Arial"/>
          <w:color w:val="011A3C"/>
          <w:sz w:val="24"/>
          <w:szCs w:val="24"/>
        </w:rPr>
      </w:pPr>
      <w:r w:rsidRPr="004C708B">
        <w:rPr>
          <w:rFonts w:ascii="Arial" w:hAnsi="Arial" w:cs="Arial"/>
          <w:color w:val="011A3C"/>
          <w:sz w:val="24"/>
          <w:szCs w:val="24"/>
        </w:rPr>
        <w:t>accuracy of matters discussed, agreed to, or subject to further review;</w:t>
      </w:r>
    </w:p>
    <w:p w14:paraId="2B04BF97" w14:textId="77777777" w:rsidR="00DE021E" w:rsidRPr="004C708B" w:rsidRDefault="00DE021E" w:rsidP="004C708B">
      <w:pPr>
        <w:numPr>
          <w:ilvl w:val="0"/>
          <w:numId w:val="2"/>
        </w:numPr>
        <w:spacing w:before="100" w:beforeAutospacing="1" w:after="100" w:afterAutospacing="1" w:line="240" w:lineRule="auto"/>
        <w:rPr>
          <w:rFonts w:ascii="Arial" w:hAnsi="Arial" w:cs="Arial"/>
          <w:color w:val="011A3C"/>
          <w:sz w:val="24"/>
          <w:szCs w:val="24"/>
        </w:rPr>
      </w:pPr>
      <w:r w:rsidRPr="004C708B">
        <w:rPr>
          <w:rFonts w:ascii="Arial" w:hAnsi="Arial" w:cs="Arial"/>
          <w:color w:val="011A3C"/>
          <w:sz w:val="24"/>
          <w:szCs w:val="24"/>
        </w:rPr>
        <w:t>actions to be taken and by which party; and</w:t>
      </w:r>
    </w:p>
    <w:p w14:paraId="7036D6F3" w14:textId="77777777" w:rsidR="00DE021E" w:rsidRPr="004C708B" w:rsidRDefault="00DE021E" w:rsidP="004C708B">
      <w:pPr>
        <w:numPr>
          <w:ilvl w:val="0"/>
          <w:numId w:val="2"/>
        </w:numPr>
        <w:spacing w:before="100" w:beforeAutospacing="1" w:after="100" w:afterAutospacing="1" w:line="240" w:lineRule="auto"/>
        <w:rPr>
          <w:rFonts w:ascii="Arial" w:hAnsi="Arial" w:cs="Arial"/>
          <w:color w:val="011A3C"/>
          <w:sz w:val="24"/>
          <w:szCs w:val="24"/>
        </w:rPr>
      </w:pPr>
      <w:r w:rsidRPr="004C708B">
        <w:rPr>
          <w:rFonts w:ascii="Arial" w:hAnsi="Arial" w:cs="Arial"/>
          <w:color w:val="011A3C"/>
          <w:sz w:val="24"/>
          <w:szCs w:val="24"/>
        </w:rPr>
        <w:t>offers/concessions made/accepted/modified/rejected.</w:t>
      </w:r>
    </w:p>
    <w:p w14:paraId="02E112FB" w14:textId="73ED2B75" w:rsidR="00DE021E" w:rsidRDefault="00DE021E" w:rsidP="00DE021E">
      <w:pPr>
        <w:pStyle w:val="Heading3"/>
        <w:spacing w:line="288" w:lineRule="atLeast"/>
        <w:rPr>
          <w:rFonts w:ascii="Arial" w:hAnsi="Arial" w:cs="Arial"/>
          <w:color w:val="381F6A"/>
        </w:rPr>
      </w:pPr>
      <w:r>
        <w:rPr>
          <w:rFonts w:ascii="Arial" w:hAnsi="Arial" w:cs="Arial"/>
          <w:b/>
          <w:bCs/>
          <w:color w:val="381F6A"/>
        </w:rPr>
        <w:t>Maintai</w:t>
      </w:r>
      <w:r w:rsidR="00A54FAC">
        <w:rPr>
          <w:rFonts w:ascii="Arial" w:hAnsi="Arial" w:cs="Arial"/>
          <w:b/>
          <w:bCs/>
          <w:color w:val="381F6A"/>
        </w:rPr>
        <w:t>n</w:t>
      </w:r>
      <w:r>
        <w:rPr>
          <w:rFonts w:ascii="Arial" w:hAnsi="Arial" w:cs="Arial"/>
          <w:b/>
          <w:bCs/>
          <w:color w:val="381F6A"/>
        </w:rPr>
        <w:t xml:space="preserve"> the integrity of the market approach</w:t>
      </w:r>
    </w:p>
    <w:p w14:paraId="0FA1CD7A" w14:textId="77777777" w:rsidR="00DE021E" w:rsidRDefault="00DE021E" w:rsidP="00DE021E">
      <w:pPr>
        <w:pStyle w:val="NormalWeb"/>
        <w:rPr>
          <w:rFonts w:ascii="Arial" w:hAnsi="Arial" w:cs="Arial"/>
          <w:color w:val="011A3C"/>
        </w:rPr>
      </w:pPr>
      <w:r>
        <w:rPr>
          <w:rFonts w:ascii="Arial" w:hAnsi="Arial" w:cs="Arial"/>
          <w:color w:val="011A3C"/>
        </w:rPr>
        <w:t>When considering offers and concessions for agreement, it is important to maintain the intent and integrity of the original offer made to the market. Variance from this position could invalidate the market approach.</w:t>
      </w:r>
    </w:p>
    <w:p w14:paraId="4B35AE47" w14:textId="77777777" w:rsidR="00621ACB" w:rsidRDefault="00621ACB" w:rsidP="00751F0D">
      <w:pPr>
        <w:pStyle w:val="NormalWeb"/>
        <w:rPr>
          <w:rFonts w:ascii="Arial" w:hAnsi="Arial" w:cs="Arial"/>
          <w:color w:val="381F6A"/>
        </w:rPr>
      </w:pPr>
      <w:r>
        <w:rPr>
          <w:rFonts w:ascii="Arial" w:hAnsi="Arial" w:cs="Arial"/>
          <w:b/>
          <w:bCs/>
          <w:color w:val="381F6A"/>
        </w:rPr>
        <w:t>Using this guide</w:t>
      </w:r>
    </w:p>
    <w:p w14:paraId="656BC3D1" w14:textId="77777777" w:rsidR="00621ACB" w:rsidRDefault="00621ACB" w:rsidP="00621ACB">
      <w:pPr>
        <w:pStyle w:val="NormalWeb"/>
        <w:rPr>
          <w:rFonts w:ascii="Arial" w:hAnsi="Arial" w:cs="Arial"/>
          <w:color w:val="011A3C"/>
        </w:rPr>
      </w:pPr>
      <w:r>
        <w:rPr>
          <w:rFonts w:ascii="Arial" w:hAnsi="Arial" w:cs="Arial"/>
          <w:color w:val="011A3C"/>
        </w:rPr>
        <w:t>This guide accompanies the </w:t>
      </w:r>
      <w:hyperlink r:id="rId16" w:history="1">
        <w:r w:rsidRPr="00E2605A">
          <w:rPr>
            <w:rStyle w:val="rpl-text-label"/>
            <w:rFonts w:ascii="Arial" w:eastAsiaTheme="majorEastAsia" w:hAnsi="Arial" w:cs="Arial"/>
            <w:color w:val="7030A0"/>
            <w:u w:val="single"/>
          </w:rPr>
          <w:t>goods and services supply policies</w:t>
        </w:r>
      </w:hyperlink>
      <w:r>
        <w:rPr>
          <w:rFonts w:ascii="Arial" w:hAnsi="Arial" w:cs="Arial"/>
          <w:color w:val="011A3C"/>
        </w:rPr>
        <w:t>. There are 5 supplies policies:</w:t>
      </w:r>
    </w:p>
    <w:p w14:paraId="72440F0D" w14:textId="77777777" w:rsidR="00621ACB" w:rsidRPr="004C708B" w:rsidRDefault="00621ACB" w:rsidP="004C708B">
      <w:pPr>
        <w:numPr>
          <w:ilvl w:val="0"/>
          <w:numId w:val="2"/>
        </w:numPr>
        <w:spacing w:before="100" w:beforeAutospacing="1" w:after="100" w:afterAutospacing="1" w:line="240" w:lineRule="auto"/>
        <w:rPr>
          <w:rFonts w:ascii="Arial" w:hAnsi="Arial" w:cs="Arial"/>
          <w:color w:val="011A3C"/>
          <w:sz w:val="24"/>
          <w:szCs w:val="24"/>
        </w:rPr>
      </w:pPr>
      <w:r w:rsidRPr="004C708B">
        <w:rPr>
          <w:rFonts w:ascii="Arial" w:hAnsi="Arial" w:cs="Arial"/>
          <w:color w:val="011A3C"/>
          <w:sz w:val="24"/>
          <w:szCs w:val="24"/>
        </w:rPr>
        <w:lastRenderedPageBreak/>
        <w:t>Governance policy</w:t>
      </w:r>
    </w:p>
    <w:p w14:paraId="380255AB" w14:textId="77777777" w:rsidR="00621ACB" w:rsidRPr="004C708B" w:rsidRDefault="00621ACB" w:rsidP="004C708B">
      <w:pPr>
        <w:numPr>
          <w:ilvl w:val="0"/>
          <w:numId w:val="2"/>
        </w:numPr>
        <w:spacing w:before="100" w:beforeAutospacing="1" w:after="100" w:afterAutospacing="1" w:line="240" w:lineRule="auto"/>
        <w:rPr>
          <w:rFonts w:ascii="Arial" w:hAnsi="Arial" w:cs="Arial"/>
          <w:color w:val="011A3C"/>
          <w:sz w:val="24"/>
          <w:szCs w:val="24"/>
        </w:rPr>
      </w:pPr>
      <w:r w:rsidRPr="004C708B">
        <w:rPr>
          <w:rFonts w:ascii="Arial" w:hAnsi="Arial" w:cs="Arial"/>
          <w:color w:val="011A3C"/>
          <w:sz w:val="24"/>
          <w:szCs w:val="24"/>
        </w:rPr>
        <w:t>Complexity and capability assessment policy</w:t>
      </w:r>
    </w:p>
    <w:p w14:paraId="4C9D42FC" w14:textId="77777777" w:rsidR="00621ACB" w:rsidRPr="004C708B" w:rsidRDefault="00621ACB" w:rsidP="004C708B">
      <w:pPr>
        <w:numPr>
          <w:ilvl w:val="0"/>
          <w:numId w:val="2"/>
        </w:numPr>
        <w:spacing w:before="100" w:beforeAutospacing="1" w:after="100" w:afterAutospacing="1" w:line="240" w:lineRule="auto"/>
        <w:rPr>
          <w:rFonts w:ascii="Arial" w:hAnsi="Arial" w:cs="Arial"/>
          <w:color w:val="011A3C"/>
          <w:sz w:val="24"/>
          <w:szCs w:val="24"/>
        </w:rPr>
      </w:pPr>
      <w:r w:rsidRPr="004C708B">
        <w:rPr>
          <w:rFonts w:ascii="Arial" w:hAnsi="Arial" w:cs="Arial"/>
          <w:color w:val="011A3C"/>
          <w:sz w:val="24"/>
          <w:szCs w:val="24"/>
        </w:rPr>
        <w:t>Market analysis and review policy</w:t>
      </w:r>
    </w:p>
    <w:p w14:paraId="481F8A6C" w14:textId="77777777" w:rsidR="00621ACB" w:rsidRPr="004C708B" w:rsidRDefault="00621ACB" w:rsidP="004C708B">
      <w:pPr>
        <w:numPr>
          <w:ilvl w:val="0"/>
          <w:numId w:val="2"/>
        </w:numPr>
        <w:spacing w:before="100" w:beforeAutospacing="1" w:after="100" w:afterAutospacing="1" w:line="240" w:lineRule="auto"/>
        <w:rPr>
          <w:rFonts w:ascii="Arial" w:hAnsi="Arial" w:cs="Arial"/>
          <w:color w:val="011A3C"/>
          <w:sz w:val="24"/>
          <w:szCs w:val="24"/>
        </w:rPr>
      </w:pPr>
      <w:r w:rsidRPr="004C708B">
        <w:rPr>
          <w:rFonts w:ascii="Arial" w:hAnsi="Arial" w:cs="Arial"/>
          <w:color w:val="011A3C"/>
          <w:sz w:val="24"/>
          <w:szCs w:val="24"/>
        </w:rPr>
        <w:t>Market approach policy</w:t>
      </w:r>
    </w:p>
    <w:p w14:paraId="7D0E3902" w14:textId="77777777" w:rsidR="00621ACB" w:rsidRPr="004C708B" w:rsidRDefault="00621ACB" w:rsidP="004C708B">
      <w:pPr>
        <w:numPr>
          <w:ilvl w:val="0"/>
          <w:numId w:val="2"/>
        </w:numPr>
        <w:spacing w:before="100" w:beforeAutospacing="1" w:after="100" w:afterAutospacing="1" w:line="240" w:lineRule="auto"/>
        <w:rPr>
          <w:rFonts w:ascii="Arial" w:hAnsi="Arial" w:cs="Arial"/>
          <w:color w:val="011A3C"/>
          <w:sz w:val="24"/>
          <w:szCs w:val="24"/>
        </w:rPr>
      </w:pPr>
      <w:r w:rsidRPr="004C708B">
        <w:rPr>
          <w:rFonts w:ascii="Arial" w:hAnsi="Arial" w:cs="Arial"/>
          <w:color w:val="011A3C"/>
          <w:sz w:val="24"/>
          <w:szCs w:val="24"/>
        </w:rPr>
        <w:t>Contract management and disclosure policy</w:t>
      </w:r>
    </w:p>
    <w:p w14:paraId="25ADF186" w14:textId="77777777" w:rsidR="00621ACB" w:rsidRDefault="00621ACB" w:rsidP="00621ACB">
      <w:pPr>
        <w:pStyle w:val="NormalWeb"/>
        <w:rPr>
          <w:rFonts w:ascii="Arial" w:hAnsi="Arial" w:cs="Arial"/>
          <w:color w:val="011A3C"/>
        </w:rPr>
      </w:pPr>
      <w:r>
        <w:rPr>
          <w:rFonts w:ascii="Arial" w:hAnsi="Arial" w:cs="Arial"/>
          <w:color w:val="011A3C"/>
        </w:rPr>
        <w:t>This guide supports the </w:t>
      </w:r>
      <w:hyperlink r:id="rId17" w:history="1">
        <w:r w:rsidRPr="00E2605A">
          <w:rPr>
            <w:rStyle w:val="rpl-text-label"/>
            <w:rFonts w:ascii="Arial" w:eastAsiaTheme="majorEastAsia" w:hAnsi="Arial" w:cs="Arial"/>
            <w:color w:val="7030A0"/>
            <w:u w:val="single"/>
          </w:rPr>
          <w:t>market approach policy</w:t>
        </w:r>
      </w:hyperlink>
      <w:r>
        <w:rPr>
          <w:rFonts w:ascii="Arial" w:hAnsi="Arial" w:cs="Arial"/>
          <w:color w:val="011A3C"/>
        </w:rPr>
        <w:t>.</w:t>
      </w:r>
    </w:p>
    <w:p w14:paraId="1D175575" w14:textId="77777777" w:rsidR="00621ACB" w:rsidRDefault="00621ACB" w:rsidP="00621ACB">
      <w:pPr>
        <w:pStyle w:val="Heading2"/>
        <w:spacing w:line="312" w:lineRule="atLeast"/>
        <w:rPr>
          <w:rFonts w:ascii="Arial" w:hAnsi="Arial" w:cs="Arial"/>
          <w:color w:val="381F6A"/>
        </w:rPr>
      </w:pPr>
      <w:r>
        <w:rPr>
          <w:rFonts w:ascii="Arial" w:hAnsi="Arial" w:cs="Arial"/>
          <w:b/>
          <w:bCs/>
          <w:color w:val="381F6A"/>
        </w:rPr>
        <w:t>Tools and support</w:t>
      </w:r>
    </w:p>
    <w:p w14:paraId="233630B0" w14:textId="77777777" w:rsidR="00621ACB" w:rsidRDefault="00621ACB" w:rsidP="00621ACB">
      <w:pPr>
        <w:pStyle w:val="NormalWeb"/>
        <w:rPr>
          <w:rFonts w:ascii="Arial" w:hAnsi="Arial" w:cs="Arial"/>
          <w:color w:val="011A3C"/>
        </w:rPr>
      </w:pPr>
      <w:r>
        <w:rPr>
          <w:rFonts w:ascii="Arial" w:hAnsi="Arial" w:cs="Arial"/>
          <w:color w:val="011A3C"/>
        </w:rPr>
        <w:t>Access a document version of this guide in the </w:t>
      </w:r>
      <w:hyperlink r:id="rId18" w:history="1">
        <w:r w:rsidRPr="00E2605A">
          <w:rPr>
            <w:rStyle w:val="rpl-text-label"/>
            <w:rFonts w:ascii="Arial" w:eastAsiaTheme="majorEastAsia" w:hAnsi="Arial" w:cs="Arial"/>
            <w:color w:val="87189D"/>
            <w:u w:val="single"/>
          </w:rPr>
          <w:t>Toolkit and library</w:t>
        </w:r>
      </w:hyperlink>
      <w:r>
        <w:rPr>
          <w:rFonts w:ascii="Arial" w:hAnsi="Arial" w:cs="Arial"/>
          <w:color w:val="011A3C"/>
        </w:rPr>
        <w:t>.</w:t>
      </w:r>
    </w:p>
    <w:p w14:paraId="70F698D7" w14:textId="5CD83F33" w:rsidR="00621ACB" w:rsidRDefault="00621ACB" w:rsidP="00621ACB">
      <w:pPr>
        <w:pStyle w:val="NormalWeb"/>
        <w:rPr>
          <w:rFonts w:ascii="Arial" w:hAnsi="Arial" w:cs="Arial"/>
          <w:color w:val="011A3C"/>
        </w:rPr>
      </w:pPr>
      <w:r>
        <w:rPr>
          <w:rFonts w:ascii="Arial" w:hAnsi="Arial" w:cs="Arial"/>
          <w:color w:val="011A3C"/>
        </w:rPr>
        <w:t>For more information please </w:t>
      </w:r>
      <w:hyperlink r:id="rId19" w:history="1">
        <w:r w:rsidRPr="00E2605A">
          <w:rPr>
            <w:rStyle w:val="rpl-text-label"/>
            <w:rFonts w:ascii="Arial" w:eastAsiaTheme="majorEastAsia" w:hAnsi="Arial" w:cs="Arial"/>
            <w:color w:val="7030A0"/>
            <w:u w:val="single"/>
          </w:rPr>
          <w:t>contact the goods and services policy team</w:t>
        </w:r>
      </w:hyperlink>
      <w:r>
        <w:rPr>
          <w:rFonts w:ascii="Arial" w:hAnsi="Arial" w:cs="Arial"/>
          <w:color w:val="011A3C"/>
        </w:rPr>
        <w:t>.</w:t>
      </w:r>
    </w:p>
    <w:p w14:paraId="67738A74" w14:textId="77777777" w:rsidR="002B3667" w:rsidRDefault="002B3667" w:rsidP="002B3667"/>
    <w:p w14:paraId="70E7BC91" w14:textId="77777777" w:rsidR="002B3667" w:rsidRDefault="002B3667" w:rsidP="002B3667"/>
    <w:p w14:paraId="1A41444A" w14:textId="77777777" w:rsidR="002B3667" w:rsidRDefault="002B3667" w:rsidP="002B3667"/>
    <w:p w14:paraId="04B16FA3" w14:textId="77777777" w:rsidR="002B3667" w:rsidRDefault="002B3667" w:rsidP="002B3667"/>
    <w:p w14:paraId="7C72DEC4" w14:textId="77777777" w:rsidR="002B3667" w:rsidRDefault="002B3667" w:rsidP="002B3667"/>
    <w:p w14:paraId="6B12C8B2" w14:textId="77777777" w:rsidR="002B3667" w:rsidRDefault="002B3667" w:rsidP="002B3667"/>
    <w:p w14:paraId="7E92F380" w14:textId="77777777" w:rsidR="002B3667" w:rsidRDefault="002B3667" w:rsidP="002B3667"/>
    <w:p w14:paraId="66DEFE72" w14:textId="77777777" w:rsidR="002B3667" w:rsidRDefault="002B3667" w:rsidP="002B3667"/>
    <w:p w14:paraId="51E8CF4E" w14:textId="77777777" w:rsidR="002B3667" w:rsidRDefault="002B3667" w:rsidP="002B3667"/>
    <w:p w14:paraId="3C83F193" w14:textId="77777777" w:rsidR="002B3667" w:rsidRDefault="002B3667" w:rsidP="002B3667"/>
    <w:p w14:paraId="60FA8331" w14:textId="77777777" w:rsidR="002B3667" w:rsidRDefault="002B3667" w:rsidP="002B3667"/>
    <w:p w14:paraId="48312A55" w14:textId="77777777" w:rsidR="002B3667" w:rsidRDefault="002B3667" w:rsidP="002B3667"/>
    <w:p w14:paraId="103CDD8E" w14:textId="77777777" w:rsidR="002B3667" w:rsidRDefault="002B3667" w:rsidP="002B3667"/>
    <w:p w14:paraId="00DD9AC8" w14:textId="77777777" w:rsidR="002B3667" w:rsidRDefault="002B3667" w:rsidP="002B3667"/>
    <w:p w14:paraId="7ABF5312" w14:textId="77777777" w:rsidR="002B3667" w:rsidRDefault="002B3667" w:rsidP="002B3667"/>
    <w:p w14:paraId="591FF15F" w14:textId="508789D3" w:rsidR="002B3667" w:rsidRPr="00843160" w:rsidRDefault="002B3667" w:rsidP="002B3667">
      <w:r w:rsidRPr="00CB3554">
        <w:t xml:space="preserve">© </w:t>
      </w:r>
      <w:r w:rsidRPr="00843160">
        <w:t>State of Victoria 20</w:t>
      </w:r>
      <w:r>
        <w:t>23 (Victorian Government Purchasing Board)</w:t>
      </w:r>
    </w:p>
    <w:p w14:paraId="397BB6C2" w14:textId="77777777" w:rsidR="002B3667" w:rsidRPr="00843160" w:rsidRDefault="002B3667" w:rsidP="002B3667">
      <w:r w:rsidRPr="00843160">
        <w:rPr>
          <w:noProof/>
        </w:rPr>
        <w:drawing>
          <wp:inline distT="0" distB="0" distL="0" distR="0" wp14:anchorId="3E98E0E0" wp14:editId="09F7C5D3">
            <wp:extent cx="1117460" cy="393651"/>
            <wp:effectExtent l="0" t="0" r="6985" b="6985"/>
            <wp:docPr id="3" name="Picture 3">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x31.png"/>
                    <pic:cNvPicPr/>
                  </pic:nvPicPr>
                  <pic:blipFill>
                    <a:blip r:embed="rId21">
                      <a:extLst>
                        <a:ext uri="{28A0092B-C50C-407E-A947-70E740481C1C}">
                          <a14:useLocalDpi xmlns:a14="http://schemas.microsoft.com/office/drawing/2010/main" val="0"/>
                        </a:ext>
                      </a:extLst>
                    </a:blip>
                    <a:stretch>
                      <a:fillRect/>
                    </a:stretch>
                  </pic:blipFill>
                  <pic:spPr>
                    <a:xfrm>
                      <a:off x="0" y="0"/>
                      <a:ext cx="1117460" cy="393651"/>
                    </a:xfrm>
                    <a:prstGeom prst="rect">
                      <a:avLst/>
                    </a:prstGeom>
                  </pic:spPr>
                </pic:pic>
              </a:graphicData>
            </a:graphic>
          </wp:inline>
        </w:drawing>
      </w:r>
      <w:r w:rsidRPr="00843160">
        <w:t xml:space="preserve"> </w:t>
      </w:r>
    </w:p>
    <w:p w14:paraId="5A1F03DF" w14:textId="77777777" w:rsidR="002B3667" w:rsidRPr="00843160" w:rsidRDefault="002B3667" w:rsidP="002B3667">
      <w:r w:rsidRPr="00843160">
        <w:t xml:space="preserve">This work is licensed under a </w:t>
      </w:r>
      <w:hyperlink r:id="rId22" w:history="1">
        <w:r w:rsidRPr="00961335">
          <w:rPr>
            <w:rStyle w:val="Hyperlink"/>
          </w:rPr>
          <w:t>Creative Commons Attribution 4.0 licence</w:t>
        </w:r>
      </w:hyperlink>
      <w:r w:rsidRPr="00961335">
        <w:t>.</w:t>
      </w:r>
      <w:r w:rsidRPr="00843160">
        <w:t xml:space="preserve"> You are free to re-use the work under that licence, on the condition that you credit the State of Victoria as author. The licence does not apply to any images, photographs or branding, including the Victorian Coat of Arms, the Victorian Government logo and the Department of Treasury and Finance logo.</w:t>
      </w:r>
    </w:p>
    <w:p w14:paraId="72E46238" w14:textId="77777777" w:rsidR="002B3667" w:rsidRPr="00F559CD" w:rsidRDefault="002B3667" w:rsidP="002B3667">
      <w:pPr>
        <w:rPr>
          <w:color w:val="660B68"/>
        </w:rPr>
      </w:pPr>
      <w:r w:rsidRPr="00843160">
        <w:lastRenderedPageBreak/>
        <w:t xml:space="preserve">Copyright queries may be directed to </w:t>
      </w:r>
      <w:hyperlink r:id="rId23" w:history="1">
        <w:r w:rsidRPr="00843160">
          <w:rPr>
            <w:color w:val="660B68"/>
          </w:rPr>
          <w:t>IPpolicy@dtf.vic.gov.au</w:t>
        </w:r>
      </w:hyperlink>
      <w:r>
        <w:rPr>
          <w:color w:val="660B68"/>
        </w:rPr>
        <w:t>.</w:t>
      </w:r>
    </w:p>
    <w:p w14:paraId="0FA6EE6B" w14:textId="16C2BD1A" w:rsidR="00DE021E" w:rsidRDefault="00DE021E" w:rsidP="00621ACB"/>
    <w:sectPr w:rsidR="00DE021E">
      <w:headerReference w:type="even" r:id="rId24"/>
      <w:headerReference w:type="default" r:id="rId25"/>
      <w:footerReference w:type="even" r:id="rId26"/>
      <w:footerReference w:type="default" r:id="rId27"/>
      <w:headerReference w:type="first" r:id="rId28"/>
      <w:footerReference w:type="first" r:id="rId2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2DEFB" w14:textId="77777777" w:rsidR="00832EF2" w:rsidRDefault="00832EF2" w:rsidP="002E6F9C">
      <w:pPr>
        <w:spacing w:after="0" w:line="240" w:lineRule="auto"/>
      </w:pPr>
      <w:r>
        <w:separator/>
      </w:r>
    </w:p>
  </w:endnote>
  <w:endnote w:type="continuationSeparator" w:id="0">
    <w:p w14:paraId="4AEC885A" w14:textId="77777777" w:rsidR="00832EF2" w:rsidRDefault="00832EF2" w:rsidP="002E6F9C">
      <w:pPr>
        <w:spacing w:after="0" w:line="240" w:lineRule="auto"/>
      </w:pPr>
      <w:r>
        <w:continuationSeparator/>
      </w:r>
    </w:p>
  </w:endnote>
  <w:endnote w:type="continuationNotice" w:id="1">
    <w:p w14:paraId="49D750F5" w14:textId="77777777" w:rsidR="00832EF2" w:rsidRDefault="00832E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9CFA6" w14:textId="77777777" w:rsidR="002B3667" w:rsidRDefault="002B36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C9C01" w14:textId="77777777" w:rsidR="002B3667" w:rsidRDefault="002B3667">
    <w:pPr>
      <w:pStyle w:val="Footer"/>
      <w:jc w:val="right"/>
    </w:pPr>
    <w:r>
      <w:rPr>
        <w:noProof/>
      </w:rPr>
      <mc:AlternateContent>
        <mc:Choice Requires="wps">
          <w:drawing>
            <wp:anchor distT="0" distB="0" distL="114300" distR="114300" simplePos="0" relativeHeight="251659264" behindDoc="0" locked="0" layoutInCell="0" allowOverlap="1" wp14:anchorId="1F8332A7" wp14:editId="1935309B">
              <wp:simplePos x="0" y="0"/>
              <wp:positionH relativeFrom="page">
                <wp:posOffset>0</wp:posOffset>
              </wp:positionH>
              <wp:positionV relativeFrom="page">
                <wp:posOffset>10227945</wp:posOffset>
              </wp:positionV>
              <wp:extent cx="7560310" cy="273050"/>
              <wp:effectExtent l="0" t="0" r="0" b="12700"/>
              <wp:wrapNone/>
              <wp:docPr id="4" name="MSIPCM48e342b78db0ae2a3e86c425"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779B199" w14:textId="3BEB1782" w:rsidR="002B3667" w:rsidRPr="002B3667" w:rsidRDefault="002B3667" w:rsidP="002B3667">
                          <w:pPr>
                            <w:spacing w:after="0"/>
                            <w:rPr>
                              <w:rFonts w:ascii="Calibri" w:hAnsi="Calibri" w:cs="Calibri"/>
                              <w:color w:val="000000"/>
                            </w:rPr>
                          </w:pPr>
                          <w:r w:rsidRPr="002B3667">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F8332A7" id="_x0000_t202" coordsize="21600,21600" o:spt="202" path="m,l,21600r21600,l21600,xe">
              <v:stroke joinstyle="miter"/>
              <v:path gradientshapeok="t" o:connecttype="rect"/>
            </v:shapetype>
            <v:shape id="MSIPCM48e342b78db0ae2a3e86c425" o:spid="_x0000_s1026" type="#_x0000_t202" alt="{&quot;HashCode&quot;:-1267603503,&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fill o:detectmouseclick="t"/>
              <v:textbox inset="20pt,0,,0">
                <w:txbxContent>
                  <w:p w14:paraId="5779B199" w14:textId="3BEB1782" w:rsidR="002B3667" w:rsidRPr="002B3667" w:rsidRDefault="002B3667" w:rsidP="002B3667">
                    <w:pPr>
                      <w:spacing w:after="0"/>
                      <w:rPr>
                        <w:rFonts w:ascii="Calibri" w:hAnsi="Calibri" w:cs="Calibri"/>
                        <w:color w:val="000000"/>
                      </w:rPr>
                    </w:pPr>
                    <w:r w:rsidRPr="002B3667">
                      <w:rPr>
                        <w:rFonts w:ascii="Calibri" w:hAnsi="Calibri" w:cs="Calibri"/>
                        <w:color w:val="000000"/>
                      </w:rPr>
                      <w:t>OFFICIAL</w:t>
                    </w:r>
                  </w:p>
                </w:txbxContent>
              </v:textbox>
              <w10:wrap anchorx="page" anchory="page"/>
            </v:shape>
          </w:pict>
        </mc:Fallback>
      </mc:AlternateContent>
    </w:r>
  </w:p>
  <w:sdt>
    <w:sdtPr>
      <w:id w:val="329024415"/>
      <w:docPartObj>
        <w:docPartGallery w:val="Page Numbers (Bottom of Page)"/>
        <w:docPartUnique/>
      </w:docPartObj>
    </w:sdtPr>
    <w:sdtContent>
      <w:sdt>
        <w:sdtPr>
          <w:id w:val="-1769616900"/>
          <w:docPartObj>
            <w:docPartGallery w:val="Page Numbers (Top of Page)"/>
            <w:docPartUnique/>
          </w:docPartObj>
        </w:sdtPr>
        <w:sdtContent>
          <w:p w14:paraId="476C49A6" w14:textId="79D08B4A" w:rsidR="002B3667" w:rsidRDefault="002B3667">
            <w:pPr>
              <w:pStyle w:val="Footer"/>
              <w:jc w:val="right"/>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p w14:paraId="7E1B4719" w14:textId="77777777" w:rsidR="002B3667" w:rsidRDefault="002B3667" w:rsidP="002B3667">
            <w:pPr>
              <w:pStyle w:val="Footer"/>
              <w:rPr>
                <w:sz w:val="20"/>
                <w:szCs w:val="20"/>
              </w:rPr>
            </w:pPr>
            <w:r w:rsidRPr="002B3667">
              <w:rPr>
                <w:sz w:val="20"/>
                <w:szCs w:val="20"/>
              </w:rPr>
              <w:t xml:space="preserve">Victorian </w:t>
            </w:r>
            <w:r>
              <w:rPr>
                <w:sz w:val="20"/>
                <w:szCs w:val="20"/>
              </w:rPr>
              <w:t>Government Purchasing Board</w:t>
            </w:r>
          </w:p>
          <w:p w14:paraId="7549D384" w14:textId="77777777" w:rsidR="002B3667" w:rsidRDefault="002B3667" w:rsidP="002B3667">
            <w:pPr>
              <w:pStyle w:val="Footer"/>
              <w:rPr>
                <w:sz w:val="20"/>
                <w:szCs w:val="20"/>
              </w:rPr>
            </w:pPr>
            <w:r>
              <w:rPr>
                <w:sz w:val="20"/>
                <w:szCs w:val="20"/>
              </w:rPr>
              <w:t>Negotiate goods and services guide</w:t>
            </w:r>
          </w:p>
          <w:p w14:paraId="4431EB96" w14:textId="6D572C94" w:rsidR="002B3667" w:rsidRDefault="002B3667" w:rsidP="002B3667">
            <w:pPr>
              <w:pStyle w:val="Footer"/>
            </w:pPr>
            <w:r>
              <w:rPr>
                <w:sz w:val="20"/>
                <w:szCs w:val="20"/>
              </w:rPr>
              <w:t>September 2023</w:t>
            </w:r>
          </w:p>
        </w:sdtContent>
      </w:sdt>
    </w:sdtContent>
  </w:sdt>
  <w:p w14:paraId="2E44F6AF" w14:textId="39BC3472" w:rsidR="002E6F9C" w:rsidRDefault="002E6F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3F2AB" w14:textId="77777777" w:rsidR="002B3667" w:rsidRDefault="002B36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3C002" w14:textId="77777777" w:rsidR="00832EF2" w:rsidRDefault="00832EF2" w:rsidP="002E6F9C">
      <w:pPr>
        <w:spacing w:after="0" w:line="240" w:lineRule="auto"/>
      </w:pPr>
      <w:r>
        <w:separator/>
      </w:r>
    </w:p>
  </w:footnote>
  <w:footnote w:type="continuationSeparator" w:id="0">
    <w:p w14:paraId="36A52AF5" w14:textId="77777777" w:rsidR="00832EF2" w:rsidRDefault="00832EF2" w:rsidP="002E6F9C">
      <w:pPr>
        <w:spacing w:after="0" w:line="240" w:lineRule="auto"/>
      </w:pPr>
      <w:r>
        <w:continuationSeparator/>
      </w:r>
    </w:p>
  </w:footnote>
  <w:footnote w:type="continuationNotice" w:id="1">
    <w:p w14:paraId="066C4C91" w14:textId="77777777" w:rsidR="00832EF2" w:rsidRDefault="00832EF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FCCC3" w14:textId="77777777" w:rsidR="002B3667" w:rsidRDefault="002B36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4C5CF" w14:textId="521A2EEF" w:rsidR="00E2605A" w:rsidRDefault="00E2605A" w:rsidP="00E2605A">
    <w:pPr>
      <w:pStyle w:val="Header"/>
      <w:jc w:val="right"/>
    </w:pPr>
    <w:r>
      <w:t>Department of Government Services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10203" w14:textId="77777777" w:rsidR="002B3667" w:rsidRDefault="002B36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B61F3"/>
    <w:multiLevelType w:val="multilevel"/>
    <w:tmpl w:val="FA289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8867898"/>
    <w:multiLevelType w:val="hybridMultilevel"/>
    <w:tmpl w:val="43CEABD4"/>
    <w:lvl w:ilvl="0" w:tplc="0C090001">
      <w:start w:val="1"/>
      <w:numFmt w:val="bullet"/>
      <w:lvlText w:val=""/>
      <w:lvlJc w:val="left"/>
      <w:pPr>
        <w:ind w:left="790" w:hanging="360"/>
      </w:pPr>
      <w:rPr>
        <w:rFonts w:ascii="Symbol" w:hAnsi="Symbol" w:hint="default"/>
      </w:rPr>
    </w:lvl>
    <w:lvl w:ilvl="1" w:tplc="0C090003" w:tentative="1">
      <w:start w:val="1"/>
      <w:numFmt w:val="bullet"/>
      <w:lvlText w:val="o"/>
      <w:lvlJc w:val="left"/>
      <w:pPr>
        <w:ind w:left="1510" w:hanging="360"/>
      </w:pPr>
      <w:rPr>
        <w:rFonts w:ascii="Courier New" w:hAnsi="Courier New" w:cs="Courier New" w:hint="default"/>
      </w:rPr>
    </w:lvl>
    <w:lvl w:ilvl="2" w:tplc="0C090005" w:tentative="1">
      <w:start w:val="1"/>
      <w:numFmt w:val="bullet"/>
      <w:lvlText w:val=""/>
      <w:lvlJc w:val="left"/>
      <w:pPr>
        <w:ind w:left="2230" w:hanging="360"/>
      </w:pPr>
      <w:rPr>
        <w:rFonts w:ascii="Wingdings" w:hAnsi="Wingdings" w:hint="default"/>
      </w:rPr>
    </w:lvl>
    <w:lvl w:ilvl="3" w:tplc="0C090001" w:tentative="1">
      <w:start w:val="1"/>
      <w:numFmt w:val="bullet"/>
      <w:lvlText w:val=""/>
      <w:lvlJc w:val="left"/>
      <w:pPr>
        <w:ind w:left="2950" w:hanging="360"/>
      </w:pPr>
      <w:rPr>
        <w:rFonts w:ascii="Symbol" w:hAnsi="Symbol" w:hint="default"/>
      </w:rPr>
    </w:lvl>
    <w:lvl w:ilvl="4" w:tplc="0C090003" w:tentative="1">
      <w:start w:val="1"/>
      <w:numFmt w:val="bullet"/>
      <w:lvlText w:val="o"/>
      <w:lvlJc w:val="left"/>
      <w:pPr>
        <w:ind w:left="3670" w:hanging="360"/>
      </w:pPr>
      <w:rPr>
        <w:rFonts w:ascii="Courier New" w:hAnsi="Courier New" w:cs="Courier New" w:hint="default"/>
      </w:rPr>
    </w:lvl>
    <w:lvl w:ilvl="5" w:tplc="0C090005" w:tentative="1">
      <w:start w:val="1"/>
      <w:numFmt w:val="bullet"/>
      <w:lvlText w:val=""/>
      <w:lvlJc w:val="left"/>
      <w:pPr>
        <w:ind w:left="4390" w:hanging="360"/>
      </w:pPr>
      <w:rPr>
        <w:rFonts w:ascii="Wingdings" w:hAnsi="Wingdings" w:hint="default"/>
      </w:rPr>
    </w:lvl>
    <w:lvl w:ilvl="6" w:tplc="0C090001" w:tentative="1">
      <w:start w:val="1"/>
      <w:numFmt w:val="bullet"/>
      <w:lvlText w:val=""/>
      <w:lvlJc w:val="left"/>
      <w:pPr>
        <w:ind w:left="5110" w:hanging="360"/>
      </w:pPr>
      <w:rPr>
        <w:rFonts w:ascii="Symbol" w:hAnsi="Symbol" w:hint="default"/>
      </w:rPr>
    </w:lvl>
    <w:lvl w:ilvl="7" w:tplc="0C090003" w:tentative="1">
      <w:start w:val="1"/>
      <w:numFmt w:val="bullet"/>
      <w:lvlText w:val="o"/>
      <w:lvlJc w:val="left"/>
      <w:pPr>
        <w:ind w:left="5830" w:hanging="360"/>
      </w:pPr>
      <w:rPr>
        <w:rFonts w:ascii="Courier New" w:hAnsi="Courier New" w:cs="Courier New" w:hint="default"/>
      </w:rPr>
    </w:lvl>
    <w:lvl w:ilvl="8" w:tplc="0C090005" w:tentative="1">
      <w:start w:val="1"/>
      <w:numFmt w:val="bullet"/>
      <w:lvlText w:val=""/>
      <w:lvlJc w:val="left"/>
      <w:pPr>
        <w:ind w:left="6550" w:hanging="360"/>
      </w:pPr>
      <w:rPr>
        <w:rFonts w:ascii="Wingdings" w:hAnsi="Wingdings" w:hint="default"/>
      </w:rPr>
    </w:lvl>
  </w:abstractNum>
  <w:abstractNum w:abstractNumId="2" w15:restartNumberingAfterBreak="0">
    <w:nsid w:val="244C38E8"/>
    <w:multiLevelType w:val="multilevel"/>
    <w:tmpl w:val="B8705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8C463DD"/>
    <w:multiLevelType w:val="multilevel"/>
    <w:tmpl w:val="B8808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CE33AD"/>
    <w:multiLevelType w:val="multilevel"/>
    <w:tmpl w:val="67745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46D3A6A"/>
    <w:multiLevelType w:val="multilevel"/>
    <w:tmpl w:val="10BE8B78"/>
    <w:lvl w:ilvl="0">
      <w:start w:val="1"/>
      <w:numFmt w:val="bullet"/>
      <w:pStyle w:val="Bullet1"/>
      <w:lvlText w:val=""/>
      <w:lvlJc w:val="left"/>
      <w:pPr>
        <w:tabs>
          <w:tab w:val="num" w:pos="360"/>
        </w:tabs>
        <w:ind w:left="360" w:hanging="360"/>
      </w:pPr>
      <w:rPr>
        <w:rFonts w:ascii="Symbol" w:hAnsi="Symbol" w:hint="default"/>
        <w:b w:val="0"/>
        <w:i w:val="0"/>
        <w:vanish w:val="0"/>
        <w:color w:val="auto"/>
        <w:sz w:val="20"/>
      </w:rPr>
    </w:lvl>
    <w:lvl w:ilvl="1">
      <w:start w:val="1"/>
      <w:numFmt w:val="bullet"/>
      <w:pStyle w:val="Bullet2"/>
      <w:lvlText w:val="–"/>
      <w:lvlJc w:val="left"/>
      <w:pPr>
        <w:tabs>
          <w:tab w:val="num" w:pos="720"/>
        </w:tabs>
        <w:ind w:left="720" w:hanging="360"/>
      </w:pPr>
      <w:rPr>
        <w:rFonts w:ascii="Calibri" w:hAnsi="Calibri" w:hint="default"/>
        <w:b w:val="0"/>
        <w:i w:val="0"/>
        <w:vanish w:val="0"/>
        <w:color w:val="auto"/>
        <w:sz w:val="20"/>
      </w:rPr>
    </w:lvl>
    <w:lvl w:ilvl="2">
      <w:start w:val="1"/>
      <w:numFmt w:val="bullet"/>
      <w:pStyle w:val="Bullet3"/>
      <w:lvlText w:val=""/>
      <w:lvlJc w:val="left"/>
      <w:pPr>
        <w:tabs>
          <w:tab w:val="num" w:pos="1080"/>
        </w:tabs>
        <w:ind w:left="1080" w:hanging="360"/>
      </w:pPr>
      <w:rPr>
        <w:rFonts w:ascii="Symbol" w:hAnsi="Symbol" w:hint="default"/>
        <w:b w:val="0"/>
        <w:i w:val="0"/>
        <w:vanish w:val="0"/>
        <w:color w:val="auto"/>
        <w:sz w:val="20"/>
      </w:rPr>
    </w:lvl>
    <w:lvl w:ilvl="3">
      <w:start w:val="1"/>
      <w:numFmt w:val="bullet"/>
      <w:lvlText w:val=""/>
      <w:lvlJc w:val="left"/>
      <w:pPr>
        <w:tabs>
          <w:tab w:val="num" w:pos="1928"/>
        </w:tabs>
        <w:ind w:left="1928" w:hanging="284"/>
      </w:pPr>
      <w:rPr>
        <w:rFonts w:ascii="Symbol" w:hAnsi="Symbol" w:hint="default"/>
        <w:b w:val="0"/>
        <w:i w:val="0"/>
        <w:vanish w:val="0"/>
        <w:color w:val="auto"/>
        <w:sz w:val="20"/>
      </w:rPr>
    </w:lvl>
    <w:lvl w:ilvl="4">
      <w:start w:val="1"/>
      <w:numFmt w:val="bullet"/>
      <w:lvlText w:val=""/>
      <w:lvlJc w:val="left"/>
      <w:pPr>
        <w:tabs>
          <w:tab w:val="num" w:pos="2211"/>
        </w:tabs>
        <w:ind w:left="2211" w:hanging="283"/>
      </w:pPr>
      <w:rPr>
        <w:rFonts w:ascii="Symbol" w:hAnsi="Symbol" w:hint="default"/>
        <w:b w:val="0"/>
        <w:i w:val="0"/>
        <w:vanish w:val="0"/>
        <w:color w:val="auto"/>
        <w:sz w:val="20"/>
      </w:rPr>
    </w:lvl>
    <w:lvl w:ilvl="5">
      <w:start w:val="1"/>
      <w:numFmt w:val="bullet"/>
      <w:lvlText w:val=""/>
      <w:lvlJc w:val="left"/>
      <w:pPr>
        <w:tabs>
          <w:tab w:val="num" w:pos="2495"/>
        </w:tabs>
        <w:ind w:left="2495" w:hanging="284"/>
      </w:pPr>
      <w:rPr>
        <w:rFonts w:ascii="Symbol" w:hAnsi="Symbol" w:hint="default"/>
        <w:b w:val="0"/>
        <w:i w:val="0"/>
        <w:vanish w:val="0"/>
        <w:color w:val="auto"/>
        <w:sz w:val="20"/>
      </w:rPr>
    </w:lvl>
    <w:lvl w:ilvl="6">
      <w:start w:val="1"/>
      <w:numFmt w:val="bullet"/>
      <w:lvlText w:val=""/>
      <w:lvlJc w:val="left"/>
      <w:pPr>
        <w:tabs>
          <w:tab w:val="num" w:pos="2778"/>
        </w:tabs>
        <w:ind w:left="2778" w:hanging="283"/>
      </w:pPr>
      <w:rPr>
        <w:rFonts w:ascii="Symbol" w:hAnsi="Symbol" w:hint="default"/>
        <w:b w:val="0"/>
        <w:i w:val="0"/>
        <w:vanish w:val="0"/>
        <w:color w:val="auto"/>
        <w:sz w:val="20"/>
      </w:rPr>
    </w:lvl>
    <w:lvl w:ilvl="7">
      <w:start w:val="1"/>
      <w:numFmt w:val="bullet"/>
      <w:lvlText w:val=""/>
      <w:lvlJc w:val="left"/>
      <w:pPr>
        <w:tabs>
          <w:tab w:val="num" w:pos="3062"/>
        </w:tabs>
        <w:ind w:left="3062" w:hanging="284"/>
      </w:pPr>
      <w:rPr>
        <w:rFonts w:ascii="Symbol" w:hAnsi="Symbol" w:hint="default"/>
        <w:b w:val="0"/>
        <w:i w:val="0"/>
        <w:vanish w:val="0"/>
        <w:color w:val="auto"/>
        <w:sz w:val="20"/>
      </w:rPr>
    </w:lvl>
    <w:lvl w:ilvl="8">
      <w:start w:val="1"/>
      <w:numFmt w:val="bullet"/>
      <w:lvlText w:val=""/>
      <w:lvlJc w:val="left"/>
      <w:pPr>
        <w:tabs>
          <w:tab w:val="num" w:pos="3345"/>
        </w:tabs>
        <w:ind w:left="3345" w:hanging="283"/>
      </w:pPr>
      <w:rPr>
        <w:rFonts w:ascii="Symbol" w:hAnsi="Symbol" w:hint="default"/>
        <w:b w:val="0"/>
        <w:i w:val="0"/>
        <w:vanish w:val="0"/>
        <w:color w:val="auto"/>
        <w:sz w:val="20"/>
      </w:rPr>
    </w:lvl>
  </w:abstractNum>
  <w:abstractNum w:abstractNumId="6" w15:restartNumberingAfterBreak="0">
    <w:nsid w:val="465919F4"/>
    <w:multiLevelType w:val="multilevel"/>
    <w:tmpl w:val="BF84A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63D1928"/>
    <w:multiLevelType w:val="multilevel"/>
    <w:tmpl w:val="83BC3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6483D45"/>
    <w:multiLevelType w:val="multilevel"/>
    <w:tmpl w:val="8BBE9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90E42FD"/>
    <w:multiLevelType w:val="multilevel"/>
    <w:tmpl w:val="64102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F230984"/>
    <w:multiLevelType w:val="multilevel"/>
    <w:tmpl w:val="5EA65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4F273F4"/>
    <w:multiLevelType w:val="multilevel"/>
    <w:tmpl w:val="5C0EF9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848985288">
    <w:abstractNumId w:val="3"/>
  </w:num>
  <w:num w:numId="2" w16cid:durableId="1492017362">
    <w:abstractNumId w:val="6"/>
  </w:num>
  <w:num w:numId="3" w16cid:durableId="626787355">
    <w:abstractNumId w:val="2"/>
  </w:num>
  <w:num w:numId="4" w16cid:durableId="704675480">
    <w:abstractNumId w:val="10"/>
  </w:num>
  <w:num w:numId="5" w16cid:durableId="1412968210">
    <w:abstractNumId w:val="9"/>
  </w:num>
  <w:num w:numId="6" w16cid:durableId="261258818">
    <w:abstractNumId w:val="8"/>
  </w:num>
  <w:num w:numId="7" w16cid:durableId="1968701872">
    <w:abstractNumId w:val="7"/>
  </w:num>
  <w:num w:numId="8" w16cid:durableId="2111781429">
    <w:abstractNumId w:val="4"/>
  </w:num>
  <w:num w:numId="9" w16cid:durableId="810177306">
    <w:abstractNumId w:val="11"/>
  </w:num>
  <w:num w:numId="10" w16cid:durableId="10772893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65875735">
    <w:abstractNumId w:val="0"/>
  </w:num>
  <w:num w:numId="12" w16cid:durableId="8009990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F9C"/>
    <w:rsid w:val="00004446"/>
    <w:rsid w:val="00031D12"/>
    <w:rsid w:val="000644B2"/>
    <w:rsid w:val="00072ADF"/>
    <w:rsid w:val="000C0EAB"/>
    <w:rsid w:val="000C3594"/>
    <w:rsid w:val="000C538F"/>
    <w:rsid w:val="00104887"/>
    <w:rsid w:val="00140908"/>
    <w:rsid w:val="00147B35"/>
    <w:rsid w:val="001B4702"/>
    <w:rsid w:val="001C23BE"/>
    <w:rsid w:val="001D3DF1"/>
    <w:rsid w:val="001D78F6"/>
    <w:rsid w:val="00216370"/>
    <w:rsid w:val="00265D5D"/>
    <w:rsid w:val="002711BD"/>
    <w:rsid w:val="00287200"/>
    <w:rsid w:val="0029057E"/>
    <w:rsid w:val="002B3667"/>
    <w:rsid w:val="002E6F9C"/>
    <w:rsid w:val="00324C4E"/>
    <w:rsid w:val="00343667"/>
    <w:rsid w:val="003460DC"/>
    <w:rsid w:val="00370931"/>
    <w:rsid w:val="003D5412"/>
    <w:rsid w:val="003D5F12"/>
    <w:rsid w:val="00420332"/>
    <w:rsid w:val="00466B2A"/>
    <w:rsid w:val="004861CE"/>
    <w:rsid w:val="004945B6"/>
    <w:rsid w:val="004A15A8"/>
    <w:rsid w:val="004A4BC8"/>
    <w:rsid w:val="004A7717"/>
    <w:rsid w:val="004C708B"/>
    <w:rsid w:val="00504E4F"/>
    <w:rsid w:val="005309B2"/>
    <w:rsid w:val="0054408E"/>
    <w:rsid w:val="005576CF"/>
    <w:rsid w:val="00563873"/>
    <w:rsid w:val="005752F8"/>
    <w:rsid w:val="00577C0F"/>
    <w:rsid w:val="0058063B"/>
    <w:rsid w:val="00583BBE"/>
    <w:rsid w:val="00597724"/>
    <w:rsid w:val="005C49D0"/>
    <w:rsid w:val="00621ACB"/>
    <w:rsid w:val="00625A3B"/>
    <w:rsid w:val="00631CF8"/>
    <w:rsid w:val="0066565B"/>
    <w:rsid w:val="006740D5"/>
    <w:rsid w:val="006A201C"/>
    <w:rsid w:val="006A7B81"/>
    <w:rsid w:val="006B5AD3"/>
    <w:rsid w:val="006D3DA5"/>
    <w:rsid w:val="006D5BF3"/>
    <w:rsid w:val="006E4FDA"/>
    <w:rsid w:val="00707412"/>
    <w:rsid w:val="00711E08"/>
    <w:rsid w:val="00722982"/>
    <w:rsid w:val="007275F9"/>
    <w:rsid w:val="0073576C"/>
    <w:rsid w:val="00751F0D"/>
    <w:rsid w:val="0075226B"/>
    <w:rsid w:val="00757D95"/>
    <w:rsid w:val="0077679E"/>
    <w:rsid w:val="0078670E"/>
    <w:rsid w:val="007A3DEF"/>
    <w:rsid w:val="007B0841"/>
    <w:rsid w:val="007B39D1"/>
    <w:rsid w:val="007F45F0"/>
    <w:rsid w:val="00815D74"/>
    <w:rsid w:val="00832EF2"/>
    <w:rsid w:val="00866868"/>
    <w:rsid w:val="00875127"/>
    <w:rsid w:val="008B27ED"/>
    <w:rsid w:val="008C5938"/>
    <w:rsid w:val="008C6DA5"/>
    <w:rsid w:val="008D2542"/>
    <w:rsid w:val="008E4E0F"/>
    <w:rsid w:val="008F0B77"/>
    <w:rsid w:val="009137E6"/>
    <w:rsid w:val="00973252"/>
    <w:rsid w:val="009738CC"/>
    <w:rsid w:val="009759C9"/>
    <w:rsid w:val="00983424"/>
    <w:rsid w:val="0098504D"/>
    <w:rsid w:val="009A1ECA"/>
    <w:rsid w:val="009B347D"/>
    <w:rsid w:val="009F0445"/>
    <w:rsid w:val="009F77D3"/>
    <w:rsid w:val="00A227C6"/>
    <w:rsid w:val="00A253CB"/>
    <w:rsid w:val="00A54FAC"/>
    <w:rsid w:val="00A769F0"/>
    <w:rsid w:val="00A86C4E"/>
    <w:rsid w:val="00AA4B30"/>
    <w:rsid w:val="00AA6D37"/>
    <w:rsid w:val="00AB247E"/>
    <w:rsid w:val="00AC32AA"/>
    <w:rsid w:val="00AC5A92"/>
    <w:rsid w:val="00AD3DF5"/>
    <w:rsid w:val="00BC3C4A"/>
    <w:rsid w:val="00BC50DC"/>
    <w:rsid w:val="00BC5478"/>
    <w:rsid w:val="00BD67DA"/>
    <w:rsid w:val="00BE3859"/>
    <w:rsid w:val="00C34D92"/>
    <w:rsid w:val="00C46703"/>
    <w:rsid w:val="00C562F8"/>
    <w:rsid w:val="00C82DB7"/>
    <w:rsid w:val="00C90272"/>
    <w:rsid w:val="00C93E6C"/>
    <w:rsid w:val="00CB3335"/>
    <w:rsid w:val="00CB7A8A"/>
    <w:rsid w:val="00CD607F"/>
    <w:rsid w:val="00D00E7D"/>
    <w:rsid w:val="00D03702"/>
    <w:rsid w:val="00D46926"/>
    <w:rsid w:val="00D87BBB"/>
    <w:rsid w:val="00D9323B"/>
    <w:rsid w:val="00DE021E"/>
    <w:rsid w:val="00DF7714"/>
    <w:rsid w:val="00E2605A"/>
    <w:rsid w:val="00E27F47"/>
    <w:rsid w:val="00E52AA5"/>
    <w:rsid w:val="00E55BA4"/>
    <w:rsid w:val="00E62CDA"/>
    <w:rsid w:val="00E974C0"/>
    <w:rsid w:val="00EB3994"/>
    <w:rsid w:val="00EF6858"/>
    <w:rsid w:val="00F04686"/>
    <w:rsid w:val="00F6669F"/>
    <w:rsid w:val="00F709DE"/>
    <w:rsid w:val="00FC11FE"/>
    <w:rsid w:val="00FC35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E0B8B5"/>
  <w15:chartTrackingRefBased/>
  <w15:docId w15:val="{959FC84A-36F9-4B19-B2DA-B68CAC65B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4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DE021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E021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6F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6F9C"/>
  </w:style>
  <w:style w:type="paragraph" w:styleId="Footer">
    <w:name w:val="footer"/>
    <w:basedOn w:val="Normal"/>
    <w:link w:val="FooterChar"/>
    <w:uiPriority w:val="99"/>
    <w:unhideWhenUsed/>
    <w:rsid w:val="002E6F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6F9C"/>
  </w:style>
  <w:style w:type="character" w:customStyle="1" w:styleId="Heading2Char">
    <w:name w:val="Heading 2 Char"/>
    <w:basedOn w:val="DefaultParagraphFont"/>
    <w:link w:val="Heading2"/>
    <w:uiPriority w:val="9"/>
    <w:rsid w:val="00DE021E"/>
    <w:rPr>
      <w:rFonts w:asciiTheme="majorHAnsi" w:eastAsiaTheme="majorEastAsia" w:hAnsiTheme="majorHAnsi" w:cstheme="majorBidi"/>
      <w:color w:val="2F5496" w:themeColor="accent1" w:themeShade="BF"/>
      <w:sz w:val="26"/>
      <w:szCs w:val="26"/>
    </w:rPr>
  </w:style>
  <w:style w:type="paragraph" w:customStyle="1" w:styleId="rpl-anchor-linksitem">
    <w:name w:val="rpl-anchor-links__item"/>
    <w:basedOn w:val="Normal"/>
    <w:rsid w:val="00DE021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rpl-text-label">
    <w:name w:val="rpl-text-label"/>
    <w:basedOn w:val="DefaultParagraphFont"/>
    <w:rsid w:val="00DE021E"/>
  </w:style>
  <w:style w:type="character" w:styleId="CommentReference">
    <w:name w:val="annotation reference"/>
    <w:basedOn w:val="DefaultParagraphFont"/>
    <w:uiPriority w:val="99"/>
    <w:semiHidden/>
    <w:unhideWhenUsed/>
    <w:rsid w:val="00DE021E"/>
    <w:rPr>
      <w:sz w:val="16"/>
      <w:szCs w:val="16"/>
    </w:rPr>
  </w:style>
  <w:style w:type="paragraph" w:styleId="CommentText">
    <w:name w:val="annotation text"/>
    <w:basedOn w:val="Normal"/>
    <w:link w:val="CommentTextChar"/>
    <w:uiPriority w:val="99"/>
    <w:semiHidden/>
    <w:unhideWhenUsed/>
    <w:rsid w:val="00DE021E"/>
    <w:pPr>
      <w:spacing w:line="240" w:lineRule="auto"/>
    </w:pPr>
    <w:rPr>
      <w:sz w:val="20"/>
      <w:szCs w:val="20"/>
    </w:rPr>
  </w:style>
  <w:style w:type="character" w:customStyle="1" w:styleId="CommentTextChar">
    <w:name w:val="Comment Text Char"/>
    <w:basedOn w:val="DefaultParagraphFont"/>
    <w:link w:val="CommentText"/>
    <w:uiPriority w:val="99"/>
    <w:semiHidden/>
    <w:rsid w:val="00DE021E"/>
    <w:rPr>
      <w:sz w:val="20"/>
      <w:szCs w:val="20"/>
    </w:rPr>
  </w:style>
  <w:style w:type="character" w:customStyle="1" w:styleId="Heading3Char">
    <w:name w:val="Heading 3 Char"/>
    <w:basedOn w:val="DefaultParagraphFont"/>
    <w:link w:val="Heading3"/>
    <w:uiPriority w:val="9"/>
    <w:rsid w:val="00DE021E"/>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DE021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LineNumber">
    <w:name w:val="line number"/>
    <w:basedOn w:val="DefaultParagraphFont"/>
    <w:uiPriority w:val="49"/>
    <w:semiHidden/>
    <w:rsid w:val="00DE021E"/>
  </w:style>
  <w:style w:type="paragraph" w:customStyle="1" w:styleId="Bullet1">
    <w:name w:val="Bullet 1"/>
    <w:basedOn w:val="Normal"/>
    <w:uiPriority w:val="11"/>
    <w:qFormat/>
    <w:rsid w:val="009B347D"/>
    <w:pPr>
      <w:numPr>
        <w:numId w:val="10"/>
      </w:numPr>
      <w:spacing w:after="0" w:line="260" w:lineRule="atLeast"/>
    </w:pPr>
    <w:rPr>
      <w:rFonts w:ascii="Calibri" w:eastAsia="Times New Roman" w:hAnsi="Calibri" w:cs="Calibri"/>
      <w:lang w:eastAsia="en-AU"/>
    </w:rPr>
  </w:style>
  <w:style w:type="paragraph" w:customStyle="1" w:styleId="Bullet2">
    <w:name w:val="Bullet 2"/>
    <w:basedOn w:val="Bullet1"/>
    <w:uiPriority w:val="11"/>
    <w:qFormat/>
    <w:rsid w:val="009B347D"/>
    <w:pPr>
      <w:numPr>
        <w:ilvl w:val="1"/>
      </w:numPr>
    </w:pPr>
  </w:style>
  <w:style w:type="paragraph" w:customStyle="1" w:styleId="Bullet3">
    <w:name w:val="Bullet 3"/>
    <w:basedOn w:val="Bullet2"/>
    <w:uiPriority w:val="11"/>
    <w:qFormat/>
    <w:rsid w:val="009B347D"/>
    <w:pPr>
      <w:numPr>
        <w:ilvl w:val="2"/>
      </w:numPr>
    </w:pPr>
  </w:style>
  <w:style w:type="paragraph" w:customStyle="1" w:styleId="paragraph">
    <w:name w:val="paragraph"/>
    <w:basedOn w:val="Normal"/>
    <w:rsid w:val="009B347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9B347D"/>
  </w:style>
  <w:style w:type="character" w:customStyle="1" w:styleId="eop">
    <w:name w:val="eop"/>
    <w:basedOn w:val="DefaultParagraphFont"/>
    <w:rsid w:val="009B347D"/>
  </w:style>
  <w:style w:type="paragraph" w:styleId="Revision">
    <w:name w:val="Revision"/>
    <w:hidden/>
    <w:uiPriority w:val="99"/>
    <w:semiHidden/>
    <w:rsid w:val="006D3DA5"/>
    <w:pPr>
      <w:spacing w:after="0" w:line="240" w:lineRule="auto"/>
    </w:pPr>
  </w:style>
  <w:style w:type="paragraph" w:styleId="CommentSubject">
    <w:name w:val="annotation subject"/>
    <w:basedOn w:val="CommentText"/>
    <w:next w:val="CommentText"/>
    <w:link w:val="CommentSubjectChar"/>
    <w:uiPriority w:val="99"/>
    <w:semiHidden/>
    <w:unhideWhenUsed/>
    <w:rsid w:val="000C0EAB"/>
    <w:rPr>
      <w:b/>
      <w:bCs/>
    </w:rPr>
  </w:style>
  <w:style w:type="character" w:customStyle="1" w:styleId="CommentSubjectChar">
    <w:name w:val="Comment Subject Char"/>
    <w:basedOn w:val="CommentTextChar"/>
    <w:link w:val="CommentSubject"/>
    <w:uiPriority w:val="99"/>
    <w:semiHidden/>
    <w:rsid w:val="000C0EAB"/>
    <w:rPr>
      <w:b/>
      <w:bCs/>
      <w:sz w:val="20"/>
      <w:szCs w:val="20"/>
    </w:rPr>
  </w:style>
  <w:style w:type="character" w:styleId="Hyperlink">
    <w:name w:val="Hyperlink"/>
    <w:uiPriority w:val="99"/>
    <w:semiHidden/>
    <w:rsid w:val="002B3667"/>
    <w:rPr>
      <w:color w:val="660B6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9507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buyingfor.vic.gov.au/evaluation-negotiation-and-selection-goods-and-services-procurement-guide" TargetMode="External"/><Relationship Id="rId18" Type="http://schemas.openxmlformats.org/officeDocument/2006/relationships/hyperlink" Target="https://www.buyingfor.vic.gov.au/toolkit-and-library"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1.png"/><Relationship Id="rId7" Type="http://schemas.openxmlformats.org/officeDocument/2006/relationships/styles" Target="styles.xml"/><Relationship Id="rId12" Type="http://schemas.openxmlformats.org/officeDocument/2006/relationships/hyperlink" Target="https://www.buyingfor.vic.gov.au/evaluation-negotiation-and-selection-goods-and-services-procurement-guide" TargetMode="External"/><Relationship Id="rId17" Type="http://schemas.openxmlformats.org/officeDocument/2006/relationships/hyperlink" Target="https://www.buyingfor.vic.gov.au/market-approach-goods-and-services-policy"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buyingfor.vic.gov.au/goods-services-supply-policies" TargetMode="External"/><Relationship Id="rId20" Type="http://schemas.openxmlformats.org/officeDocument/2006/relationships/hyperlink" Target="http://creativecommons.org/licenses/by/3.0/au/"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www.buyingfor.vic.gov.au/evaluation-negotiation-and-selection-goods-and-services-procurement-guide" TargetMode="External"/><Relationship Id="rId23" Type="http://schemas.openxmlformats.org/officeDocument/2006/relationships/hyperlink" Target="mailto:IPpolicy@dtf.vic.gov.au" TargetMode="External"/><Relationship Id="rId28"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yperlink" Target="https://www.buyingfor.vic.gov.au/contact"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buyingfor.vic.gov.au/evaluation-negotiation-and-selection-goods-and-services-procurement-guide" TargetMode="External"/><Relationship Id="rId22" Type="http://schemas.openxmlformats.org/officeDocument/2006/relationships/hyperlink" Target="http://creativecommons.org/licenses/by/4.0/"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01FE44C6DE9F545A430B7A681A49892" ma:contentTypeVersion="13" ma:contentTypeDescription="Create a new document." ma:contentTypeScope="" ma:versionID="f38c14adad0d38a24980598589e407eb">
  <xsd:schema xmlns:xsd="http://www.w3.org/2001/XMLSchema" xmlns:xs="http://www.w3.org/2001/XMLSchema" xmlns:p="http://schemas.microsoft.com/office/2006/metadata/properties" xmlns:ns2="12da2378-ae26-4d96-a7c5-90e56fcca493" xmlns:ns3="ea6ceb4f-0e40-4a59-9e03-9dec53d274d7" targetNamespace="http://schemas.microsoft.com/office/2006/metadata/properties" ma:root="true" ma:fieldsID="70daa20f26e909c1f91b4f61d3a428c8" ns2:_="" ns3:_="">
    <xsd:import namespace="12da2378-ae26-4d96-a7c5-90e56fcca493"/>
    <xsd:import namespace="ea6ceb4f-0e40-4a59-9e03-9dec53d274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da2378-ae26-4d96-a7c5-90e56fcca4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6ceb4f-0e40-4a59-9e03-9dec53d274d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ea6ceb4f-0e40-4a59-9e03-9dec53d274d7">
      <UserInfo>
        <DisplayName>Matthew Taylor (DGS)</DisplayName>
        <AccountId>8</AccountId>
        <AccountType/>
      </UserInfo>
      <UserInfo>
        <DisplayName>Peter Gray (DGS)</DisplayName>
        <AccountId>15</AccountId>
        <AccountType/>
      </UserInfo>
      <UserInfo>
        <DisplayName>Meredith Anderson (DGS)</DisplayName>
        <AccountId>18</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5187DEB2-431E-488A-A1B4-395EDEDB5F06}">
  <ds:schemaRefs>
    <ds:schemaRef ds:uri="http://schemas.microsoft.com/sharepoint/v3/contenttype/forms"/>
  </ds:schemaRefs>
</ds:datastoreItem>
</file>

<file path=customXml/itemProps2.xml><?xml version="1.0" encoding="utf-8"?>
<ds:datastoreItem xmlns:ds="http://schemas.openxmlformats.org/officeDocument/2006/customXml" ds:itemID="{297A0BE3-859A-4E0B-9223-9DD9DE3C4C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da2378-ae26-4d96-a7c5-90e56fcca493"/>
    <ds:schemaRef ds:uri="ea6ceb4f-0e40-4a59-9e03-9dec53d274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508A5B-6716-4977-8240-C2C5FA8171A7}">
  <ds:schemaRefs>
    <ds:schemaRef ds:uri="http://schemas.microsoft.com/office/2006/metadata/properties"/>
    <ds:schemaRef ds:uri="http://schemas.microsoft.com/office/infopath/2007/PartnerControls"/>
    <ds:schemaRef ds:uri="ea6ceb4f-0e40-4a59-9e03-9dec53d274d7"/>
  </ds:schemaRefs>
</ds:datastoreItem>
</file>

<file path=customXml/itemProps4.xml><?xml version="1.0" encoding="utf-8"?>
<ds:datastoreItem xmlns:ds="http://schemas.openxmlformats.org/officeDocument/2006/customXml" ds:itemID="{1DC159CB-C82A-4AA9-9B7C-BA2886C75C40}">
  <ds:schemaRefs>
    <ds:schemaRef ds:uri="http://schemas.openxmlformats.org/officeDocument/2006/bibliography"/>
  </ds:schemaRefs>
</ds:datastoreItem>
</file>

<file path=customXml/itemProps5.xml><?xml version="1.0" encoding="utf-8"?>
<ds:datastoreItem xmlns:ds="http://schemas.openxmlformats.org/officeDocument/2006/customXml" ds:itemID="{E7391FBE-B3B3-476B-A9FE-D03DFC0C47FB}">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1104</Words>
  <Characters>6295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7385</CharactersWithSpaces>
  <SharedDoc>false</SharedDoc>
  <HLinks>
    <vt:vector size="48" baseType="variant">
      <vt:variant>
        <vt:i4>1638419</vt:i4>
      </vt:variant>
      <vt:variant>
        <vt:i4>21</vt:i4>
      </vt:variant>
      <vt:variant>
        <vt:i4>0</vt:i4>
      </vt:variant>
      <vt:variant>
        <vt:i4>5</vt:i4>
      </vt:variant>
      <vt:variant>
        <vt:lpwstr>https://www.buyingfor.vic.gov.au/contact</vt:lpwstr>
      </vt:variant>
      <vt:variant>
        <vt:lpwstr/>
      </vt:variant>
      <vt:variant>
        <vt:i4>1441798</vt:i4>
      </vt:variant>
      <vt:variant>
        <vt:i4>18</vt:i4>
      </vt:variant>
      <vt:variant>
        <vt:i4>0</vt:i4>
      </vt:variant>
      <vt:variant>
        <vt:i4>5</vt:i4>
      </vt:variant>
      <vt:variant>
        <vt:lpwstr>https://www.buyingfor.vic.gov.au/toolkit-and-library</vt:lpwstr>
      </vt:variant>
      <vt:variant>
        <vt:lpwstr/>
      </vt:variant>
      <vt:variant>
        <vt:i4>8126524</vt:i4>
      </vt:variant>
      <vt:variant>
        <vt:i4>15</vt:i4>
      </vt:variant>
      <vt:variant>
        <vt:i4>0</vt:i4>
      </vt:variant>
      <vt:variant>
        <vt:i4>5</vt:i4>
      </vt:variant>
      <vt:variant>
        <vt:lpwstr>https://www.buyingfor.vic.gov.au/market-approach-goods-and-services-policy</vt:lpwstr>
      </vt:variant>
      <vt:variant>
        <vt:lpwstr/>
      </vt:variant>
      <vt:variant>
        <vt:i4>3932259</vt:i4>
      </vt:variant>
      <vt:variant>
        <vt:i4>12</vt:i4>
      </vt:variant>
      <vt:variant>
        <vt:i4>0</vt:i4>
      </vt:variant>
      <vt:variant>
        <vt:i4>5</vt:i4>
      </vt:variant>
      <vt:variant>
        <vt:lpwstr>https://www.buyingfor.vic.gov.au/goods-services-supply-policies</vt:lpwstr>
      </vt:variant>
      <vt:variant>
        <vt:lpwstr/>
      </vt:variant>
      <vt:variant>
        <vt:i4>7274609</vt:i4>
      </vt:variant>
      <vt:variant>
        <vt:i4>9</vt:i4>
      </vt:variant>
      <vt:variant>
        <vt:i4>0</vt:i4>
      </vt:variant>
      <vt:variant>
        <vt:i4>5</vt:i4>
      </vt:variant>
      <vt:variant>
        <vt:lpwstr>https://www.buyingfor.vic.gov.au/evaluation-negotiation-and-selection-goods-and-services-procurement-guide</vt:lpwstr>
      </vt:variant>
      <vt:variant>
        <vt:lpwstr>tools-and-support</vt:lpwstr>
      </vt:variant>
      <vt:variant>
        <vt:i4>3473450</vt:i4>
      </vt:variant>
      <vt:variant>
        <vt:i4>6</vt:i4>
      </vt:variant>
      <vt:variant>
        <vt:i4>0</vt:i4>
      </vt:variant>
      <vt:variant>
        <vt:i4>5</vt:i4>
      </vt:variant>
      <vt:variant>
        <vt:lpwstr>https://www.buyingfor.vic.gov.au/evaluation-negotiation-and-selection-goods-and-services-procurement-guide</vt:lpwstr>
      </vt:variant>
      <vt:variant>
        <vt:lpwstr>using-this-guide</vt:lpwstr>
      </vt:variant>
      <vt:variant>
        <vt:i4>2293819</vt:i4>
      </vt:variant>
      <vt:variant>
        <vt:i4>3</vt:i4>
      </vt:variant>
      <vt:variant>
        <vt:i4>0</vt:i4>
      </vt:variant>
      <vt:variant>
        <vt:i4>5</vt:i4>
      </vt:variant>
      <vt:variant>
        <vt:lpwstr>https://www.buyingfor.vic.gov.au/evaluation-negotiation-and-selection-goods-and-services-procurement-guide</vt:lpwstr>
      </vt:variant>
      <vt:variant>
        <vt:lpwstr>conducting-an-evaluation</vt:lpwstr>
      </vt:variant>
      <vt:variant>
        <vt:i4>3407986</vt:i4>
      </vt:variant>
      <vt:variant>
        <vt:i4>0</vt:i4>
      </vt:variant>
      <vt:variant>
        <vt:i4>0</vt:i4>
      </vt:variant>
      <vt:variant>
        <vt:i4>5</vt:i4>
      </vt:variant>
      <vt:variant>
        <vt:lpwstr>https://www.buyingfor.vic.gov.au/evaluation-negotiation-and-selection-goods-and-services-procurement-guide</vt:lpwstr>
      </vt:variant>
      <vt:variant>
        <vt:lpwstr>what-is-evaluation-negotiation-and-selection</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Roy Bird (DGS)</dc:creator>
  <cp:keywords/>
  <dc:description/>
  <cp:lastModifiedBy>Vanessa Coles</cp:lastModifiedBy>
  <cp:revision>2</cp:revision>
  <dcterms:created xsi:type="dcterms:W3CDTF">2023-09-12T01:32:00Z</dcterms:created>
  <dcterms:modified xsi:type="dcterms:W3CDTF">2023-09-12T01:32:00Z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0x010100401FE44C6DE9F545A430B7A681A49892</vt:lpwstr>
  </property>
  <property fmtid="{D5CDD505-2E9C-101B-9397-08002B2CF9AE}" pid="3" name="MSIP_Label_7158ebbd-6c5e-441f-bfc9-4eb8c11e3978_Enabled">
    <vt:lpwstr>true</vt:lpwstr>
  </property>
  <property fmtid="{D5CDD505-2E9C-101B-9397-08002B2CF9AE}" pid="4" name="MSIP_Label_7158ebbd-6c5e-441f-bfc9-4eb8c11e3978_SetDate">
    <vt:lpwstr>2023-09-12T01:32:12Z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7725d12e-3a22-431c-b629-ff2a9316ce3d</vt:lpwstr>
  </property>
  <property fmtid="{D5CDD505-2E9C-101B-9397-08002B2CF9AE}" pid="9" name="MSIP_Label_7158ebbd-6c5e-441f-bfc9-4eb8c11e3978_ContentBits">
    <vt:lpwstr>2</vt:lpwstr>
  </property>
</Properties>
</file>