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1B1A2" w14:textId="77777777" w:rsidR="00484FC0" w:rsidRDefault="00484FC0" w:rsidP="00484FC0">
      <w:pPr>
        <w:pStyle w:val="Title"/>
      </w:pPr>
    </w:p>
    <w:p w14:paraId="72588FDB" w14:textId="77777777" w:rsidR="00484FC0" w:rsidRDefault="00484FC0" w:rsidP="00484FC0">
      <w:pPr>
        <w:pStyle w:val="Title"/>
      </w:pPr>
    </w:p>
    <w:p w14:paraId="4A93B600" w14:textId="77777777" w:rsidR="00484FC0" w:rsidRDefault="00484FC0" w:rsidP="00484FC0">
      <w:pPr>
        <w:pStyle w:val="Title"/>
      </w:pPr>
    </w:p>
    <w:p w14:paraId="1FB9F824" w14:textId="77777777" w:rsidR="00484FC0" w:rsidRDefault="00484FC0" w:rsidP="00484FC0">
      <w:pPr>
        <w:pStyle w:val="Title"/>
      </w:pPr>
    </w:p>
    <w:p w14:paraId="3C714443" w14:textId="77777777" w:rsidR="00484FC0" w:rsidRDefault="00484FC0" w:rsidP="00484FC0">
      <w:pPr>
        <w:pStyle w:val="Title"/>
      </w:pPr>
    </w:p>
    <w:p w14:paraId="6054873E" w14:textId="77777777" w:rsidR="00484FC0" w:rsidRDefault="00484FC0" w:rsidP="00484FC0">
      <w:pPr>
        <w:pStyle w:val="Title"/>
      </w:pPr>
    </w:p>
    <w:p w14:paraId="25D54B9D" w14:textId="77777777" w:rsidR="00484FC0" w:rsidRDefault="00484FC0" w:rsidP="00484FC0">
      <w:pPr>
        <w:pStyle w:val="Title"/>
      </w:pPr>
    </w:p>
    <w:p w14:paraId="02C283B5" w14:textId="77777777" w:rsidR="00484FC0" w:rsidRDefault="00484FC0" w:rsidP="00484FC0">
      <w:pPr>
        <w:pStyle w:val="Title"/>
      </w:pPr>
    </w:p>
    <w:p w14:paraId="7B4356AC" w14:textId="77777777" w:rsidR="00484FC0" w:rsidRDefault="00484FC0" w:rsidP="00484FC0">
      <w:pPr>
        <w:pStyle w:val="Title"/>
      </w:pPr>
    </w:p>
    <w:p w14:paraId="6160ECDC" w14:textId="77777777" w:rsidR="00484FC0" w:rsidRDefault="00484FC0" w:rsidP="00484FC0">
      <w:pPr>
        <w:pStyle w:val="Title"/>
      </w:pPr>
    </w:p>
    <w:p w14:paraId="5E6BA5BD" w14:textId="77777777" w:rsidR="00484FC0" w:rsidRDefault="00484FC0" w:rsidP="00484FC0">
      <w:pPr>
        <w:pStyle w:val="Title"/>
      </w:pPr>
    </w:p>
    <w:p w14:paraId="62C21A20" w14:textId="77777777" w:rsidR="00484FC0" w:rsidRDefault="00484FC0" w:rsidP="00484FC0">
      <w:pPr>
        <w:pStyle w:val="Title"/>
      </w:pPr>
    </w:p>
    <w:p w14:paraId="4B712EFE" w14:textId="77777777" w:rsidR="00484FC0" w:rsidRDefault="00484FC0" w:rsidP="00484FC0">
      <w:pPr>
        <w:pStyle w:val="Title"/>
      </w:pPr>
    </w:p>
    <w:p w14:paraId="5024994B" w14:textId="77777777" w:rsidR="001D56A3" w:rsidRDefault="001D56A3" w:rsidP="001D56A3">
      <w:pPr>
        <w:pStyle w:val="Title"/>
        <w:ind w:right="1212"/>
      </w:pPr>
    </w:p>
    <w:p w14:paraId="2719B5FA" w14:textId="77777777" w:rsidR="001D56A3" w:rsidRDefault="001D56A3" w:rsidP="001D56A3">
      <w:pPr>
        <w:pStyle w:val="Title"/>
        <w:ind w:right="1212"/>
      </w:pPr>
    </w:p>
    <w:p w14:paraId="20670898" w14:textId="77777777" w:rsidR="00982570" w:rsidRDefault="00982570" w:rsidP="001D56A3">
      <w:pPr>
        <w:pStyle w:val="Title"/>
        <w:ind w:right="1212"/>
      </w:pPr>
      <w:r>
        <w:t xml:space="preserve">VGPB </w:t>
      </w:r>
      <w:r w:rsidR="001D56A3" w:rsidRPr="00CD6245">
        <w:t>Annual Report</w:t>
      </w:r>
    </w:p>
    <w:p w14:paraId="2BC181B7" w14:textId="3CD029F6" w:rsidR="008D4431" w:rsidRPr="00CD6245" w:rsidRDefault="00B72FA1" w:rsidP="001D56A3">
      <w:pPr>
        <w:pStyle w:val="Title"/>
        <w:ind w:right="1212"/>
      </w:pPr>
      <w:r>
        <w:t>2019–20</w:t>
      </w:r>
    </w:p>
    <w:p w14:paraId="399A22CC" w14:textId="77777777" w:rsidR="00982570" w:rsidRDefault="00982570" w:rsidP="00982570">
      <w:pPr>
        <w:pStyle w:val="Subtitle"/>
      </w:pPr>
    </w:p>
    <w:p w14:paraId="6935B35D" w14:textId="77777777" w:rsidR="00982570" w:rsidRPr="00CD6245" w:rsidRDefault="00982570" w:rsidP="00982570">
      <w:pPr>
        <w:pStyle w:val="Subtitle"/>
      </w:pPr>
      <w:r w:rsidRPr="00CD6245">
        <w:t>Victorian Government Purchasing Board</w:t>
      </w:r>
    </w:p>
    <w:p w14:paraId="4C2EED06" w14:textId="77777777" w:rsidR="00B971DE" w:rsidRPr="006F19A9" w:rsidRDefault="00B971DE" w:rsidP="00484FC0">
      <w:pPr>
        <w:pStyle w:val="Subtitle"/>
        <w:rPr>
          <w:sz w:val="32"/>
          <w:szCs w:val="32"/>
        </w:rPr>
      </w:pPr>
      <w:r w:rsidRPr="006F19A9">
        <w:rPr>
          <w:sz w:val="32"/>
          <w:szCs w:val="32"/>
        </w:rPr>
        <w:t>Achieving excellence in government procurement</w:t>
      </w:r>
    </w:p>
    <w:p w14:paraId="3F47CAC8" w14:textId="77777777" w:rsidR="00B971DE" w:rsidRPr="00CD6245" w:rsidRDefault="00B971DE">
      <w:pPr>
        <w:rPr>
          <w:rFonts w:cs="Arial"/>
        </w:rPr>
      </w:pPr>
      <w:r w:rsidRPr="00CD6245">
        <w:rPr>
          <w:rFonts w:cs="Arial"/>
        </w:rPr>
        <w:br w:type="page"/>
      </w:r>
    </w:p>
    <w:p w14:paraId="403B3F0F" w14:textId="77777777" w:rsidR="00344686" w:rsidRPr="00CD6245" w:rsidRDefault="00344686" w:rsidP="00B971DE">
      <w:pPr>
        <w:rPr>
          <w:rFonts w:cs="Arial"/>
        </w:rPr>
      </w:pPr>
    </w:p>
    <w:p w14:paraId="3BEF0B93" w14:textId="77777777" w:rsidR="00344686" w:rsidRPr="00CD6245" w:rsidRDefault="00344686" w:rsidP="00B971DE">
      <w:pPr>
        <w:rPr>
          <w:rFonts w:cs="Arial"/>
        </w:rPr>
      </w:pPr>
    </w:p>
    <w:p w14:paraId="5C9BDA2C" w14:textId="43E7B6E7" w:rsidR="00B971DE" w:rsidRPr="00F50794" w:rsidRDefault="00B971DE" w:rsidP="002A2A95">
      <w:pPr>
        <w:pStyle w:val="Normal1"/>
        <w:spacing w:before="40" w:after="40"/>
        <w:rPr>
          <w:rStyle w:val="Strong"/>
        </w:rPr>
      </w:pPr>
      <w:r w:rsidRPr="00F50794">
        <w:rPr>
          <w:rStyle w:val="Strong"/>
        </w:rPr>
        <w:t xml:space="preserve">Victorian Government Purchasing Board Annual Report </w:t>
      </w:r>
      <w:r w:rsidR="00B72FA1">
        <w:rPr>
          <w:rStyle w:val="Strong"/>
        </w:rPr>
        <w:t>2019–20</w:t>
      </w:r>
    </w:p>
    <w:p w14:paraId="620DA6AB" w14:textId="77777777" w:rsidR="00584EC9" w:rsidRPr="00CD6245" w:rsidRDefault="00584EC9" w:rsidP="00584EC9">
      <w:pPr>
        <w:pStyle w:val="Normal1"/>
        <w:spacing w:before="40" w:after="40"/>
      </w:pPr>
      <w:r w:rsidRPr="00CD6245">
        <w:t>Victorian Government Purchasing Board</w:t>
      </w:r>
    </w:p>
    <w:p w14:paraId="40BFE269" w14:textId="77777777" w:rsidR="002E2E5E" w:rsidRDefault="001D56A3" w:rsidP="002A2A95">
      <w:pPr>
        <w:pStyle w:val="Normal1"/>
        <w:spacing w:before="40" w:after="40"/>
      </w:pPr>
      <w:r w:rsidRPr="00CD6245">
        <w:t>1 Treasury Place</w:t>
      </w:r>
    </w:p>
    <w:p w14:paraId="1C5DAC64" w14:textId="77777777" w:rsidR="00B971DE" w:rsidRDefault="001D56A3" w:rsidP="002A2A95">
      <w:pPr>
        <w:pStyle w:val="Normal1"/>
        <w:spacing w:before="40" w:after="40"/>
      </w:pPr>
      <w:r w:rsidRPr="00CD6245">
        <w:t>Melbourne</w:t>
      </w:r>
      <w:r w:rsidR="00013225">
        <w:t>,</w:t>
      </w:r>
      <w:r w:rsidR="00B971DE" w:rsidRPr="00CD6245">
        <w:t xml:space="preserve"> Victoria</w:t>
      </w:r>
      <w:r w:rsidR="00013225">
        <w:t>,</w:t>
      </w:r>
      <w:r w:rsidR="00B971DE" w:rsidRPr="00CD6245">
        <w:t xml:space="preserve"> 3002</w:t>
      </w:r>
    </w:p>
    <w:p w14:paraId="50AB2E6D" w14:textId="77777777" w:rsidR="002E2E5E" w:rsidRDefault="002E2E5E" w:rsidP="002A2A95">
      <w:pPr>
        <w:pStyle w:val="Normal1"/>
        <w:spacing w:before="40" w:after="40"/>
      </w:pPr>
      <w:r>
        <w:t>Australia</w:t>
      </w:r>
    </w:p>
    <w:p w14:paraId="5220EAFB" w14:textId="77777777" w:rsidR="002E2E5E" w:rsidRPr="00CD6245" w:rsidRDefault="002E2E5E" w:rsidP="002E2E5E">
      <w:pPr>
        <w:pStyle w:val="Normal1"/>
        <w:spacing w:before="40" w:after="40"/>
      </w:pPr>
      <w:r w:rsidRPr="00CD6245">
        <w:t xml:space="preserve">Telephone: +61 3 </w:t>
      </w:r>
      <w:r w:rsidR="00BD62AE">
        <w:rPr>
          <w:rFonts w:ascii="Tahoma" w:hAnsi="Tahoma" w:cs="Tahoma"/>
          <w:color w:val="000000"/>
          <w:sz w:val="20"/>
          <w:szCs w:val="20"/>
          <w:lang w:val="en-US"/>
        </w:rPr>
        <w:t>7005 9138</w:t>
      </w:r>
    </w:p>
    <w:p w14:paraId="53E381CA" w14:textId="6400D218" w:rsidR="002E2E5E" w:rsidRPr="00CD6245" w:rsidRDefault="002E2E5E" w:rsidP="002E2E5E">
      <w:pPr>
        <w:pStyle w:val="Normal1"/>
        <w:spacing w:before="40" w:after="40"/>
      </w:pPr>
      <w:r w:rsidRPr="00CD6245">
        <w:t xml:space="preserve">Email: </w:t>
      </w:r>
      <w:hyperlink r:id="rId9" w:history="1">
        <w:r w:rsidRPr="00B45C4C">
          <w:rPr>
            <w:rStyle w:val="Hyperlink"/>
          </w:rPr>
          <w:t>vgpb@dtf.vic.gov.au</w:t>
        </w:r>
      </w:hyperlink>
    </w:p>
    <w:p w14:paraId="59F6FDB8" w14:textId="77777777" w:rsidR="002E2E5E" w:rsidRDefault="002E2E5E" w:rsidP="002A2A95">
      <w:pPr>
        <w:pStyle w:val="Normal1"/>
        <w:spacing w:before="40" w:after="40"/>
        <w:rPr>
          <w:rStyle w:val="Hyperlink"/>
        </w:rPr>
      </w:pPr>
      <w:r>
        <w:t xml:space="preserve">Website: </w:t>
      </w:r>
      <w:r w:rsidR="000E11D2" w:rsidRPr="000E11D2">
        <w:t>buyingfor.vic.gov.au</w:t>
      </w:r>
    </w:p>
    <w:p w14:paraId="737065CA" w14:textId="77777777" w:rsidR="0054359F" w:rsidRDefault="0054359F" w:rsidP="00B45C4C">
      <w:pPr>
        <w:pStyle w:val="Normal1"/>
        <w:spacing w:before="40" w:after="40"/>
        <w:rPr>
          <w:lang w:val="en-US"/>
        </w:rPr>
      </w:pPr>
    </w:p>
    <w:p w14:paraId="38684D2E" w14:textId="77777777" w:rsidR="00757530" w:rsidRDefault="00757530" w:rsidP="00757530">
      <w:pPr>
        <w:pStyle w:val="Normal1"/>
      </w:pPr>
      <w:r>
        <w:t>ISSN: 2207-1601 (</w:t>
      </w:r>
      <w:r w:rsidR="00275318">
        <w:t>o</w:t>
      </w:r>
      <w:r>
        <w:t>nline</w:t>
      </w:r>
      <w:r w:rsidR="00275318">
        <w:t>/PDF</w:t>
      </w:r>
      <w:r>
        <w:t>)</w:t>
      </w:r>
    </w:p>
    <w:p w14:paraId="1465AEC9" w14:textId="0D5B11C4" w:rsidR="00B45C4C" w:rsidRDefault="00B45C4C" w:rsidP="00B45C4C">
      <w:pPr>
        <w:pStyle w:val="Normal1"/>
      </w:pPr>
      <w:r w:rsidRPr="007A4980">
        <w:t xml:space="preserve">Published September </w:t>
      </w:r>
      <w:r w:rsidR="00B72FA1" w:rsidRPr="007A4980">
        <w:t>2020</w:t>
      </w:r>
    </w:p>
    <w:p w14:paraId="1BEF1D07" w14:textId="77777777" w:rsidR="00F50794" w:rsidRDefault="00F50794" w:rsidP="00F50794">
      <w:pPr>
        <w:pStyle w:val="Normal1"/>
        <w:spacing w:before="40" w:after="40"/>
      </w:pPr>
      <w:r w:rsidRPr="00CD6245">
        <w:t>Authorised by the Victorian Government</w:t>
      </w:r>
    </w:p>
    <w:p w14:paraId="3F395E60" w14:textId="77777777" w:rsidR="00F50794" w:rsidRPr="00E40C72" w:rsidRDefault="00F50794" w:rsidP="00F50794">
      <w:pPr>
        <w:pStyle w:val="Normal1"/>
        <w:rPr>
          <w:rStyle w:val="Hyperlink"/>
          <w:color w:val="auto"/>
          <w:u w:val="none"/>
        </w:rPr>
      </w:pPr>
      <w:r w:rsidRPr="00E40C72">
        <w:rPr>
          <w:rStyle w:val="Hyperlink"/>
          <w:color w:val="auto"/>
          <w:u w:val="none"/>
        </w:rPr>
        <w:t>1 Treasury Place, Melbourne, 3002</w:t>
      </w:r>
    </w:p>
    <w:p w14:paraId="16E651A2" w14:textId="4A54373C" w:rsidR="002E2E5E" w:rsidRPr="0007325F" w:rsidRDefault="002E2E5E" w:rsidP="0007325F">
      <w:pPr>
        <w:pStyle w:val="Normal1"/>
      </w:pPr>
      <w:r w:rsidRPr="0007325F">
        <w:t>© State of Victoria (Victorian Government Purchasing Board) 20</w:t>
      </w:r>
      <w:r w:rsidR="00B72FA1">
        <w:t>20</w:t>
      </w:r>
    </w:p>
    <w:p w14:paraId="1CD675A4" w14:textId="77777777" w:rsidR="00DF1ECB" w:rsidRPr="00CD6245" w:rsidRDefault="00DF1ECB" w:rsidP="00E41631">
      <w:pPr>
        <w:pStyle w:val="Normal1"/>
        <w:rPr>
          <w:lang w:val="en-US"/>
        </w:rPr>
      </w:pPr>
      <w:r w:rsidRPr="00CD6245">
        <w:rPr>
          <w:noProof/>
          <w:lang w:val="en-US" w:eastAsia="en-US"/>
        </w:rPr>
        <w:drawing>
          <wp:inline distT="0" distB="0" distL="0" distR="0" wp14:anchorId="3C522512" wp14:editId="208932EC">
            <wp:extent cx="1251984" cy="438194"/>
            <wp:effectExtent l="19050" t="0" r="5316" b="0"/>
            <wp:docPr id="4" name="Picture 1" descr="The Creative Commons Attribution 4.0 licence logo"/>
            <wp:cNvGraphicFramePr/>
            <a:graphic xmlns:a="http://schemas.openxmlformats.org/drawingml/2006/main">
              <a:graphicData uri="http://schemas.openxmlformats.org/drawingml/2006/picture">
                <pic:pic xmlns:pic="http://schemas.openxmlformats.org/drawingml/2006/picture">
                  <pic:nvPicPr>
                    <pic:cNvPr id="4" name="Picture 1" descr="The Creative Commons Attribution 4.0 licence logo"/>
                    <pic:cNvPicPr/>
                  </pic:nvPicPr>
                  <pic:blipFill>
                    <a:blip r:embed="rId10">
                      <a:extLst>
                        <a:ext uri="{28A0092B-C50C-407E-A947-70E740481C1C}">
                          <a14:useLocalDpi xmlns:a14="http://schemas.microsoft.com/office/drawing/2010/main" val="0"/>
                        </a:ext>
                      </a:extLst>
                    </a:blip>
                    <a:stretch>
                      <a:fillRect/>
                    </a:stretch>
                  </pic:blipFill>
                  <pic:spPr>
                    <a:xfrm>
                      <a:off x="0" y="0"/>
                      <a:ext cx="1251984" cy="438194"/>
                    </a:xfrm>
                    <a:prstGeom prst="rect">
                      <a:avLst/>
                    </a:prstGeom>
                  </pic:spPr>
                </pic:pic>
              </a:graphicData>
            </a:graphic>
          </wp:inline>
        </w:drawing>
      </w:r>
    </w:p>
    <w:p w14:paraId="6A6BDA7C" w14:textId="77777777" w:rsidR="00982570" w:rsidRPr="00E843AD" w:rsidRDefault="00982570" w:rsidP="00E843AD">
      <w:pPr>
        <w:pStyle w:val="Normal1"/>
      </w:pPr>
      <w:r w:rsidRPr="00E843AD">
        <w:t>You are free to re-use this work under a Creative Commons Attribution 4.0 licence, provided you credit the State of Victoria (Victorian Government Purchasing Board) as author, indicate if changes were made and comply with the other licence terms. The licence does not apply to any images, photographs or branding, including government logos.</w:t>
      </w:r>
    </w:p>
    <w:p w14:paraId="46A9B2F2" w14:textId="33FD8ED7" w:rsidR="00982570" w:rsidRPr="00E843AD" w:rsidRDefault="00982570" w:rsidP="00E843AD">
      <w:pPr>
        <w:pStyle w:val="Normal1"/>
      </w:pPr>
      <w:r w:rsidRPr="00E843AD">
        <w:t xml:space="preserve">Copyright queries may be directed to </w:t>
      </w:r>
      <w:hyperlink r:id="rId11" w:history="1">
        <w:r w:rsidRPr="00E843AD">
          <w:t>IPpolicy@dtf.vic.gov.au</w:t>
        </w:r>
      </w:hyperlink>
    </w:p>
    <w:p w14:paraId="71ED53F0" w14:textId="77777777" w:rsidR="00C3564B" w:rsidRPr="00F50794" w:rsidRDefault="00C3564B" w:rsidP="00C3564B">
      <w:pPr>
        <w:pStyle w:val="Normal1"/>
        <w:rPr>
          <w:rStyle w:val="Strong"/>
        </w:rPr>
      </w:pPr>
      <w:r w:rsidRPr="00F50794">
        <w:rPr>
          <w:rStyle w:val="Strong"/>
        </w:rPr>
        <w:t>Accessibility</w:t>
      </w:r>
    </w:p>
    <w:p w14:paraId="38BA15B3" w14:textId="77777777" w:rsidR="00C3564B" w:rsidRPr="00982570" w:rsidRDefault="00C3564B" w:rsidP="00C3564B">
      <w:pPr>
        <w:pStyle w:val="Normal1"/>
      </w:pPr>
      <w:r w:rsidRPr="00F50794">
        <w:t xml:space="preserve">An online version and accessible text format of this report is available from </w:t>
      </w:r>
      <w:hyperlink r:id="rId12" w:history="1">
        <w:r w:rsidRPr="00F50794">
          <w:rPr>
            <w:rStyle w:val="Hyperlink"/>
            <w:color w:val="auto"/>
            <w:u w:val="none"/>
          </w:rPr>
          <w:t>buyingfor.vic.gov.au/annual-reports</w:t>
        </w:r>
      </w:hyperlink>
    </w:p>
    <w:p w14:paraId="7742B6F7" w14:textId="451E500C" w:rsidR="00F50794" w:rsidRPr="00F50794" w:rsidRDefault="00F50794" w:rsidP="00F50794">
      <w:pPr>
        <w:pStyle w:val="Normal1"/>
        <w:rPr>
          <w:rStyle w:val="Strong"/>
        </w:rPr>
      </w:pPr>
      <w:r w:rsidRPr="00F50794">
        <w:rPr>
          <w:rStyle w:val="Strong"/>
        </w:rPr>
        <w:t>Disclaimer</w:t>
      </w:r>
    </w:p>
    <w:p w14:paraId="557225C1" w14:textId="77777777" w:rsidR="00F50794" w:rsidRPr="00E843AD" w:rsidRDefault="00F50794" w:rsidP="00E843AD">
      <w:pPr>
        <w:pStyle w:val="Normal1"/>
      </w:pPr>
      <w:r w:rsidRPr="00E843AD">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that may arise from you relying on any information in this publication.</w:t>
      </w:r>
    </w:p>
    <w:p w14:paraId="171F390E" w14:textId="77777777" w:rsidR="005862F8" w:rsidRPr="00CD6245" w:rsidRDefault="005862F8" w:rsidP="00C116AB">
      <w:pPr>
        <w:pStyle w:val="TOCHeading"/>
      </w:pPr>
      <w:r w:rsidRPr="00CD6245">
        <w:lastRenderedPageBreak/>
        <w:t>Contents</w:t>
      </w:r>
    </w:p>
    <w:bookmarkStart w:id="0" w:name="_Toc366693289"/>
    <w:bookmarkStart w:id="1" w:name="_Toc366695194"/>
    <w:p w14:paraId="5987FB75" w14:textId="4146FC0F" w:rsidR="00C116AB" w:rsidRDefault="00A61178">
      <w:pPr>
        <w:pStyle w:val="TOC1"/>
        <w:rPr>
          <w:rFonts w:asciiTheme="minorHAnsi" w:eastAsiaTheme="minorEastAsia" w:hAnsiTheme="minorHAnsi" w:cstheme="minorBidi"/>
          <w:noProof/>
          <w:sz w:val="22"/>
          <w:szCs w:val="22"/>
        </w:rPr>
      </w:pPr>
      <w:r>
        <w:rPr>
          <w:rFonts w:cs="Arial"/>
          <w:sz w:val="20"/>
        </w:rPr>
        <w:fldChar w:fldCharType="begin"/>
      </w:r>
      <w:r>
        <w:rPr>
          <w:rFonts w:cs="Arial"/>
          <w:sz w:val="20"/>
        </w:rPr>
        <w:instrText xml:space="preserve"> TOC \o "1-2" \h \z \u </w:instrText>
      </w:r>
      <w:r>
        <w:rPr>
          <w:rFonts w:cs="Arial"/>
          <w:sz w:val="20"/>
        </w:rPr>
        <w:fldChar w:fldCharType="separate"/>
      </w:r>
      <w:hyperlink w:anchor="_Toc52187706" w:history="1">
        <w:r w:rsidR="00C116AB" w:rsidRPr="008266AA">
          <w:rPr>
            <w:rStyle w:val="Hyperlink"/>
            <w:noProof/>
          </w:rPr>
          <w:t>About this report</w:t>
        </w:r>
        <w:r w:rsidR="00C116AB">
          <w:rPr>
            <w:noProof/>
            <w:webHidden/>
          </w:rPr>
          <w:tab/>
        </w:r>
        <w:r w:rsidR="00C116AB">
          <w:rPr>
            <w:noProof/>
            <w:webHidden/>
          </w:rPr>
          <w:fldChar w:fldCharType="begin"/>
        </w:r>
        <w:r w:rsidR="00C116AB">
          <w:rPr>
            <w:noProof/>
            <w:webHidden/>
          </w:rPr>
          <w:instrText xml:space="preserve"> PAGEREF _Toc52187706 \h </w:instrText>
        </w:r>
        <w:r w:rsidR="00C116AB">
          <w:rPr>
            <w:noProof/>
            <w:webHidden/>
          </w:rPr>
        </w:r>
        <w:r w:rsidR="00C116AB">
          <w:rPr>
            <w:noProof/>
            <w:webHidden/>
          </w:rPr>
          <w:fldChar w:fldCharType="separate"/>
        </w:r>
        <w:r w:rsidR="00C116AB">
          <w:rPr>
            <w:noProof/>
            <w:webHidden/>
          </w:rPr>
          <w:t>5</w:t>
        </w:r>
        <w:r w:rsidR="00C116AB">
          <w:rPr>
            <w:noProof/>
            <w:webHidden/>
          </w:rPr>
          <w:fldChar w:fldCharType="end"/>
        </w:r>
      </w:hyperlink>
    </w:p>
    <w:p w14:paraId="50C69C6E" w14:textId="3F4705DE" w:rsidR="00C116AB" w:rsidRDefault="00BE0754">
      <w:pPr>
        <w:pStyle w:val="TOC1"/>
        <w:rPr>
          <w:rFonts w:asciiTheme="minorHAnsi" w:eastAsiaTheme="minorEastAsia" w:hAnsiTheme="minorHAnsi" w:cstheme="minorBidi"/>
          <w:noProof/>
          <w:sz w:val="22"/>
          <w:szCs w:val="22"/>
        </w:rPr>
      </w:pPr>
      <w:hyperlink w:anchor="_Toc52187707" w:history="1">
        <w:r w:rsidR="00C116AB" w:rsidRPr="008266AA">
          <w:rPr>
            <w:rStyle w:val="Hyperlink"/>
            <w:noProof/>
          </w:rPr>
          <w:t>Message from the Chair</w:t>
        </w:r>
        <w:r w:rsidR="00C116AB">
          <w:rPr>
            <w:noProof/>
            <w:webHidden/>
          </w:rPr>
          <w:tab/>
        </w:r>
        <w:r w:rsidR="00C116AB">
          <w:rPr>
            <w:noProof/>
            <w:webHidden/>
          </w:rPr>
          <w:fldChar w:fldCharType="begin"/>
        </w:r>
        <w:r w:rsidR="00C116AB">
          <w:rPr>
            <w:noProof/>
            <w:webHidden/>
          </w:rPr>
          <w:instrText xml:space="preserve"> PAGEREF _Toc52187707 \h </w:instrText>
        </w:r>
        <w:r w:rsidR="00C116AB">
          <w:rPr>
            <w:noProof/>
            <w:webHidden/>
          </w:rPr>
        </w:r>
        <w:r w:rsidR="00C116AB">
          <w:rPr>
            <w:noProof/>
            <w:webHidden/>
          </w:rPr>
          <w:fldChar w:fldCharType="separate"/>
        </w:r>
        <w:r w:rsidR="00C116AB">
          <w:rPr>
            <w:noProof/>
            <w:webHidden/>
          </w:rPr>
          <w:t>6</w:t>
        </w:r>
        <w:r w:rsidR="00C116AB">
          <w:rPr>
            <w:noProof/>
            <w:webHidden/>
          </w:rPr>
          <w:fldChar w:fldCharType="end"/>
        </w:r>
      </w:hyperlink>
    </w:p>
    <w:p w14:paraId="6E6C1B7F" w14:textId="5769A7DB" w:rsidR="00C116AB" w:rsidRDefault="00BE0754">
      <w:pPr>
        <w:pStyle w:val="TOC1"/>
        <w:rPr>
          <w:rFonts w:asciiTheme="minorHAnsi" w:eastAsiaTheme="minorEastAsia" w:hAnsiTheme="minorHAnsi" w:cstheme="minorBidi"/>
          <w:noProof/>
          <w:sz w:val="22"/>
          <w:szCs w:val="22"/>
        </w:rPr>
      </w:pPr>
      <w:hyperlink w:anchor="_Toc52187708" w:history="1">
        <w:r w:rsidR="00C116AB" w:rsidRPr="008266AA">
          <w:rPr>
            <w:rStyle w:val="Hyperlink"/>
            <w:noProof/>
          </w:rPr>
          <w:t>About the VGPB</w:t>
        </w:r>
        <w:r w:rsidR="00C116AB">
          <w:rPr>
            <w:noProof/>
            <w:webHidden/>
          </w:rPr>
          <w:tab/>
        </w:r>
        <w:r w:rsidR="00C116AB">
          <w:rPr>
            <w:noProof/>
            <w:webHidden/>
          </w:rPr>
          <w:fldChar w:fldCharType="begin"/>
        </w:r>
        <w:r w:rsidR="00C116AB">
          <w:rPr>
            <w:noProof/>
            <w:webHidden/>
          </w:rPr>
          <w:instrText xml:space="preserve"> PAGEREF _Toc52187708 \h </w:instrText>
        </w:r>
        <w:r w:rsidR="00C116AB">
          <w:rPr>
            <w:noProof/>
            <w:webHidden/>
          </w:rPr>
        </w:r>
        <w:r w:rsidR="00C116AB">
          <w:rPr>
            <w:noProof/>
            <w:webHidden/>
          </w:rPr>
          <w:fldChar w:fldCharType="separate"/>
        </w:r>
        <w:r w:rsidR="00C116AB">
          <w:rPr>
            <w:noProof/>
            <w:webHidden/>
          </w:rPr>
          <w:t>7</w:t>
        </w:r>
        <w:r w:rsidR="00C116AB">
          <w:rPr>
            <w:noProof/>
            <w:webHidden/>
          </w:rPr>
          <w:fldChar w:fldCharType="end"/>
        </w:r>
      </w:hyperlink>
    </w:p>
    <w:p w14:paraId="4467DAC9" w14:textId="23A278EB"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09" w:history="1">
        <w:r w:rsidR="00C116AB" w:rsidRPr="008266AA">
          <w:rPr>
            <w:rStyle w:val="Hyperlink"/>
            <w:noProof/>
          </w:rPr>
          <w:t>Procurement as a core business function</w:t>
        </w:r>
        <w:r w:rsidR="00C116AB">
          <w:rPr>
            <w:noProof/>
            <w:webHidden/>
          </w:rPr>
          <w:tab/>
        </w:r>
        <w:r w:rsidR="00C116AB">
          <w:rPr>
            <w:noProof/>
            <w:webHidden/>
          </w:rPr>
          <w:fldChar w:fldCharType="begin"/>
        </w:r>
        <w:r w:rsidR="00C116AB">
          <w:rPr>
            <w:noProof/>
            <w:webHidden/>
          </w:rPr>
          <w:instrText xml:space="preserve"> PAGEREF _Toc52187709 \h </w:instrText>
        </w:r>
        <w:r w:rsidR="00C116AB">
          <w:rPr>
            <w:noProof/>
            <w:webHidden/>
          </w:rPr>
        </w:r>
        <w:r w:rsidR="00C116AB">
          <w:rPr>
            <w:noProof/>
            <w:webHidden/>
          </w:rPr>
          <w:fldChar w:fldCharType="separate"/>
        </w:r>
        <w:r w:rsidR="00C116AB">
          <w:rPr>
            <w:noProof/>
            <w:webHidden/>
          </w:rPr>
          <w:t>7</w:t>
        </w:r>
        <w:r w:rsidR="00C116AB">
          <w:rPr>
            <w:noProof/>
            <w:webHidden/>
          </w:rPr>
          <w:fldChar w:fldCharType="end"/>
        </w:r>
      </w:hyperlink>
    </w:p>
    <w:p w14:paraId="5F413067" w14:textId="348E6921"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0" w:history="1">
        <w:r w:rsidR="00C116AB" w:rsidRPr="008266AA">
          <w:rPr>
            <w:rStyle w:val="Hyperlink"/>
            <w:noProof/>
          </w:rPr>
          <w:t>The VGPB at a glance</w:t>
        </w:r>
        <w:r w:rsidR="00C116AB">
          <w:rPr>
            <w:noProof/>
            <w:webHidden/>
          </w:rPr>
          <w:tab/>
        </w:r>
        <w:r w:rsidR="00C116AB">
          <w:rPr>
            <w:noProof/>
            <w:webHidden/>
          </w:rPr>
          <w:fldChar w:fldCharType="begin"/>
        </w:r>
        <w:r w:rsidR="00C116AB">
          <w:rPr>
            <w:noProof/>
            <w:webHidden/>
          </w:rPr>
          <w:instrText xml:space="preserve"> PAGEREF _Toc52187710 \h </w:instrText>
        </w:r>
        <w:r w:rsidR="00C116AB">
          <w:rPr>
            <w:noProof/>
            <w:webHidden/>
          </w:rPr>
        </w:r>
        <w:r w:rsidR="00C116AB">
          <w:rPr>
            <w:noProof/>
            <w:webHidden/>
          </w:rPr>
          <w:fldChar w:fldCharType="separate"/>
        </w:r>
        <w:r w:rsidR="00C116AB">
          <w:rPr>
            <w:noProof/>
            <w:webHidden/>
          </w:rPr>
          <w:t>8</w:t>
        </w:r>
        <w:r w:rsidR="00C116AB">
          <w:rPr>
            <w:noProof/>
            <w:webHidden/>
          </w:rPr>
          <w:fldChar w:fldCharType="end"/>
        </w:r>
      </w:hyperlink>
    </w:p>
    <w:p w14:paraId="62EAC206" w14:textId="2E4ABCA7"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1" w:history="1">
        <w:r w:rsidR="00C116AB" w:rsidRPr="008266AA">
          <w:rPr>
            <w:rStyle w:val="Hyperlink"/>
            <w:noProof/>
          </w:rPr>
          <w:t>Scope of VGPB policies</w:t>
        </w:r>
        <w:r w:rsidR="00C116AB">
          <w:rPr>
            <w:noProof/>
            <w:webHidden/>
          </w:rPr>
          <w:tab/>
        </w:r>
        <w:r w:rsidR="00C116AB">
          <w:rPr>
            <w:noProof/>
            <w:webHidden/>
          </w:rPr>
          <w:fldChar w:fldCharType="begin"/>
        </w:r>
        <w:r w:rsidR="00C116AB">
          <w:rPr>
            <w:noProof/>
            <w:webHidden/>
          </w:rPr>
          <w:instrText xml:space="preserve"> PAGEREF _Toc52187711 \h </w:instrText>
        </w:r>
        <w:r w:rsidR="00C116AB">
          <w:rPr>
            <w:noProof/>
            <w:webHidden/>
          </w:rPr>
        </w:r>
        <w:r w:rsidR="00C116AB">
          <w:rPr>
            <w:noProof/>
            <w:webHidden/>
          </w:rPr>
          <w:fldChar w:fldCharType="separate"/>
        </w:r>
        <w:r w:rsidR="00C116AB">
          <w:rPr>
            <w:noProof/>
            <w:webHidden/>
          </w:rPr>
          <w:t>9</w:t>
        </w:r>
        <w:r w:rsidR="00C116AB">
          <w:rPr>
            <w:noProof/>
            <w:webHidden/>
          </w:rPr>
          <w:fldChar w:fldCharType="end"/>
        </w:r>
      </w:hyperlink>
    </w:p>
    <w:p w14:paraId="63223B84" w14:textId="2C2397DD"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2" w:history="1">
        <w:r w:rsidR="00C116AB" w:rsidRPr="008266AA">
          <w:rPr>
            <w:rStyle w:val="Hyperlink"/>
            <w:noProof/>
          </w:rPr>
          <w:t>Reporting structure</w:t>
        </w:r>
        <w:r w:rsidR="00C116AB">
          <w:rPr>
            <w:noProof/>
            <w:webHidden/>
          </w:rPr>
          <w:tab/>
        </w:r>
        <w:r w:rsidR="00C116AB">
          <w:rPr>
            <w:noProof/>
            <w:webHidden/>
          </w:rPr>
          <w:fldChar w:fldCharType="begin"/>
        </w:r>
        <w:r w:rsidR="00C116AB">
          <w:rPr>
            <w:noProof/>
            <w:webHidden/>
          </w:rPr>
          <w:instrText xml:space="preserve"> PAGEREF _Toc52187712 \h </w:instrText>
        </w:r>
        <w:r w:rsidR="00C116AB">
          <w:rPr>
            <w:noProof/>
            <w:webHidden/>
          </w:rPr>
        </w:r>
        <w:r w:rsidR="00C116AB">
          <w:rPr>
            <w:noProof/>
            <w:webHidden/>
          </w:rPr>
          <w:fldChar w:fldCharType="separate"/>
        </w:r>
        <w:r w:rsidR="00C116AB">
          <w:rPr>
            <w:noProof/>
            <w:webHidden/>
          </w:rPr>
          <w:t>9</w:t>
        </w:r>
        <w:r w:rsidR="00C116AB">
          <w:rPr>
            <w:noProof/>
            <w:webHidden/>
          </w:rPr>
          <w:fldChar w:fldCharType="end"/>
        </w:r>
      </w:hyperlink>
    </w:p>
    <w:p w14:paraId="335220E7" w14:textId="47CFF583"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3" w:history="1">
        <w:r w:rsidR="00C116AB" w:rsidRPr="008266AA">
          <w:rPr>
            <w:rStyle w:val="Hyperlink"/>
            <w:noProof/>
            <w:lang w:val="en-GB"/>
          </w:rPr>
          <w:t>Board members</w:t>
        </w:r>
        <w:r w:rsidR="00C116AB">
          <w:rPr>
            <w:noProof/>
            <w:webHidden/>
          </w:rPr>
          <w:tab/>
        </w:r>
        <w:r w:rsidR="00C116AB">
          <w:rPr>
            <w:noProof/>
            <w:webHidden/>
          </w:rPr>
          <w:fldChar w:fldCharType="begin"/>
        </w:r>
        <w:r w:rsidR="00C116AB">
          <w:rPr>
            <w:noProof/>
            <w:webHidden/>
          </w:rPr>
          <w:instrText xml:space="preserve"> PAGEREF _Toc52187713 \h </w:instrText>
        </w:r>
        <w:r w:rsidR="00C116AB">
          <w:rPr>
            <w:noProof/>
            <w:webHidden/>
          </w:rPr>
        </w:r>
        <w:r w:rsidR="00C116AB">
          <w:rPr>
            <w:noProof/>
            <w:webHidden/>
          </w:rPr>
          <w:fldChar w:fldCharType="separate"/>
        </w:r>
        <w:r w:rsidR="00C116AB">
          <w:rPr>
            <w:noProof/>
            <w:webHidden/>
          </w:rPr>
          <w:t>9</w:t>
        </w:r>
        <w:r w:rsidR="00C116AB">
          <w:rPr>
            <w:noProof/>
            <w:webHidden/>
          </w:rPr>
          <w:fldChar w:fldCharType="end"/>
        </w:r>
      </w:hyperlink>
    </w:p>
    <w:p w14:paraId="70C5119C" w14:textId="11CD27CD"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4" w:history="1">
        <w:r w:rsidR="00C116AB" w:rsidRPr="008266AA">
          <w:rPr>
            <w:rStyle w:val="Hyperlink"/>
            <w:noProof/>
          </w:rPr>
          <w:t>Meetings</w:t>
        </w:r>
        <w:r w:rsidR="00C116AB">
          <w:rPr>
            <w:noProof/>
            <w:webHidden/>
          </w:rPr>
          <w:tab/>
        </w:r>
        <w:r w:rsidR="00C116AB">
          <w:rPr>
            <w:noProof/>
            <w:webHidden/>
          </w:rPr>
          <w:fldChar w:fldCharType="begin"/>
        </w:r>
        <w:r w:rsidR="00C116AB">
          <w:rPr>
            <w:noProof/>
            <w:webHidden/>
          </w:rPr>
          <w:instrText xml:space="preserve"> PAGEREF _Toc52187714 \h </w:instrText>
        </w:r>
        <w:r w:rsidR="00C116AB">
          <w:rPr>
            <w:noProof/>
            <w:webHidden/>
          </w:rPr>
        </w:r>
        <w:r w:rsidR="00C116AB">
          <w:rPr>
            <w:noProof/>
            <w:webHidden/>
          </w:rPr>
          <w:fldChar w:fldCharType="separate"/>
        </w:r>
        <w:r w:rsidR="00C116AB">
          <w:rPr>
            <w:noProof/>
            <w:webHidden/>
          </w:rPr>
          <w:t>11</w:t>
        </w:r>
        <w:r w:rsidR="00C116AB">
          <w:rPr>
            <w:noProof/>
            <w:webHidden/>
          </w:rPr>
          <w:fldChar w:fldCharType="end"/>
        </w:r>
      </w:hyperlink>
    </w:p>
    <w:p w14:paraId="534189C1" w14:textId="0D2533C7" w:rsidR="00C116AB" w:rsidRDefault="00BE0754">
      <w:pPr>
        <w:pStyle w:val="TOC1"/>
        <w:rPr>
          <w:rFonts w:asciiTheme="minorHAnsi" w:eastAsiaTheme="minorEastAsia" w:hAnsiTheme="minorHAnsi" w:cstheme="minorBidi"/>
          <w:noProof/>
          <w:sz w:val="22"/>
          <w:szCs w:val="22"/>
        </w:rPr>
      </w:pPr>
      <w:hyperlink w:anchor="_Toc52187715" w:history="1">
        <w:r w:rsidR="00C116AB" w:rsidRPr="008266AA">
          <w:rPr>
            <w:rStyle w:val="Hyperlink"/>
            <w:noProof/>
          </w:rPr>
          <w:t>VGPB activities in 2019–20</w:t>
        </w:r>
        <w:r w:rsidR="00C116AB">
          <w:rPr>
            <w:noProof/>
            <w:webHidden/>
          </w:rPr>
          <w:tab/>
        </w:r>
        <w:r w:rsidR="00C116AB">
          <w:rPr>
            <w:noProof/>
            <w:webHidden/>
          </w:rPr>
          <w:fldChar w:fldCharType="begin"/>
        </w:r>
        <w:r w:rsidR="00C116AB">
          <w:rPr>
            <w:noProof/>
            <w:webHidden/>
          </w:rPr>
          <w:instrText xml:space="preserve"> PAGEREF _Toc52187715 \h </w:instrText>
        </w:r>
        <w:r w:rsidR="00C116AB">
          <w:rPr>
            <w:noProof/>
            <w:webHidden/>
          </w:rPr>
        </w:r>
        <w:r w:rsidR="00C116AB">
          <w:rPr>
            <w:noProof/>
            <w:webHidden/>
          </w:rPr>
          <w:fldChar w:fldCharType="separate"/>
        </w:r>
        <w:r w:rsidR="00C116AB">
          <w:rPr>
            <w:noProof/>
            <w:webHidden/>
          </w:rPr>
          <w:t>12</w:t>
        </w:r>
        <w:r w:rsidR="00C116AB">
          <w:rPr>
            <w:noProof/>
            <w:webHidden/>
          </w:rPr>
          <w:fldChar w:fldCharType="end"/>
        </w:r>
      </w:hyperlink>
    </w:p>
    <w:p w14:paraId="144E832A" w14:textId="6758D567"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6" w:history="1">
        <w:r w:rsidR="00C116AB" w:rsidRPr="008266AA">
          <w:rPr>
            <w:rStyle w:val="Hyperlink"/>
            <w:noProof/>
          </w:rPr>
          <w:t>Workstream 1: Victoria’s Social Procurement Framework and reporting</w:t>
        </w:r>
        <w:r w:rsidR="00C116AB">
          <w:rPr>
            <w:noProof/>
            <w:webHidden/>
          </w:rPr>
          <w:tab/>
        </w:r>
        <w:r w:rsidR="00C116AB">
          <w:rPr>
            <w:noProof/>
            <w:webHidden/>
          </w:rPr>
          <w:fldChar w:fldCharType="begin"/>
        </w:r>
        <w:r w:rsidR="00C116AB">
          <w:rPr>
            <w:noProof/>
            <w:webHidden/>
          </w:rPr>
          <w:instrText xml:space="preserve"> PAGEREF _Toc52187716 \h </w:instrText>
        </w:r>
        <w:r w:rsidR="00C116AB">
          <w:rPr>
            <w:noProof/>
            <w:webHidden/>
          </w:rPr>
        </w:r>
        <w:r w:rsidR="00C116AB">
          <w:rPr>
            <w:noProof/>
            <w:webHidden/>
          </w:rPr>
          <w:fldChar w:fldCharType="separate"/>
        </w:r>
        <w:r w:rsidR="00C116AB">
          <w:rPr>
            <w:noProof/>
            <w:webHidden/>
          </w:rPr>
          <w:t>12</w:t>
        </w:r>
        <w:r w:rsidR="00C116AB">
          <w:rPr>
            <w:noProof/>
            <w:webHidden/>
          </w:rPr>
          <w:fldChar w:fldCharType="end"/>
        </w:r>
      </w:hyperlink>
    </w:p>
    <w:p w14:paraId="230A91C4" w14:textId="1ADDB172"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7" w:history="1">
        <w:r w:rsidR="00C116AB" w:rsidRPr="008266AA">
          <w:rPr>
            <w:rStyle w:val="Hyperlink"/>
            <w:noProof/>
          </w:rPr>
          <w:t>Workstream 2: Governance, extending the reach</w:t>
        </w:r>
        <w:r w:rsidR="00C116AB">
          <w:rPr>
            <w:noProof/>
            <w:webHidden/>
          </w:rPr>
          <w:tab/>
        </w:r>
        <w:r w:rsidR="00C116AB">
          <w:rPr>
            <w:noProof/>
            <w:webHidden/>
          </w:rPr>
          <w:fldChar w:fldCharType="begin"/>
        </w:r>
        <w:r w:rsidR="00C116AB">
          <w:rPr>
            <w:noProof/>
            <w:webHidden/>
          </w:rPr>
          <w:instrText xml:space="preserve"> PAGEREF _Toc52187717 \h </w:instrText>
        </w:r>
        <w:r w:rsidR="00C116AB">
          <w:rPr>
            <w:noProof/>
            <w:webHidden/>
          </w:rPr>
        </w:r>
        <w:r w:rsidR="00C116AB">
          <w:rPr>
            <w:noProof/>
            <w:webHidden/>
          </w:rPr>
          <w:fldChar w:fldCharType="separate"/>
        </w:r>
        <w:r w:rsidR="00C116AB">
          <w:rPr>
            <w:noProof/>
            <w:webHidden/>
          </w:rPr>
          <w:t>13</w:t>
        </w:r>
        <w:r w:rsidR="00C116AB">
          <w:rPr>
            <w:noProof/>
            <w:webHidden/>
          </w:rPr>
          <w:fldChar w:fldCharType="end"/>
        </w:r>
      </w:hyperlink>
    </w:p>
    <w:p w14:paraId="6786C5D2" w14:textId="6D198C1D"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8" w:history="1">
        <w:r w:rsidR="00C116AB" w:rsidRPr="008266AA">
          <w:rPr>
            <w:rStyle w:val="Hyperlink"/>
            <w:noProof/>
          </w:rPr>
          <w:t>Workstream 3: Policy and practice</w:t>
        </w:r>
        <w:r w:rsidR="00C116AB">
          <w:rPr>
            <w:noProof/>
            <w:webHidden/>
          </w:rPr>
          <w:tab/>
        </w:r>
        <w:r w:rsidR="00C116AB">
          <w:rPr>
            <w:noProof/>
            <w:webHidden/>
          </w:rPr>
          <w:fldChar w:fldCharType="begin"/>
        </w:r>
        <w:r w:rsidR="00C116AB">
          <w:rPr>
            <w:noProof/>
            <w:webHidden/>
          </w:rPr>
          <w:instrText xml:space="preserve"> PAGEREF _Toc52187718 \h </w:instrText>
        </w:r>
        <w:r w:rsidR="00C116AB">
          <w:rPr>
            <w:noProof/>
            <w:webHidden/>
          </w:rPr>
        </w:r>
        <w:r w:rsidR="00C116AB">
          <w:rPr>
            <w:noProof/>
            <w:webHidden/>
          </w:rPr>
          <w:fldChar w:fldCharType="separate"/>
        </w:r>
        <w:r w:rsidR="00C116AB">
          <w:rPr>
            <w:noProof/>
            <w:webHidden/>
          </w:rPr>
          <w:t>13</w:t>
        </w:r>
        <w:r w:rsidR="00C116AB">
          <w:rPr>
            <w:noProof/>
            <w:webHidden/>
          </w:rPr>
          <w:fldChar w:fldCharType="end"/>
        </w:r>
      </w:hyperlink>
    </w:p>
    <w:p w14:paraId="385FFD47" w14:textId="5878F118"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19" w:history="1">
        <w:r w:rsidR="00C116AB" w:rsidRPr="008266AA">
          <w:rPr>
            <w:rStyle w:val="Hyperlink"/>
            <w:noProof/>
          </w:rPr>
          <w:t>Workstream 4: Procurement technology</w:t>
        </w:r>
        <w:r w:rsidR="00C116AB">
          <w:rPr>
            <w:noProof/>
            <w:webHidden/>
          </w:rPr>
          <w:tab/>
        </w:r>
        <w:r w:rsidR="00C116AB">
          <w:rPr>
            <w:noProof/>
            <w:webHidden/>
          </w:rPr>
          <w:fldChar w:fldCharType="begin"/>
        </w:r>
        <w:r w:rsidR="00C116AB">
          <w:rPr>
            <w:noProof/>
            <w:webHidden/>
          </w:rPr>
          <w:instrText xml:space="preserve"> PAGEREF _Toc52187719 \h </w:instrText>
        </w:r>
        <w:r w:rsidR="00C116AB">
          <w:rPr>
            <w:noProof/>
            <w:webHidden/>
          </w:rPr>
        </w:r>
        <w:r w:rsidR="00C116AB">
          <w:rPr>
            <w:noProof/>
            <w:webHidden/>
          </w:rPr>
          <w:fldChar w:fldCharType="separate"/>
        </w:r>
        <w:r w:rsidR="00C116AB">
          <w:rPr>
            <w:noProof/>
            <w:webHidden/>
          </w:rPr>
          <w:t>14</w:t>
        </w:r>
        <w:r w:rsidR="00C116AB">
          <w:rPr>
            <w:noProof/>
            <w:webHidden/>
          </w:rPr>
          <w:fldChar w:fldCharType="end"/>
        </w:r>
      </w:hyperlink>
    </w:p>
    <w:p w14:paraId="55846D86" w14:textId="6E3437A8"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0" w:history="1">
        <w:r w:rsidR="00C116AB" w:rsidRPr="008266AA">
          <w:rPr>
            <w:rStyle w:val="Hyperlink"/>
            <w:noProof/>
          </w:rPr>
          <w:t>Workstream 5: Capability, process streamline and change management</w:t>
        </w:r>
        <w:r w:rsidR="00C116AB">
          <w:rPr>
            <w:noProof/>
            <w:webHidden/>
          </w:rPr>
          <w:tab/>
        </w:r>
        <w:r w:rsidR="00C116AB">
          <w:rPr>
            <w:noProof/>
            <w:webHidden/>
          </w:rPr>
          <w:fldChar w:fldCharType="begin"/>
        </w:r>
        <w:r w:rsidR="00C116AB">
          <w:rPr>
            <w:noProof/>
            <w:webHidden/>
          </w:rPr>
          <w:instrText xml:space="preserve"> PAGEREF _Toc52187720 \h </w:instrText>
        </w:r>
        <w:r w:rsidR="00C116AB">
          <w:rPr>
            <w:noProof/>
            <w:webHidden/>
          </w:rPr>
        </w:r>
        <w:r w:rsidR="00C116AB">
          <w:rPr>
            <w:noProof/>
            <w:webHidden/>
          </w:rPr>
          <w:fldChar w:fldCharType="separate"/>
        </w:r>
        <w:r w:rsidR="00C116AB">
          <w:rPr>
            <w:noProof/>
            <w:webHidden/>
          </w:rPr>
          <w:t>16</w:t>
        </w:r>
        <w:r w:rsidR="00C116AB">
          <w:rPr>
            <w:noProof/>
            <w:webHidden/>
          </w:rPr>
          <w:fldChar w:fldCharType="end"/>
        </w:r>
      </w:hyperlink>
    </w:p>
    <w:p w14:paraId="546A9AA0" w14:textId="4B37FD2E"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1" w:history="1">
        <w:r w:rsidR="00C116AB" w:rsidRPr="008266AA">
          <w:rPr>
            <w:rStyle w:val="Hyperlink"/>
            <w:noProof/>
          </w:rPr>
          <w:t>Other VGPB activities in 2019–20</w:t>
        </w:r>
        <w:r w:rsidR="00C116AB">
          <w:rPr>
            <w:noProof/>
            <w:webHidden/>
          </w:rPr>
          <w:tab/>
        </w:r>
        <w:r w:rsidR="00C116AB">
          <w:rPr>
            <w:noProof/>
            <w:webHidden/>
          </w:rPr>
          <w:fldChar w:fldCharType="begin"/>
        </w:r>
        <w:r w:rsidR="00C116AB">
          <w:rPr>
            <w:noProof/>
            <w:webHidden/>
          </w:rPr>
          <w:instrText xml:space="preserve"> PAGEREF _Toc52187721 \h </w:instrText>
        </w:r>
        <w:r w:rsidR="00C116AB">
          <w:rPr>
            <w:noProof/>
            <w:webHidden/>
          </w:rPr>
        </w:r>
        <w:r w:rsidR="00C116AB">
          <w:rPr>
            <w:noProof/>
            <w:webHidden/>
          </w:rPr>
          <w:fldChar w:fldCharType="separate"/>
        </w:r>
        <w:r w:rsidR="00C116AB">
          <w:rPr>
            <w:noProof/>
            <w:webHidden/>
          </w:rPr>
          <w:t>17</w:t>
        </w:r>
        <w:r w:rsidR="00C116AB">
          <w:rPr>
            <w:noProof/>
            <w:webHidden/>
          </w:rPr>
          <w:fldChar w:fldCharType="end"/>
        </w:r>
      </w:hyperlink>
    </w:p>
    <w:p w14:paraId="18BACA03" w14:textId="349C7599"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2" w:history="1">
        <w:r w:rsidR="00C116AB" w:rsidRPr="008266AA">
          <w:rPr>
            <w:rStyle w:val="Hyperlink"/>
            <w:noProof/>
          </w:rPr>
          <w:t>Strategic priorities for 2020–23</w:t>
        </w:r>
        <w:r w:rsidR="00C116AB">
          <w:rPr>
            <w:noProof/>
            <w:webHidden/>
          </w:rPr>
          <w:tab/>
        </w:r>
        <w:r w:rsidR="00C116AB">
          <w:rPr>
            <w:noProof/>
            <w:webHidden/>
          </w:rPr>
          <w:fldChar w:fldCharType="begin"/>
        </w:r>
        <w:r w:rsidR="00C116AB">
          <w:rPr>
            <w:noProof/>
            <w:webHidden/>
          </w:rPr>
          <w:instrText xml:space="preserve"> PAGEREF _Toc52187722 \h </w:instrText>
        </w:r>
        <w:r w:rsidR="00C116AB">
          <w:rPr>
            <w:noProof/>
            <w:webHidden/>
          </w:rPr>
        </w:r>
        <w:r w:rsidR="00C116AB">
          <w:rPr>
            <w:noProof/>
            <w:webHidden/>
          </w:rPr>
          <w:fldChar w:fldCharType="separate"/>
        </w:r>
        <w:r w:rsidR="00C116AB">
          <w:rPr>
            <w:noProof/>
            <w:webHidden/>
          </w:rPr>
          <w:t>18</w:t>
        </w:r>
        <w:r w:rsidR="00C116AB">
          <w:rPr>
            <w:noProof/>
            <w:webHidden/>
          </w:rPr>
          <w:fldChar w:fldCharType="end"/>
        </w:r>
      </w:hyperlink>
    </w:p>
    <w:p w14:paraId="50E49F6B" w14:textId="4D1DB4EB" w:rsidR="00C116AB" w:rsidRDefault="00BE0754">
      <w:pPr>
        <w:pStyle w:val="TOC1"/>
        <w:rPr>
          <w:rFonts w:asciiTheme="minorHAnsi" w:eastAsiaTheme="minorEastAsia" w:hAnsiTheme="minorHAnsi" w:cstheme="minorBidi"/>
          <w:noProof/>
          <w:sz w:val="22"/>
          <w:szCs w:val="22"/>
        </w:rPr>
      </w:pPr>
      <w:hyperlink w:anchor="_Toc52187723" w:history="1">
        <w:r w:rsidR="00C116AB" w:rsidRPr="008266AA">
          <w:rPr>
            <w:rStyle w:val="Hyperlink"/>
            <w:noProof/>
          </w:rPr>
          <w:t>Compliance</w:t>
        </w:r>
        <w:r w:rsidR="00C116AB">
          <w:rPr>
            <w:noProof/>
            <w:webHidden/>
          </w:rPr>
          <w:tab/>
        </w:r>
        <w:r w:rsidR="00C116AB">
          <w:rPr>
            <w:noProof/>
            <w:webHidden/>
          </w:rPr>
          <w:fldChar w:fldCharType="begin"/>
        </w:r>
        <w:r w:rsidR="00C116AB">
          <w:rPr>
            <w:noProof/>
            <w:webHidden/>
          </w:rPr>
          <w:instrText xml:space="preserve"> PAGEREF _Toc52187723 \h </w:instrText>
        </w:r>
        <w:r w:rsidR="00C116AB">
          <w:rPr>
            <w:noProof/>
            <w:webHidden/>
          </w:rPr>
        </w:r>
        <w:r w:rsidR="00C116AB">
          <w:rPr>
            <w:noProof/>
            <w:webHidden/>
          </w:rPr>
          <w:fldChar w:fldCharType="separate"/>
        </w:r>
        <w:r w:rsidR="00C116AB">
          <w:rPr>
            <w:noProof/>
            <w:webHidden/>
          </w:rPr>
          <w:t>19</w:t>
        </w:r>
        <w:r w:rsidR="00C116AB">
          <w:rPr>
            <w:noProof/>
            <w:webHidden/>
          </w:rPr>
          <w:fldChar w:fldCharType="end"/>
        </w:r>
      </w:hyperlink>
    </w:p>
    <w:p w14:paraId="6DC4ACE7" w14:textId="564A651A"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4" w:history="1">
        <w:r w:rsidR="00C116AB" w:rsidRPr="008266AA">
          <w:rPr>
            <w:rStyle w:val="Hyperlink"/>
            <w:noProof/>
          </w:rPr>
          <w:t>Monitoring compliance with VGPB policies</w:t>
        </w:r>
        <w:r w:rsidR="00C116AB">
          <w:rPr>
            <w:noProof/>
            <w:webHidden/>
          </w:rPr>
          <w:tab/>
        </w:r>
        <w:r w:rsidR="00C116AB">
          <w:rPr>
            <w:noProof/>
            <w:webHidden/>
          </w:rPr>
          <w:fldChar w:fldCharType="begin"/>
        </w:r>
        <w:r w:rsidR="00C116AB">
          <w:rPr>
            <w:noProof/>
            <w:webHidden/>
          </w:rPr>
          <w:instrText xml:space="preserve"> PAGEREF _Toc52187724 \h </w:instrText>
        </w:r>
        <w:r w:rsidR="00C116AB">
          <w:rPr>
            <w:noProof/>
            <w:webHidden/>
          </w:rPr>
        </w:r>
        <w:r w:rsidR="00C116AB">
          <w:rPr>
            <w:noProof/>
            <w:webHidden/>
          </w:rPr>
          <w:fldChar w:fldCharType="separate"/>
        </w:r>
        <w:r w:rsidR="00C116AB">
          <w:rPr>
            <w:noProof/>
            <w:webHidden/>
          </w:rPr>
          <w:t>19</w:t>
        </w:r>
        <w:r w:rsidR="00C116AB">
          <w:rPr>
            <w:noProof/>
            <w:webHidden/>
          </w:rPr>
          <w:fldChar w:fldCharType="end"/>
        </w:r>
      </w:hyperlink>
    </w:p>
    <w:p w14:paraId="2D29FC60" w14:textId="2078D7DC"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5" w:history="1">
        <w:r w:rsidR="00C116AB" w:rsidRPr="008266AA">
          <w:rPr>
            <w:rStyle w:val="Hyperlink"/>
            <w:noProof/>
          </w:rPr>
          <w:t>Compliance reported in annual supply reports</w:t>
        </w:r>
        <w:r w:rsidR="00C116AB">
          <w:rPr>
            <w:noProof/>
            <w:webHidden/>
          </w:rPr>
          <w:tab/>
        </w:r>
        <w:r w:rsidR="00C116AB">
          <w:rPr>
            <w:noProof/>
            <w:webHidden/>
          </w:rPr>
          <w:fldChar w:fldCharType="begin"/>
        </w:r>
        <w:r w:rsidR="00C116AB">
          <w:rPr>
            <w:noProof/>
            <w:webHidden/>
          </w:rPr>
          <w:instrText xml:space="preserve"> PAGEREF _Toc52187725 \h </w:instrText>
        </w:r>
        <w:r w:rsidR="00C116AB">
          <w:rPr>
            <w:noProof/>
            <w:webHidden/>
          </w:rPr>
        </w:r>
        <w:r w:rsidR="00C116AB">
          <w:rPr>
            <w:noProof/>
            <w:webHidden/>
          </w:rPr>
          <w:fldChar w:fldCharType="separate"/>
        </w:r>
        <w:r w:rsidR="00C116AB">
          <w:rPr>
            <w:noProof/>
            <w:webHidden/>
          </w:rPr>
          <w:t>20</w:t>
        </w:r>
        <w:r w:rsidR="00C116AB">
          <w:rPr>
            <w:noProof/>
            <w:webHidden/>
          </w:rPr>
          <w:fldChar w:fldCharType="end"/>
        </w:r>
      </w:hyperlink>
    </w:p>
    <w:p w14:paraId="3EC3BC6D" w14:textId="4BF649FE"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6" w:history="1">
        <w:r w:rsidR="00C116AB" w:rsidRPr="008266AA">
          <w:rPr>
            <w:rStyle w:val="Hyperlink"/>
            <w:noProof/>
          </w:rPr>
          <w:t>Audits</w:t>
        </w:r>
        <w:r w:rsidR="00C116AB">
          <w:rPr>
            <w:noProof/>
            <w:webHidden/>
          </w:rPr>
          <w:tab/>
        </w:r>
        <w:r w:rsidR="00C116AB">
          <w:rPr>
            <w:noProof/>
            <w:webHidden/>
          </w:rPr>
          <w:fldChar w:fldCharType="begin"/>
        </w:r>
        <w:r w:rsidR="00C116AB">
          <w:rPr>
            <w:noProof/>
            <w:webHidden/>
          </w:rPr>
          <w:instrText xml:space="preserve"> PAGEREF _Toc52187726 \h </w:instrText>
        </w:r>
        <w:r w:rsidR="00C116AB">
          <w:rPr>
            <w:noProof/>
            <w:webHidden/>
          </w:rPr>
        </w:r>
        <w:r w:rsidR="00C116AB">
          <w:rPr>
            <w:noProof/>
            <w:webHidden/>
          </w:rPr>
          <w:fldChar w:fldCharType="separate"/>
        </w:r>
        <w:r w:rsidR="00C116AB">
          <w:rPr>
            <w:noProof/>
            <w:webHidden/>
          </w:rPr>
          <w:t>24</w:t>
        </w:r>
        <w:r w:rsidR="00C116AB">
          <w:rPr>
            <w:noProof/>
            <w:webHidden/>
          </w:rPr>
          <w:fldChar w:fldCharType="end"/>
        </w:r>
      </w:hyperlink>
    </w:p>
    <w:p w14:paraId="76207B5C" w14:textId="315CDE5D"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7" w:history="1">
        <w:r w:rsidR="00C116AB" w:rsidRPr="008266AA">
          <w:rPr>
            <w:rStyle w:val="Hyperlink"/>
            <w:noProof/>
          </w:rPr>
          <w:t>Performance measures</w:t>
        </w:r>
        <w:r w:rsidR="00C116AB">
          <w:rPr>
            <w:noProof/>
            <w:webHidden/>
          </w:rPr>
          <w:tab/>
        </w:r>
        <w:r w:rsidR="00C116AB">
          <w:rPr>
            <w:noProof/>
            <w:webHidden/>
          </w:rPr>
          <w:fldChar w:fldCharType="begin"/>
        </w:r>
        <w:r w:rsidR="00C116AB">
          <w:rPr>
            <w:noProof/>
            <w:webHidden/>
          </w:rPr>
          <w:instrText xml:space="preserve"> PAGEREF _Toc52187727 \h </w:instrText>
        </w:r>
        <w:r w:rsidR="00C116AB">
          <w:rPr>
            <w:noProof/>
            <w:webHidden/>
          </w:rPr>
        </w:r>
        <w:r w:rsidR="00C116AB">
          <w:rPr>
            <w:noProof/>
            <w:webHidden/>
          </w:rPr>
          <w:fldChar w:fldCharType="separate"/>
        </w:r>
        <w:r w:rsidR="00C116AB">
          <w:rPr>
            <w:noProof/>
            <w:webHidden/>
          </w:rPr>
          <w:t>25</w:t>
        </w:r>
        <w:r w:rsidR="00C116AB">
          <w:rPr>
            <w:noProof/>
            <w:webHidden/>
          </w:rPr>
          <w:fldChar w:fldCharType="end"/>
        </w:r>
      </w:hyperlink>
    </w:p>
    <w:p w14:paraId="5729697D" w14:textId="344E04AD"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8" w:history="1">
        <w:r w:rsidR="00C116AB" w:rsidRPr="008266AA">
          <w:rPr>
            <w:rStyle w:val="Hyperlink"/>
            <w:noProof/>
          </w:rPr>
          <w:t>Engagement</w:t>
        </w:r>
        <w:r w:rsidR="00C116AB">
          <w:rPr>
            <w:noProof/>
            <w:webHidden/>
          </w:rPr>
          <w:tab/>
        </w:r>
        <w:r w:rsidR="00C116AB">
          <w:rPr>
            <w:noProof/>
            <w:webHidden/>
          </w:rPr>
          <w:fldChar w:fldCharType="begin"/>
        </w:r>
        <w:r w:rsidR="00C116AB">
          <w:rPr>
            <w:noProof/>
            <w:webHidden/>
          </w:rPr>
          <w:instrText xml:space="preserve"> PAGEREF _Toc52187728 \h </w:instrText>
        </w:r>
        <w:r w:rsidR="00C116AB">
          <w:rPr>
            <w:noProof/>
            <w:webHidden/>
          </w:rPr>
        </w:r>
        <w:r w:rsidR="00C116AB">
          <w:rPr>
            <w:noProof/>
            <w:webHidden/>
          </w:rPr>
          <w:fldChar w:fldCharType="separate"/>
        </w:r>
        <w:r w:rsidR="00C116AB">
          <w:rPr>
            <w:noProof/>
            <w:webHidden/>
          </w:rPr>
          <w:t>26</w:t>
        </w:r>
        <w:r w:rsidR="00C116AB">
          <w:rPr>
            <w:noProof/>
            <w:webHidden/>
          </w:rPr>
          <w:fldChar w:fldCharType="end"/>
        </w:r>
      </w:hyperlink>
    </w:p>
    <w:p w14:paraId="6AC0BDFE" w14:textId="16B73047"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29" w:history="1">
        <w:r w:rsidR="00C116AB" w:rsidRPr="008266AA">
          <w:rPr>
            <w:rStyle w:val="Hyperlink"/>
            <w:noProof/>
          </w:rPr>
          <w:t>Complaints</w:t>
        </w:r>
        <w:r w:rsidR="00C116AB">
          <w:rPr>
            <w:noProof/>
            <w:webHidden/>
          </w:rPr>
          <w:tab/>
        </w:r>
        <w:r w:rsidR="00C116AB">
          <w:rPr>
            <w:noProof/>
            <w:webHidden/>
          </w:rPr>
          <w:fldChar w:fldCharType="begin"/>
        </w:r>
        <w:r w:rsidR="00C116AB">
          <w:rPr>
            <w:noProof/>
            <w:webHidden/>
          </w:rPr>
          <w:instrText xml:space="preserve"> PAGEREF _Toc52187729 \h </w:instrText>
        </w:r>
        <w:r w:rsidR="00C116AB">
          <w:rPr>
            <w:noProof/>
            <w:webHidden/>
          </w:rPr>
        </w:r>
        <w:r w:rsidR="00C116AB">
          <w:rPr>
            <w:noProof/>
            <w:webHidden/>
          </w:rPr>
          <w:fldChar w:fldCharType="separate"/>
        </w:r>
        <w:r w:rsidR="00C116AB">
          <w:rPr>
            <w:noProof/>
            <w:webHidden/>
          </w:rPr>
          <w:t>27</w:t>
        </w:r>
        <w:r w:rsidR="00C116AB">
          <w:rPr>
            <w:noProof/>
            <w:webHidden/>
          </w:rPr>
          <w:fldChar w:fldCharType="end"/>
        </w:r>
      </w:hyperlink>
    </w:p>
    <w:p w14:paraId="7F45B474" w14:textId="783FBA5B" w:rsidR="00C116AB" w:rsidRDefault="00BE0754">
      <w:pPr>
        <w:pStyle w:val="TOC1"/>
        <w:rPr>
          <w:rFonts w:asciiTheme="minorHAnsi" w:eastAsiaTheme="minorEastAsia" w:hAnsiTheme="minorHAnsi" w:cstheme="minorBidi"/>
          <w:noProof/>
          <w:sz w:val="22"/>
          <w:szCs w:val="22"/>
        </w:rPr>
      </w:pPr>
      <w:hyperlink w:anchor="_Toc52187730" w:history="1">
        <w:r w:rsidR="00C116AB" w:rsidRPr="008266AA">
          <w:rPr>
            <w:rStyle w:val="Hyperlink"/>
            <w:noProof/>
          </w:rPr>
          <w:t>Procuring goods and services</w:t>
        </w:r>
        <w:r w:rsidR="00C116AB">
          <w:rPr>
            <w:noProof/>
            <w:webHidden/>
          </w:rPr>
          <w:tab/>
        </w:r>
        <w:r w:rsidR="00C116AB">
          <w:rPr>
            <w:noProof/>
            <w:webHidden/>
          </w:rPr>
          <w:fldChar w:fldCharType="begin"/>
        </w:r>
        <w:r w:rsidR="00C116AB">
          <w:rPr>
            <w:noProof/>
            <w:webHidden/>
          </w:rPr>
          <w:instrText xml:space="preserve"> PAGEREF _Toc52187730 \h </w:instrText>
        </w:r>
        <w:r w:rsidR="00C116AB">
          <w:rPr>
            <w:noProof/>
            <w:webHidden/>
          </w:rPr>
        </w:r>
        <w:r w:rsidR="00C116AB">
          <w:rPr>
            <w:noProof/>
            <w:webHidden/>
          </w:rPr>
          <w:fldChar w:fldCharType="separate"/>
        </w:r>
        <w:r w:rsidR="00C116AB">
          <w:rPr>
            <w:noProof/>
            <w:webHidden/>
          </w:rPr>
          <w:t>29</w:t>
        </w:r>
        <w:r w:rsidR="00C116AB">
          <w:rPr>
            <w:noProof/>
            <w:webHidden/>
          </w:rPr>
          <w:fldChar w:fldCharType="end"/>
        </w:r>
      </w:hyperlink>
    </w:p>
    <w:p w14:paraId="3028B7A9" w14:textId="4339D018"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31" w:history="1">
        <w:r w:rsidR="00C116AB" w:rsidRPr="008266AA">
          <w:rPr>
            <w:rStyle w:val="Hyperlink"/>
            <w:noProof/>
          </w:rPr>
          <w:t>Capturing data on procurement of goods and services</w:t>
        </w:r>
        <w:r w:rsidR="00C116AB">
          <w:rPr>
            <w:noProof/>
            <w:webHidden/>
          </w:rPr>
          <w:tab/>
        </w:r>
        <w:r w:rsidR="00C116AB">
          <w:rPr>
            <w:noProof/>
            <w:webHidden/>
          </w:rPr>
          <w:fldChar w:fldCharType="begin"/>
        </w:r>
        <w:r w:rsidR="00C116AB">
          <w:rPr>
            <w:noProof/>
            <w:webHidden/>
          </w:rPr>
          <w:instrText xml:space="preserve"> PAGEREF _Toc52187731 \h </w:instrText>
        </w:r>
        <w:r w:rsidR="00C116AB">
          <w:rPr>
            <w:noProof/>
            <w:webHidden/>
          </w:rPr>
        </w:r>
        <w:r w:rsidR="00C116AB">
          <w:rPr>
            <w:noProof/>
            <w:webHidden/>
          </w:rPr>
          <w:fldChar w:fldCharType="separate"/>
        </w:r>
        <w:r w:rsidR="00C116AB">
          <w:rPr>
            <w:noProof/>
            <w:webHidden/>
          </w:rPr>
          <w:t>29</w:t>
        </w:r>
        <w:r w:rsidR="00C116AB">
          <w:rPr>
            <w:noProof/>
            <w:webHidden/>
          </w:rPr>
          <w:fldChar w:fldCharType="end"/>
        </w:r>
      </w:hyperlink>
    </w:p>
    <w:p w14:paraId="251A8911" w14:textId="2FE7601D"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32" w:history="1">
        <w:r w:rsidR="00C116AB" w:rsidRPr="008266AA">
          <w:rPr>
            <w:rStyle w:val="Hyperlink"/>
            <w:noProof/>
          </w:rPr>
          <w:t>Contracts approved in 2019–20</w:t>
        </w:r>
        <w:r w:rsidR="00C116AB">
          <w:rPr>
            <w:noProof/>
            <w:webHidden/>
          </w:rPr>
          <w:tab/>
        </w:r>
        <w:r w:rsidR="00C116AB">
          <w:rPr>
            <w:noProof/>
            <w:webHidden/>
          </w:rPr>
          <w:fldChar w:fldCharType="begin"/>
        </w:r>
        <w:r w:rsidR="00C116AB">
          <w:rPr>
            <w:noProof/>
            <w:webHidden/>
          </w:rPr>
          <w:instrText xml:space="preserve"> PAGEREF _Toc52187732 \h </w:instrText>
        </w:r>
        <w:r w:rsidR="00C116AB">
          <w:rPr>
            <w:noProof/>
            <w:webHidden/>
          </w:rPr>
        </w:r>
        <w:r w:rsidR="00C116AB">
          <w:rPr>
            <w:noProof/>
            <w:webHidden/>
          </w:rPr>
          <w:fldChar w:fldCharType="separate"/>
        </w:r>
        <w:r w:rsidR="00C116AB">
          <w:rPr>
            <w:noProof/>
            <w:webHidden/>
          </w:rPr>
          <w:t>30</w:t>
        </w:r>
        <w:r w:rsidR="00C116AB">
          <w:rPr>
            <w:noProof/>
            <w:webHidden/>
          </w:rPr>
          <w:fldChar w:fldCharType="end"/>
        </w:r>
      </w:hyperlink>
    </w:p>
    <w:p w14:paraId="06090D46" w14:textId="5EAC1F43"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33" w:history="1">
        <w:r w:rsidR="00C116AB" w:rsidRPr="008266AA">
          <w:rPr>
            <w:rStyle w:val="Hyperlink"/>
            <w:noProof/>
          </w:rPr>
          <w:t>One-off supply contract approvals (non-critical)</w:t>
        </w:r>
        <w:r w:rsidR="00C116AB">
          <w:rPr>
            <w:noProof/>
            <w:webHidden/>
          </w:rPr>
          <w:tab/>
        </w:r>
        <w:r w:rsidR="00C116AB">
          <w:rPr>
            <w:noProof/>
            <w:webHidden/>
          </w:rPr>
          <w:fldChar w:fldCharType="begin"/>
        </w:r>
        <w:r w:rsidR="00C116AB">
          <w:rPr>
            <w:noProof/>
            <w:webHidden/>
          </w:rPr>
          <w:instrText xml:space="preserve"> PAGEREF _Toc52187733 \h </w:instrText>
        </w:r>
        <w:r w:rsidR="00C116AB">
          <w:rPr>
            <w:noProof/>
            <w:webHidden/>
          </w:rPr>
        </w:r>
        <w:r w:rsidR="00C116AB">
          <w:rPr>
            <w:noProof/>
            <w:webHidden/>
          </w:rPr>
          <w:fldChar w:fldCharType="separate"/>
        </w:r>
        <w:r w:rsidR="00C116AB">
          <w:rPr>
            <w:noProof/>
            <w:webHidden/>
          </w:rPr>
          <w:t>31</w:t>
        </w:r>
        <w:r w:rsidR="00C116AB">
          <w:rPr>
            <w:noProof/>
            <w:webHidden/>
          </w:rPr>
          <w:fldChar w:fldCharType="end"/>
        </w:r>
      </w:hyperlink>
    </w:p>
    <w:p w14:paraId="244EDD78" w14:textId="5F4EC603"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34" w:history="1">
        <w:r w:rsidR="00C116AB" w:rsidRPr="008266AA">
          <w:rPr>
            <w:rStyle w:val="Hyperlink"/>
            <w:noProof/>
          </w:rPr>
          <w:t>One-off supply approvals (critical incidents)</w:t>
        </w:r>
        <w:r w:rsidR="00C116AB">
          <w:rPr>
            <w:noProof/>
            <w:webHidden/>
          </w:rPr>
          <w:tab/>
        </w:r>
        <w:r w:rsidR="00C116AB">
          <w:rPr>
            <w:noProof/>
            <w:webHidden/>
          </w:rPr>
          <w:fldChar w:fldCharType="begin"/>
        </w:r>
        <w:r w:rsidR="00C116AB">
          <w:rPr>
            <w:noProof/>
            <w:webHidden/>
          </w:rPr>
          <w:instrText xml:space="preserve"> PAGEREF _Toc52187734 \h </w:instrText>
        </w:r>
        <w:r w:rsidR="00C116AB">
          <w:rPr>
            <w:noProof/>
            <w:webHidden/>
          </w:rPr>
        </w:r>
        <w:r w:rsidR="00C116AB">
          <w:rPr>
            <w:noProof/>
            <w:webHidden/>
          </w:rPr>
          <w:fldChar w:fldCharType="separate"/>
        </w:r>
        <w:r w:rsidR="00C116AB">
          <w:rPr>
            <w:noProof/>
            <w:webHidden/>
          </w:rPr>
          <w:t>32</w:t>
        </w:r>
        <w:r w:rsidR="00C116AB">
          <w:rPr>
            <w:noProof/>
            <w:webHidden/>
          </w:rPr>
          <w:fldChar w:fldCharType="end"/>
        </w:r>
      </w:hyperlink>
    </w:p>
    <w:p w14:paraId="0093106D" w14:textId="182D160F"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35" w:history="1">
        <w:r w:rsidR="00C116AB" w:rsidRPr="008266AA">
          <w:rPr>
            <w:rStyle w:val="Hyperlink"/>
            <w:noProof/>
          </w:rPr>
          <w:t>Variations</w:t>
        </w:r>
        <w:r w:rsidR="00C116AB">
          <w:rPr>
            <w:noProof/>
            <w:webHidden/>
          </w:rPr>
          <w:tab/>
        </w:r>
        <w:r w:rsidR="00C116AB">
          <w:rPr>
            <w:noProof/>
            <w:webHidden/>
          </w:rPr>
          <w:fldChar w:fldCharType="begin"/>
        </w:r>
        <w:r w:rsidR="00C116AB">
          <w:rPr>
            <w:noProof/>
            <w:webHidden/>
          </w:rPr>
          <w:instrText xml:space="preserve"> PAGEREF _Toc52187735 \h </w:instrText>
        </w:r>
        <w:r w:rsidR="00C116AB">
          <w:rPr>
            <w:noProof/>
            <w:webHidden/>
          </w:rPr>
        </w:r>
        <w:r w:rsidR="00C116AB">
          <w:rPr>
            <w:noProof/>
            <w:webHidden/>
          </w:rPr>
          <w:fldChar w:fldCharType="separate"/>
        </w:r>
        <w:r w:rsidR="00C116AB">
          <w:rPr>
            <w:noProof/>
            <w:webHidden/>
          </w:rPr>
          <w:t>34</w:t>
        </w:r>
        <w:r w:rsidR="00C116AB">
          <w:rPr>
            <w:noProof/>
            <w:webHidden/>
          </w:rPr>
          <w:fldChar w:fldCharType="end"/>
        </w:r>
      </w:hyperlink>
    </w:p>
    <w:p w14:paraId="24E9D22F" w14:textId="7983C0E2"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36" w:history="1">
        <w:r w:rsidR="00C116AB" w:rsidRPr="008266AA">
          <w:rPr>
            <w:rStyle w:val="Hyperlink"/>
            <w:noProof/>
            <w:lang w:val="en-US"/>
          </w:rPr>
          <w:t>Procurement complexity</w:t>
        </w:r>
        <w:r w:rsidR="00C116AB">
          <w:rPr>
            <w:noProof/>
            <w:webHidden/>
          </w:rPr>
          <w:tab/>
        </w:r>
        <w:r w:rsidR="00C116AB">
          <w:rPr>
            <w:noProof/>
            <w:webHidden/>
          </w:rPr>
          <w:fldChar w:fldCharType="begin"/>
        </w:r>
        <w:r w:rsidR="00C116AB">
          <w:rPr>
            <w:noProof/>
            <w:webHidden/>
          </w:rPr>
          <w:instrText xml:space="preserve"> PAGEREF _Toc52187736 \h </w:instrText>
        </w:r>
        <w:r w:rsidR="00C116AB">
          <w:rPr>
            <w:noProof/>
            <w:webHidden/>
          </w:rPr>
        </w:r>
        <w:r w:rsidR="00C116AB">
          <w:rPr>
            <w:noProof/>
            <w:webHidden/>
          </w:rPr>
          <w:fldChar w:fldCharType="separate"/>
        </w:r>
        <w:r w:rsidR="00C116AB">
          <w:rPr>
            <w:noProof/>
            <w:webHidden/>
          </w:rPr>
          <w:t>35</w:t>
        </w:r>
        <w:r w:rsidR="00C116AB">
          <w:rPr>
            <w:noProof/>
            <w:webHidden/>
          </w:rPr>
          <w:fldChar w:fldCharType="end"/>
        </w:r>
      </w:hyperlink>
    </w:p>
    <w:p w14:paraId="39310B79" w14:textId="05292A65" w:rsidR="00C116AB" w:rsidRDefault="00BE0754">
      <w:pPr>
        <w:pStyle w:val="TOC1"/>
        <w:rPr>
          <w:rFonts w:asciiTheme="minorHAnsi" w:eastAsiaTheme="minorEastAsia" w:hAnsiTheme="minorHAnsi" w:cstheme="minorBidi"/>
          <w:noProof/>
          <w:sz w:val="22"/>
          <w:szCs w:val="22"/>
        </w:rPr>
      </w:pPr>
      <w:hyperlink w:anchor="_Toc52187737" w:history="1">
        <w:r w:rsidR="00C116AB" w:rsidRPr="008266AA">
          <w:rPr>
            <w:rStyle w:val="Hyperlink"/>
            <w:noProof/>
          </w:rPr>
          <w:t>Harnessing the buying power of government</w:t>
        </w:r>
        <w:r w:rsidR="00C116AB">
          <w:rPr>
            <w:noProof/>
            <w:webHidden/>
          </w:rPr>
          <w:tab/>
        </w:r>
        <w:r w:rsidR="00C116AB">
          <w:rPr>
            <w:noProof/>
            <w:webHidden/>
          </w:rPr>
          <w:fldChar w:fldCharType="begin"/>
        </w:r>
        <w:r w:rsidR="00C116AB">
          <w:rPr>
            <w:noProof/>
            <w:webHidden/>
          </w:rPr>
          <w:instrText xml:space="preserve"> PAGEREF _Toc52187737 \h </w:instrText>
        </w:r>
        <w:r w:rsidR="00C116AB">
          <w:rPr>
            <w:noProof/>
            <w:webHidden/>
          </w:rPr>
        </w:r>
        <w:r w:rsidR="00C116AB">
          <w:rPr>
            <w:noProof/>
            <w:webHidden/>
          </w:rPr>
          <w:fldChar w:fldCharType="separate"/>
        </w:r>
        <w:r w:rsidR="00C116AB">
          <w:rPr>
            <w:noProof/>
            <w:webHidden/>
          </w:rPr>
          <w:t>38</w:t>
        </w:r>
        <w:r w:rsidR="00C116AB">
          <w:rPr>
            <w:noProof/>
            <w:webHidden/>
          </w:rPr>
          <w:fldChar w:fldCharType="end"/>
        </w:r>
      </w:hyperlink>
    </w:p>
    <w:p w14:paraId="2992015B" w14:textId="609AEC9E"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38" w:history="1">
        <w:r w:rsidR="00C116AB" w:rsidRPr="008266AA">
          <w:rPr>
            <w:rStyle w:val="Hyperlink"/>
            <w:noProof/>
          </w:rPr>
          <w:t>State purchase contracts approved in 2019–20</w:t>
        </w:r>
        <w:r w:rsidR="00C116AB">
          <w:rPr>
            <w:noProof/>
            <w:webHidden/>
          </w:rPr>
          <w:tab/>
        </w:r>
        <w:r w:rsidR="00C116AB">
          <w:rPr>
            <w:noProof/>
            <w:webHidden/>
          </w:rPr>
          <w:fldChar w:fldCharType="begin"/>
        </w:r>
        <w:r w:rsidR="00C116AB">
          <w:rPr>
            <w:noProof/>
            <w:webHidden/>
          </w:rPr>
          <w:instrText xml:space="preserve"> PAGEREF _Toc52187738 \h </w:instrText>
        </w:r>
        <w:r w:rsidR="00C116AB">
          <w:rPr>
            <w:noProof/>
            <w:webHidden/>
          </w:rPr>
        </w:r>
        <w:r w:rsidR="00C116AB">
          <w:rPr>
            <w:noProof/>
            <w:webHidden/>
          </w:rPr>
          <w:fldChar w:fldCharType="separate"/>
        </w:r>
        <w:r w:rsidR="00C116AB">
          <w:rPr>
            <w:noProof/>
            <w:webHidden/>
          </w:rPr>
          <w:t>39</w:t>
        </w:r>
        <w:r w:rsidR="00C116AB">
          <w:rPr>
            <w:noProof/>
            <w:webHidden/>
          </w:rPr>
          <w:fldChar w:fldCharType="end"/>
        </w:r>
      </w:hyperlink>
    </w:p>
    <w:p w14:paraId="614ABA80" w14:textId="7394E062"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39" w:history="1">
        <w:r w:rsidR="00C116AB" w:rsidRPr="008266AA">
          <w:rPr>
            <w:rStyle w:val="Hyperlink"/>
            <w:noProof/>
          </w:rPr>
          <w:t>Sole entity purchase contracts approved in 2019–20</w:t>
        </w:r>
        <w:r w:rsidR="00C116AB">
          <w:rPr>
            <w:noProof/>
            <w:webHidden/>
          </w:rPr>
          <w:tab/>
        </w:r>
        <w:r w:rsidR="00C116AB">
          <w:rPr>
            <w:noProof/>
            <w:webHidden/>
          </w:rPr>
          <w:fldChar w:fldCharType="begin"/>
        </w:r>
        <w:r w:rsidR="00C116AB">
          <w:rPr>
            <w:noProof/>
            <w:webHidden/>
          </w:rPr>
          <w:instrText xml:space="preserve"> PAGEREF _Toc52187739 \h </w:instrText>
        </w:r>
        <w:r w:rsidR="00C116AB">
          <w:rPr>
            <w:noProof/>
            <w:webHidden/>
          </w:rPr>
        </w:r>
        <w:r w:rsidR="00C116AB">
          <w:rPr>
            <w:noProof/>
            <w:webHidden/>
          </w:rPr>
          <w:fldChar w:fldCharType="separate"/>
        </w:r>
        <w:r w:rsidR="00C116AB">
          <w:rPr>
            <w:noProof/>
            <w:webHidden/>
          </w:rPr>
          <w:t>40</w:t>
        </w:r>
        <w:r w:rsidR="00C116AB">
          <w:rPr>
            <w:noProof/>
            <w:webHidden/>
          </w:rPr>
          <w:fldChar w:fldCharType="end"/>
        </w:r>
      </w:hyperlink>
    </w:p>
    <w:p w14:paraId="0AE1B46B" w14:textId="1754B061" w:rsidR="00C116AB" w:rsidRDefault="00BE0754">
      <w:pPr>
        <w:pStyle w:val="TOC1"/>
        <w:rPr>
          <w:rFonts w:asciiTheme="minorHAnsi" w:eastAsiaTheme="minorEastAsia" w:hAnsiTheme="minorHAnsi" w:cstheme="minorBidi"/>
          <w:noProof/>
          <w:sz w:val="22"/>
          <w:szCs w:val="22"/>
        </w:rPr>
      </w:pPr>
      <w:hyperlink w:anchor="_Toc52187740" w:history="1">
        <w:r w:rsidR="00C116AB" w:rsidRPr="008266AA">
          <w:rPr>
            <w:rStyle w:val="Hyperlink"/>
            <w:noProof/>
          </w:rPr>
          <w:t>Procurement profiles</w:t>
        </w:r>
        <w:r w:rsidR="00C116AB">
          <w:rPr>
            <w:noProof/>
            <w:webHidden/>
          </w:rPr>
          <w:tab/>
        </w:r>
        <w:r w:rsidR="00C116AB">
          <w:rPr>
            <w:noProof/>
            <w:webHidden/>
          </w:rPr>
          <w:fldChar w:fldCharType="begin"/>
        </w:r>
        <w:r w:rsidR="00C116AB">
          <w:rPr>
            <w:noProof/>
            <w:webHidden/>
          </w:rPr>
          <w:instrText xml:space="preserve"> PAGEREF _Toc52187740 \h </w:instrText>
        </w:r>
        <w:r w:rsidR="00C116AB">
          <w:rPr>
            <w:noProof/>
            <w:webHidden/>
          </w:rPr>
        </w:r>
        <w:r w:rsidR="00C116AB">
          <w:rPr>
            <w:noProof/>
            <w:webHidden/>
          </w:rPr>
          <w:fldChar w:fldCharType="separate"/>
        </w:r>
        <w:r w:rsidR="00C116AB">
          <w:rPr>
            <w:noProof/>
            <w:webHidden/>
          </w:rPr>
          <w:t>41</w:t>
        </w:r>
        <w:r w:rsidR="00C116AB">
          <w:rPr>
            <w:noProof/>
            <w:webHidden/>
          </w:rPr>
          <w:fldChar w:fldCharType="end"/>
        </w:r>
      </w:hyperlink>
    </w:p>
    <w:p w14:paraId="0FD32046" w14:textId="30F7BB5F"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1" w:history="1">
        <w:r w:rsidR="00C116AB" w:rsidRPr="008266AA">
          <w:rPr>
            <w:rStyle w:val="Hyperlink"/>
            <w:noProof/>
          </w:rPr>
          <w:t>Department of Education and Training</w:t>
        </w:r>
        <w:r w:rsidR="00C116AB">
          <w:rPr>
            <w:noProof/>
            <w:webHidden/>
          </w:rPr>
          <w:tab/>
        </w:r>
        <w:r w:rsidR="00C116AB">
          <w:rPr>
            <w:noProof/>
            <w:webHidden/>
          </w:rPr>
          <w:fldChar w:fldCharType="begin"/>
        </w:r>
        <w:r w:rsidR="00C116AB">
          <w:rPr>
            <w:noProof/>
            <w:webHidden/>
          </w:rPr>
          <w:instrText xml:space="preserve"> PAGEREF _Toc52187741 \h </w:instrText>
        </w:r>
        <w:r w:rsidR="00C116AB">
          <w:rPr>
            <w:noProof/>
            <w:webHidden/>
          </w:rPr>
        </w:r>
        <w:r w:rsidR="00C116AB">
          <w:rPr>
            <w:noProof/>
            <w:webHidden/>
          </w:rPr>
          <w:fldChar w:fldCharType="separate"/>
        </w:r>
        <w:r w:rsidR="00C116AB">
          <w:rPr>
            <w:noProof/>
            <w:webHidden/>
          </w:rPr>
          <w:t>42</w:t>
        </w:r>
        <w:r w:rsidR="00C116AB">
          <w:rPr>
            <w:noProof/>
            <w:webHidden/>
          </w:rPr>
          <w:fldChar w:fldCharType="end"/>
        </w:r>
      </w:hyperlink>
    </w:p>
    <w:p w14:paraId="3189E822" w14:textId="46A6DAF3"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2" w:history="1">
        <w:r w:rsidR="00C116AB" w:rsidRPr="008266AA">
          <w:rPr>
            <w:rStyle w:val="Hyperlink"/>
            <w:noProof/>
          </w:rPr>
          <w:t>Department of Environment, Land, Water and Planning</w:t>
        </w:r>
        <w:r w:rsidR="00C116AB">
          <w:rPr>
            <w:noProof/>
            <w:webHidden/>
          </w:rPr>
          <w:tab/>
        </w:r>
        <w:r w:rsidR="00C116AB">
          <w:rPr>
            <w:noProof/>
            <w:webHidden/>
          </w:rPr>
          <w:fldChar w:fldCharType="begin"/>
        </w:r>
        <w:r w:rsidR="00C116AB">
          <w:rPr>
            <w:noProof/>
            <w:webHidden/>
          </w:rPr>
          <w:instrText xml:space="preserve"> PAGEREF _Toc52187742 \h </w:instrText>
        </w:r>
        <w:r w:rsidR="00C116AB">
          <w:rPr>
            <w:noProof/>
            <w:webHidden/>
          </w:rPr>
        </w:r>
        <w:r w:rsidR="00C116AB">
          <w:rPr>
            <w:noProof/>
            <w:webHidden/>
          </w:rPr>
          <w:fldChar w:fldCharType="separate"/>
        </w:r>
        <w:r w:rsidR="00C116AB">
          <w:rPr>
            <w:noProof/>
            <w:webHidden/>
          </w:rPr>
          <w:t>44</w:t>
        </w:r>
        <w:r w:rsidR="00C116AB">
          <w:rPr>
            <w:noProof/>
            <w:webHidden/>
          </w:rPr>
          <w:fldChar w:fldCharType="end"/>
        </w:r>
      </w:hyperlink>
    </w:p>
    <w:p w14:paraId="129B3DDD" w14:textId="06A169BD"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3" w:history="1">
        <w:r w:rsidR="00C116AB" w:rsidRPr="008266AA">
          <w:rPr>
            <w:rStyle w:val="Hyperlink"/>
            <w:rFonts w:ascii="Calibri" w:eastAsia="MS Gothic" w:hAnsi="Calibri" w:cs="Calibri"/>
            <w:noProof/>
            <w:kern w:val="28"/>
          </w:rPr>
          <w:t>Department of Health and Human Services</w:t>
        </w:r>
        <w:r w:rsidR="00C116AB">
          <w:rPr>
            <w:noProof/>
            <w:webHidden/>
          </w:rPr>
          <w:tab/>
        </w:r>
        <w:r w:rsidR="00C116AB">
          <w:rPr>
            <w:noProof/>
            <w:webHidden/>
          </w:rPr>
          <w:fldChar w:fldCharType="begin"/>
        </w:r>
        <w:r w:rsidR="00C116AB">
          <w:rPr>
            <w:noProof/>
            <w:webHidden/>
          </w:rPr>
          <w:instrText xml:space="preserve"> PAGEREF _Toc52187743 \h </w:instrText>
        </w:r>
        <w:r w:rsidR="00C116AB">
          <w:rPr>
            <w:noProof/>
            <w:webHidden/>
          </w:rPr>
        </w:r>
        <w:r w:rsidR="00C116AB">
          <w:rPr>
            <w:noProof/>
            <w:webHidden/>
          </w:rPr>
          <w:fldChar w:fldCharType="separate"/>
        </w:r>
        <w:r w:rsidR="00C116AB">
          <w:rPr>
            <w:noProof/>
            <w:webHidden/>
          </w:rPr>
          <w:t>46</w:t>
        </w:r>
        <w:r w:rsidR="00C116AB">
          <w:rPr>
            <w:noProof/>
            <w:webHidden/>
          </w:rPr>
          <w:fldChar w:fldCharType="end"/>
        </w:r>
      </w:hyperlink>
    </w:p>
    <w:p w14:paraId="68A11522" w14:textId="643D6361"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4" w:history="1">
        <w:r w:rsidR="00C116AB" w:rsidRPr="008266AA">
          <w:rPr>
            <w:rStyle w:val="Hyperlink"/>
            <w:noProof/>
          </w:rPr>
          <w:t>Department of Jobs, Precincts and Regions</w:t>
        </w:r>
        <w:r w:rsidR="00C116AB">
          <w:rPr>
            <w:noProof/>
            <w:webHidden/>
          </w:rPr>
          <w:tab/>
        </w:r>
        <w:r w:rsidR="00C116AB">
          <w:rPr>
            <w:noProof/>
            <w:webHidden/>
          </w:rPr>
          <w:fldChar w:fldCharType="begin"/>
        </w:r>
        <w:r w:rsidR="00C116AB">
          <w:rPr>
            <w:noProof/>
            <w:webHidden/>
          </w:rPr>
          <w:instrText xml:space="preserve"> PAGEREF _Toc52187744 \h </w:instrText>
        </w:r>
        <w:r w:rsidR="00C116AB">
          <w:rPr>
            <w:noProof/>
            <w:webHidden/>
          </w:rPr>
        </w:r>
        <w:r w:rsidR="00C116AB">
          <w:rPr>
            <w:noProof/>
            <w:webHidden/>
          </w:rPr>
          <w:fldChar w:fldCharType="separate"/>
        </w:r>
        <w:r w:rsidR="00C116AB">
          <w:rPr>
            <w:noProof/>
            <w:webHidden/>
          </w:rPr>
          <w:t>48</w:t>
        </w:r>
        <w:r w:rsidR="00C116AB">
          <w:rPr>
            <w:noProof/>
            <w:webHidden/>
          </w:rPr>
          <w:fldChar w:fldCharType="end"/>
        </w:r>
      </w:hyperlink>
    </w:p>
    <w:p w14:paraId="06B4AEFE" w14:textId="10300172"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5" w:history="1">
        <w:r w:rsidR="00C116AB" w:rsidRPr="008266AA">
          <w:rPr>
            <w:rStyle w:val="Hyperlink"/>
            <w:noProof/>
          </w:rPr>
          <w:t>Department of Justice and Community Safety</w:t>
        </w:r>
        <w:r w:rsidR="00C116AB">
          <w:rPr>
            <w:noProof/>
            <w:webHidden/>
          </w:rPr>
          <w:tab/>
        </w:r>
        <w:r w:rsidR="00C116AB">
          <w:rPr>
            <w:noProof/>
            <w:webHidden/>
          </w:rPr>
          <w:fldChar w:fldCharType="begin"/>
        </w:r>
        <w:r w:rsidR="00C116AB">
          <w:rPr>
            <w:noProof/>
            <w:webHidden/>
          </w:rPr>
          <w:instrText xml:space="preserve"> PAGEREF _Toc52187745 \h </w:instrText>
        </w:r>
        <w:r w:rsidR="00C116AB">
          <w:rPr>
            <w:noProof/>
            <w:webHidden/>
          </w:rPr>
        </w:r>
        <w:r w:rsidR="00C116AB">
          <w:rPr>
            <w:noProof/>
            <w:webHidden/>
          </w:rPr>
          <w:fldChar w:fldCharType="separate"/>
        </w:r>
        <w:r w:rsidR="00C116AB">
          <w:rPr>
            <w:noProof/>
            <w:webHidden/>
          </w:rPr>
          <w:t>50</w:t>
        </w:r>
        <w:r w:rsidR="00C116AB">
          <w:rPr>
            <w:noProof/>
            <w:webHidden/>
          </w:rPr>
          <w:fldChar w:fldCharType="end"/>
        </w:r>
      </w:hyperlink>
    </w:p>
    <w:p w14:paraId="5CAA007E" w14:textId="6151991D"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6" w:history="1">
        <w:r w:rsidR="00C116AB" w:rsidRPr="008266AA">
          <w:rPr>
            <w:rStyle w:val="Hyperlink"/>
            <w:noProof/>
          </w:rPr>
          <w:t>Department of Premier and Cabinet</w:t>
        </w:r>
        <w:r w:rsidR="00C116AB">
          <w:rPr>
            <w:noProof/>
            <w:webHidden/>
          </w:rPr>
          <w:tab/>
        </w:r>
        <w:r w:rsidR="00C116AB">
          <w:rPr>
            <w:noProof/>
            <w:webHidden/>
          </w:rPr>
          <w:fldChar w:fldCharType="begin"/>
        </w:r>
        <w:r w:rsidR="00C116AB">
          <w:rPr>
            <w:noProof/>
            <w:webHidden/>
          </w:rPr>
          <w:instrText xml:space="preserve"> PAGEREF _Toc52187746 \h </w:instrText>
        </w:r>
        <w:r w:rsidR="00C116AB">
          <w:rPr>
            <w:noProof/>
            <w:webHidden/>
          </w:rPr>
        </w:r>
        <w:r w:rsidR="00C116AB">
          <w:rPr>
            <w:noProof/>
            <w:webHidden/>
          </w:rPr>
          <w:fldChar w:fldCharType="separate"/>
        </w:r>
        <w:r w:rsidR="00C116AB">
          <w:rPr>
            <w:noProof/>
            <w:webHidden/>
          </w:rPr>
          <w:t>52</w:t>
        </w:r>
        <w:r w:rsidR="00C116AB">
          <w:rPr>
            <w:noProof/>
            <w:webHidden/>
          </w:rPr>
          <w:fldChar w:fldCharType="end"/>
        </w:r>
      </w:hyperlink>
    </w:p>
    <w:p w14:paraId="00E1C0C9" w14:textId="0B8725FE"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7" w:history="1">
        <w:r w:rsidR="00C116AB" w:rsidRPr="008266AA">
          <w:rPr>
            <w:rStyle w:val="Hyperlink"/>
            <w:rFonts w:ascii="Calibri" w:eastAsia="MS Gothic" w:hAnsi="Calibri" w:cs="Calibri"/>
            <w:noProof/>
            <w:kern w:val="28"/>
          </w:rPr>
          <w:t>Department of Transport</w:t>
        </w:r>
        <w:r w:rsidR="00C116AB">
          <w:rPr>
            <w:noProof/>
            <w:webHidden/>
          </w:rPr>
          <w:tab/>
        </w:r>
        <w:r w:rsidR="00C116AB">
          <w:rPr>
            <w:noProof/>
            <w:webHidden/>
          </w:rPr>
          <w:fldChar w:fldCharType="begin"/>
        </w:r>
        <w:r w:rsidR="00C116AB">
          <w:rPr>
            <w:noProof/>
            <w:webHidden/>
          </w:rPr>
          <w:instrText xml:space="preserve"> PAGEREF _Toc52187747 \h </w:instrText>
        </w:r>
        <w:r w:rsidR="00C116AB">
          <w:rPr>
            <w:noProof/>
            <w:webHidden/>
          </w:rPr>
        </w:r>
        <w:r w:rsidR="00C116AB">
          <w:rPr>
            <w:noProof/>
            <w:webHidden/>
          </w:rPr>
          <w:fldChar w:fldCharType="separate"/>
        </w:r>
        <w:r w:rsidR="00C116AB">
          <w:rPr>
            <w:noProof/>
            <w:webHidden/>
          </w:rPr>
          <w:t>54</w:t>
        </w:r>
        <w:r w:rsidR="00C116AB">
          <w:rPr>
            <w:noProof/>
            <w:webHidden/>
          </w:rPr>
          <w:fldChar w:fldCharType="end"/>
        </w:r>
      </w:hyperlink>
    </w:p>
    <w:p w14:paraId="6FAD9EC8" w14:textId="0B4F8324"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8" w:history="1">
        <w:r w:rsidR="00C116AB" w:rsidRPr="008266AA">
          <w:rPr>
            <w:rStyle w:val="Hyperlink"/>
            <w:noProof/>
          </w:rPr>
          <w:t>Department of Treasury and Finance</w:t>
        </w:r>
        <w:r w:rsidR="00C116AB">
          <w:rPr>
            <w:noProof/>
            <w:webHidden/>
          </w:rPr>
          <w:tab/>
        </w:r>
        <w:r w:rsidR="00C116AB">
          <w:rPr>
            <w:noProof/>
            <w:webHidden/>
          </w:rPr>
          <w:fldChar w:fldCharType="begin"/>
        </w:r>
        <w:r w:rsidR="00C116AB">
          <w:rPr>
            <w:noProof/>
            <w:webHidden/>
          </w:rPr>
          <w:instrText xml:space="preserve"> PAGEREF _Toc52187748 \h </w:instrText>
        </w:r>
        <w:r w:rsidR="00C116AB">
          <w:rPr>
            <w:noProof/>
            <w:webHidden/>
          </w:rPr>
        </w:r>
        <w:r w:rsidR="00C116AB">
          <w:rPr>
            <w:noProof/>
            <w:webHidden/>
          </w:rPr>
          <w:fldChar w:fldCharType="separate"/>
        </w:r>
        <w:r w:rsidR="00C116AB">
          <w:rPr>
            <w:noProof/>
            <w:webHidden/>
          </w:rPr>
          <w:t>56</w:t>
        </w:r>
        <w:r w:rsidR="00C116AB">
          <w:rPr>
            <w:noProof/>
            <w:webHidden/>
          </w:rPr>
          <w:fldChar w:fldCharType="end"/>
        </w:r>
      </w:hyperlink>
    </w:p>
    <w:p w14:paraId="72B14E99" w14:textId="55029A81"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49" w:history="1">
        <w:r w:rsidR="00C116AB" w:rsidRPr="008266AA">
          <w:rPr>
            <w:rStyle w:val="Hyperlink"/>
            <w:rFonts w:ascii="Calibri" w:hAnsi="Calibri" w:cs="Calibri"/>
            <w:noProof/>
            <w:kern w:val="28"/>
          </w:rPr>
          <w:t>Cenitex</w:t>
        </w:r>
        <w:r w:rsidR="00C116AB">
          <w:rPr>
            <w:noProof/>
            <w:webHidden/>
          </w:rPr>
          <w:tab/>
        </w:r>
        <w:r w:rsidR="00C116AB">
          <w:rPr>
            <w:noProof/>
            <w:webHidden/>
          </w:rPr>
          <w:fldChar w:fldCharType="begin"/>
        </w:r>
        <w:r w:rsidR="00C116AB">
          <w:rPr>
            <w:noProof/>
            <w:webHidden/>
          </w:rPr>
          <w:instrText xml:space="preserve"> PAGEREF _Toc52187749 \h </w:instrText>
        </w:r>
        <w:r w:rsidR="00C116AB">
          <w:rPr>
            <w:noProof/>
            <w:webHidden/>
          </w:rPr>
        </w:r>
        <w:r w:rsidR="00C116AB">
          <w:rPr>
            <w:noProof/>
            <w:webHidden/>
          </w:rPr>
          <w:fldChar w:fldCharType="separate"/>
        </w:r>
        <w:r w:rsidR="00C116AB">
          <w:rPr>
            <w:noProof/>
            <w:webHidden/>
          </w:rPr>
          <w:t>58</w:t>
        </w:r>
        <w:r w:rsidR="00C116AB">
          <w:rPr>
            <w:noProof/>
            <w:webHidden/>
          </w:rPr>
          <w:fldChar w:fldCharType="end"/>
        </w:r>
      </w:hyperlink>
    </w:p>
    <w:p w14:paraId="17213733" w14:textId="10A7CBDF"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50" w:history="1">
        <w:r w:rsidR="00C116AB" w:rsidRPr="008266AA">
          <w:rPr>
            <w:rStyle w:val="Hyperlink"/>
            <w:noProof/>
          </w:rPr>
          <w:t>Victoria Police</w:t>
        </w:r>
        <w:r w:rsidR="00C116AB">
          <w:rPr>
            <w:noProof/>
            <w:webHidden/>
          </w:rPr>
          <w:tab/>
        </w:r>
        <w:r w:rsidR="00C116AB">
          <w:rPr>
            <w:noProof/>
            <w:webHidden/>
          </w:rPr>
          <w:fldChar w:fldCharType="begin"/>
        </w:r>
        <w:r w:rsidR="00C116AB">
          <w:rPr>
            <w:noProof/>
            <w:webHidden/>
          </w:rPr>
          <w:instrText xml:space="preserve"> PAGEREF _Toc52187750 \h </w:instrText>
        </w:r>
        <w:r w:rsidR="00C116AB">
          <w:rPr>
            <w:noProof/>
            <w:webHidden/>
          </w:rPr>
        </w:r>
        <w:r w:rsidR="00C116AB">
          <w:rPr>
            <w:noProof/>
            <w:webHidden/>
          </w:rPr>
          <w:fldChar w:fldCharType="separate"/>
        </w:r>
        <w:r w:rsidR="00C116AB">
          <w:rPr>
            <w:noProof/>
            <w:webHidden/>
          </w:rPr>
          <w:t>60</w:t>
        </w:r>
        <w:r w:rsidR="00C116AB">
          <w:rPr>
            <w:noProof/>
            <w:webHidden/>
          </w:rPr>
          <w:fldChar w:fldCharType="end"/>
        </w:r>
      </w:hyperlink>
    </w:p>
    <w:p w14:paraId="704F5D7E" w14:textId="67229A9A" w:rsidR="00C116AB" w:rsidRDefault="00BE0754">
      <w:pPr>
        <w:pStyle w:val="TOC1"/>
        <w:rPr>
          <w:rFonts w:asciiTheme="minorHAnsi" w:eastAsiaTheme="minorEastAsia" w:hAnsiTheme="minorHAnsi" w:cstheme="minorBidi"/>
          <w:noProof/>
          <w:sz w:val="22"/>
          <w:szCs w:val="22"/>
        </w:rPr>
      </w:pPr>
      <w:hyperlink w:anchor="_Toc52187751" w:history="1">
        <w:r w:rsidR="00C116AB" w:rsidRPr="008266AA">
          <w:rPr>
            <w:rStyle w:val="Hyperlink"/>
            <w:noProof/>
          </w:rPr>
          <w:t>Appendix</w:t>
        </w:r>
        <w:r w:rsidR="00C116AB">
          <w:rPr>
            <w:noProof/>
            <w:webHidden/>
          </w:rPr>
          <w:tab/>
        </w:r>
        <w:r w:rsidR="00C116AB">
          <w:rPr>
            <w:noProof/>
            <w:webHidden/>
          </w:rPr>
          <w:fldChar w:fldCharType="begin"/>
        </w:r>
        <w:r w:rsidR="00C116AB">
          <w:rPr>
            <w:noProof/>
            <w:webHidden/>
          </w:rPr>
          <w:instrText xml:space="preserve"> PAGEREF _Toc52187751 \h </w:instrText>
        </w:r>
        <w:r w:rsidR="00C116AB">
          <w:rPr>
            <w:noProof/>
            <w:webHidden/>
          </w:rPr>
        </w:r>
        <w:r w:rsidR="00C116AB">
          <w:rPr>
            <w:noProof/>
            <w:webHidden/>
          </w:rPr>
          <w:fldChar w:fldCharType="separate"/>
        </w:r>
        <w:r w:rsidR="00C116AB">
          <w:rPr>
            <w:noProof/>
            <w:webHidden/>
          </w:rPr>
          <w:t>62</w:t>
        </w:r>
        <w:r w:rsidR="00C116AB">
          <w:rPr>
            <w:noProof/>
            <w:webHidden/>
          </w:rPr>
          <w:fldChar w:fldCharType="end"/>
        </w:r>
      </w:hyperlink>
    </w:p>
    <w:p w14:paraId="2FC28CEE" w14:textId="4CA852F5" w:rsidR="00C116AB" w:rsidRDefault="00BE0754">
      <w:pPr>
        <w:pStyle w:val="TOC2"/>
        <w:tabs>
          <w:tab w:val="right" w:leader="dot" w:pos="9622"/>
        </w:tabs>
        <w:rPr>
          <w:rFonts w:asciiTheme="minorHAnsi" w:eastAsiaTheme="minorEastAsia" w:hAnsiTheme="minorHAnsi" w:cstheme="minorBidi"/>
          <w:noProof/>
          <w:sz w:val="22"/>
          <w:szCs w:val="22"/>
        </w:rPr>
      </w:pPr>
      <w:hyperlink w:anchor="_Toc52187752" w:history="1">
        <w:r w:rsidR="00C116AB" w:rsidRPr="008266AA">
          <w:rPr>
            <w:rStyle w:val="Hyperlink"/>
            <w:noProof/>
          </w:rPr>
          <w:t>SEPC data</w:t>
        </w:r>
        <w:r w:rsidR="00C116AB">
          <w:rPr>
            <w:noProof/>
            <w:webHidden/>
          </w:rPr>
          <w:tab/>
        </w:r>
        <w:r w:rsidR="00C116AB">
          <w:rPr>
            <w:noProof/>
            <w:webHidden/>
          </w:rPr>
          <w:fldChar w:fldCharType="begin"/>
        </w:r>
        <w:r w:rsidR="00C116AB">
          <w:rPr>
            <w:noProof/>
            <w:webHidden/>
          </w:rPr>
          <w:instrText xml:space="preserve"> PAGEREF _Toc52187752 \h </w:instrText>
        </w:r>
        <w:r w:rsidR="00C116AB">
          <w:rPr>
            <w:noProof/>
            <w:webHidden/>
          </w:rPr>
        </w:r>
        <w:r w:rsidR="00C116AB">
          <w:rPr>
            <w:noProof/>
            <w:webHidden/>
          </w:rPr>
          <w:fldChar w:fldCharType="separate"/>
        </w:r>
        <w:r w:rsidR="00C116AB">
          <w:rPr>
            <w:noProof/>
            <w:webHidden/>
          </w:rPr>
          <w:t>62</w:t>
        </w:r>
        <w:r w:rsidR="00C116AB">
          <w:rPr>
            <w:noProof/>
            <w:webHidden/>
          </w:rPr>
          <w:fldChar w:fldCharType="end"/>
        </w:r>
      </w:hyperlink>
    </w:p>
    <w:p w14:paraId="55A55E80" w14:textId="6962EFA6" w:rsidR="00C116AB" w:rsidRDefault="00BE0754">
      <w:pPr>
        <w:pStyle w:val="TOC1"/>
        <w:rPr>
          <w:rFonts w:asciiTheme="minorHAnsi" w:eastAsiaTheme="minorEastAsia" w:hAnsiTheme="minorHAnsi" w:cstheme="minorBidi"/>
          <w:noProof/>
          <w:sz w:val="22"/>
          <w:szCs w:val="22"/>
        </w:rPr>
      </w:pPr>
      <w:hyperlink w:anchor="_Toc52187753" w:history="1">
        <w:r w:rsidR="00C116AB" w:rsidRPr="008266AA">
          <w:rPr>
            <w:rStyle w:val="Hyperlink"/>
            <w:noProof/>
          </w:rPr>
          <w:t>Acronyms</w:t>
        </w:r>
        <w:r w:rsidR="00C116AB">
          <w:rPr>
            <w:noProof/>
            <w:webHidden/>
          </w:rPr>
          <w:tab/>
        </w:r>
        <w:r w:rsidR="00C116AB">
          <w:rPr>
            <w:noProof/>
            <w:webHidden/>
          </w:rPr>
          <w:fldChar w:fldCharType="begin"/>
        </w:r>
        <w:r w:rsidR="00C116AB">
          <w:rPr>
            <w:noProof/>
            <w:webHidden/>
          </w:rPr>
          <w:instrText xml:space="preserve"> PAGEREF _Toc52187753 \h </w:instrText>
        </w:r>
        <w:r w:rsidR="00C116AB">
          <w:rPr>
            <w:noProof/>
            <w:webHidden/>
          </w:rPr>
        </w:r>
        <w:r w:rsidR="00C116AB">
          <w:rPr>
            <w:noProof/>
            <w:webHidden/>
          </w:rPr>
          <w:fldChar w:fldCharType="separate"/>
        </w:r>
        <w:r w:rsidR="00C116AB">
          <w:rPr>
            <w:noProof/>
            <w:webHidden/>
          </w:rPr>
          <w:t>65</w:t>
        </w:r>
        <w:r w:rsidR="00C116AB">
          <w:rPr>
            <w:noProof/>
            <w:webHidden/>
          </w:rPr>
          <w:fldChar w:fldCharType="end"/>
        </w:r>
      </w:hyperlink>
    </w:p>
    <w:p w14:paraId="7F4C7B0A" w14:textId="44273EC0" w:rsidR="008E25F0" w:rsidRDefault="00A61178" w:rsidP="00E41631">
      <w:pPr>
        <w:pStyle w:val="Normal1"/>
      </w:pPr>
      <w:r>
        <w:rPr>
          <w:rFonts w:asciiTheme="majorHAnsi" w:hAnsiTheme="majorHAnsi" w:cs="Arial"/>
          <w:sz w:val="20"/>
          <w:szCs w:val="24"/>
        </w:rPr>
        <w:fldChar w:fldCharType="end"/>
      </w:r>
    </w:p>
    <w:p w14:paraId="4417C81A" w14:textId="3A8A1829" w:rsidR="00853907" w:rsidRDefault="00F50794" w:rsidP="00853907">
      <w:pPr>
        <w:pStyle w:val="Heading1NoNum"/>
      </w:pPr>
      <w:bookmarkStart w:id="2" w:name="_Toc52187706"/>
      <w:bookmarkStart w:id="3" w:name="_Hlk489516524"/>
      <w:bookmarkStart w:id="4" w:name="_Toc366693292"/>
      <w:bookmarkEnd w:id="0"/>
      <w:bookmarkEnd w:id="1"/>
      <w:r>
        <w:lastRenderedPageBreak/>
        <w:t>About this report</w:t>
      </w:r>
      <w:bookmarkEnd w:id="2"/>
    </w:p>
    <w:p w14:paraId="5F646CFA" w14:textId="15C9E176" w:rsidR="0074042F" w:rsidRDefault="00F50794" w:rsidP="00F50794">
      <w:pPr>
        <w:pStyle w:val="Normal1"/>
      </w:pPr>
      <w:r>
        <w:t>The Victorian Government Purchasing Board (VGPB) sets the policies that govern procurement of non-construction goods and services across all Victorian Government departments and some public bodies.</w:t>
      </w:r>
    </w:p>
    <w:p w14:paraId="2AB5A35D" w14:textId="4BA0BB59" w:rsidR="00F50794" w:rsidRDefault="00F5157F" w:rsidP="00F50794">
      <w:pPr>
        <w:pStyle w:val="Normal1"/>
      </w:pPr>
      <w:r>
        <w:t xml:space="preserve">Effective procurement saves time and money, reduces risk and supports a well-functioning government and a thriving Victorian community. </w:t>
      </w:r>
      <w:r w:rsidR="0074042F">
        <w:t xml:space="preserve">Our vision is to </w:t>
      </w:r>
      <w:r w:rsidR="0074042F" w:rsidRPr="00CD6245">
        <w:t xml:space="preserve">provide leadership in government procurement of goods and services to deliver </w:t>
      </w:r>
      <w:r w:rsidR="0074042F" w:rsidRPr="002342AD">
        <w:t>value-for-money ou</w:t>
      </w:r>
      <w:r w:rsidR="0074042F" w:rsidRPr="00CD6245">
        <w:t>tcomes for Victoria.</w:t>
      </w:r>
    </w:p>
    <w:p w14:paraId="14DAD05D" w14:textId="004FC18E" w:rsidR="002F188F" w:rsidRDefault="00F50794" w:rsidP="00F50794">
      <w:pPr>
        <w:pStyle w:val="Normal1"/>
      </w:pPr>
      <w:r w:rsidRPr="00F50794">
        <w:t xml:space="preserve">The </w:t>
      </w:r>
      <w:r w:rsidRPr="00F50794">
        <w:rPr>
          <w:b/>
          <w:bCs/>
        </w:rPr>
        <w:t>VGPB Annual Report 2019</w:t>
      </w:r>
      <w:r w:rsidR="00B72FA1">
        <w:rPr>
          <w:b/>
          <w:bCs/>
        </w:rPr>
        <w:t>–20</w:t>
      </w:r>
      <w:r w:rsidRPr="00F50794">
        <w:t xml:space="preserve"> </w:t>
      </w:r>
      <w:r w:rsidR="002F188F">
        <w:t>summarises the work we’ve done to meet our legislative obligations and achieve our vision</w:t>
      </w:r>
      <w:r w:rsidR="002F188F" w:rsidRPr="00F50794">
        <w:t xml:space="preserve"> </w:t>
      </w:r>
      <w:r w:rsidR="002F188F">
        <w:t xml:space="preserve">over the past financial year from </w:t>
      </w:r>
      <w:r w:rsidR="002F188F" w:rsidRPr="00F50794">
        <w:t>1 July 201</w:t>
      </w:r>
      <w:r w:rsidR="002F188F">
        <w:t>9</w:t>
      </w:r>
      <w:r w:rsidR="002F188F" w:rsidRPr="00F50794">
        <w:t xml:space="preserve"> </w:t>
      </w:r>
      <w:r w:rsidR="00685F44">
        <w:t>to</w:t>
      </w:r>
      <w:r w:rsidR="00685F44" w:rsidRPr="00F50794">
        <w:t xml:space="preserve"> </w:t>
      </w:r>
      <w:r w:rsidR="002F188F" w:rsidRPr="00B72FA1">
        <w:t>30</w:t>
      </w:r>
      <w:r w:rsidR="002F188F">
        <w:t> </w:t>
      </w:r>
      <w:r w:rsidR="002F188F" w:rsidRPr="00B72FA1">
        <w:t>June</w:t>
      </w:r>
      <w:r w:rsidR="002F188F" w:rsidRPr="00F50794">
        <w:t xml:space="preserve"> 20</w:t>
      </w:r>
      <w:r w:rsidR="002F188F">
        <w:t>20.</w:t>
      </w:r>
    </w:p>
    <w:p w14:paraId="443AF057" w14:textId="0A552F38" w:rsidR="006919A6" w:rsidRDefault="00F5157F" w:rsidP="00E41631">
      <w:pPr>
        <w:pStyle w:val="Normal1"/>
      </w:pPr>
      <w:r>
        <w:t xml:space="preserve">We report on the </w:t>
      </w:r>
      <w:r w:rsidR="002F188F">
        <w:t>procurement</w:t>
      </w:r>
      <w:r>
        <w:t xml:space="preserve"> activity</w:t>
      </w:r>
      <w:r w:rsidR="00685F44">
        <w:t xml:space="preserve">, compliance and performance </w:t>
      </w:r>
      <w:r w:rsidR="002F188F">
        <w:t xml:space="preserve">of the </w:t>
      </w:r>
      <w:r w:rsidR="00685F44">
        <w:t>departments and</w:t>
      </w:r>
      <w:r w:rsidR="002F188F">
        <w:t xml:space="preserve"> organisations </w:t>
      </w:r>
      <w:r w:rsidR="00E843AD">
        <w:t>that operate under</w:t>
      </w:r>
      <w:r w:rsidR="002F188F">
        <w:t xml:space="preserve"> </w:t>
      </w:r>
      <w:r w:rsidR="00E843AD">
        <w:t xml:space="preserve">the </w:t>
      </w:r>
      <w:r w:rsidR="002F188F">
        <w:t>VGPB polic</w:t>
      </w:r>
      <w:r w:rsidR="00E843AD">
        <w:t>y framework</w:t>
      </w:r>
      <w:r w:rsidR="00685F44">
        <w:t>.</w:t>
      </w:r>
    </w:p>
    <w:p w14:paraId="7B58A421" w14:textId="31F08310" w:rsidR="002F188F" w:rsidRDefault="002F188F" w:rsidP="002F188F">
      <w:pPr>
        <w:pStyle w:val="Normal1"/>
      </w:pPr>
      <w:r>
        <w:t xml:space="preserve">This report is required </w:t>
      </w:r>
      <w:r w:rsidRPr="00F50794">
        <w:t xml:space="preserve">under section 54M of the </w:t>
      </w:r>
      <w:r w:rsidRPr="00F82227">
        <w:rPr>
          <w:i/>
          <w:iCs/>
        </w:rPr>
        <w:t>Financial Management Act 1994</w:t>
      </w:r>
      <w:r>
        <w:t xml:space="preserve"> and is available from </w:t>
      </w:r>
      <w:hyperlink r:id="rId13" w:history="1">
        <w:r>
          <w:rPr>
            <w:rStyle w:val="Hyperlink"/>
          </w:rPr>
          <w:t>buyingfor.vic.gov.au/annual-reports</w:t>
        </w:r>
      </w:hyperlink>
      <w:r>
        <w:t xml:space="preserve"> in PDF and accessible text format.</w:t>
      </w:r>
    </w:p>
    <w:bookmarkEnd w:id="3"/>
    <w:p w14:paraId="6FA27A1C" w14:textId="77777777" w:rsidR="00853907" w:rsidRDefault="00853907" w:rsidP="00853907"/>
    <w:p w14:paraId="4733838D" w14:textId="77777777" w:rsidR="002F7CF6" w:rsidRPr="00CD6245" w:rsidRDefault="00E07B86" w:rsidP="006F7C68">
      <w:pPr>
        <w:pStyle w:val="Heading1NoNum"/>
        <w:spacing w:after="400"/>
      </w:pPr>
      <w:bookmarkStart w:id="5" w:name="_Toc52187707"/>
      <w:bookmarkStart w:id="6" w:name="_Hlk489349639"/>
      <w:bookmarkStart w:id="7" w:name="_Hlk489358350"/>
      <w:bookmarkStart w:id="8" w:name="_Hlk515368103"/>
      <w:bookmarkStart w:id="9" w:name="_Hlk521608382"/>
      <w:r w:rsidRPr="00CD6245">
        <w:lastRenderedPageBreak/>
        <w:t>Message from the Chair</w:t>
      </w:r>
      <w:bookmarkEnd w:id="5"/>
    </w:p>
    <w:p w14:paraId="66DE1573" w14:textId="77777777" w:rsidR="00FF50EE" w:rsidRDefault="00FF50EE" w:rsidP="00FF50EE">
      <w:pPr>
        <w:pStyle w:val="Normal1"/>
      </w:pPr>
      <w:bookmarkStart w:id="10" w:name="_Hlk45019324"/>
      <w:bookmarkEnd w:id="4"/>
      <w:r>
        <w:t>In 2019–20, the Victorian Government Purchasing Board (VGPB) continued to oversee the deliverables from the 2017–18 procurement reform, while also publishing buyer guidance to address and publicise cybersecurity and information security risks.</w:t>
      </w:r>
    </w:p>
    <w:p w14:paraId="70E9B7D0" w14:textId="4C5063F0" w:rsidR="00FF50EE" w:rsidRDefault="00FF50EE" w:rsidP="00FF50EE">
      <w:pPr>
        <w:pStyle w:val="Normal1"/>
      </w:pPr>
      <w:r>
        <w:t xml:space="preserve">While some procurement teams were still dealing with the aftermath of the Victorian bushfires, we found ourselves in </w:t>
      </w:r>
      <w:r w:rsidR="00D87220">
        <w:t xml:space="preserve">the </w:t>
      </w:r>
      <w:r>
        <w:t>midst of a global pandemic. Both events required immediate government response and created challenges for procurement.</w:t>
      </w:r>
    </w:p>
    <w:p w14:paraId="513D9B00" w14:textId="07869B06" w:rsidR="00FF50EE" w:rsidRDefault="00FF50EE" w:rsidP="00FF50EE">
      <w:pPr>
        <w:pStyle w:val="Normal1"/>
      </w:pPr>
      <w:r>
        <w:t>Our goods and services supply policies include critical incident procurement protocols to enable government to quickly respond to any emergency, crisis or disaster by adopting streamlined and flexible procurement processes, while also maintaining high standards, specific record</w:t>
      </w:r>
      <w:r w:rsidR="00FE3B3A">
        <w:t>keeping</w:t>
      </w:r>
      <w:r>
        <w:t xml:space="preserve"> processes and adhering to contract disclosure requirements. This annual report includes a summary of </w:t>
      </w:r>
      <w:r w:rsidR="002E4537">
        <w:t xml:space="preserve">critical incident </w:t>
      </w:r>
      <w:r>
        <w:t>procurement</w:t>
      </w:r>
      <w:r w:rsidR="002E4537">
        <w:t xml:space="preserve"> contract approvals </w:t>
      </w:r>
      <w:r>
        <w:t>in 2019–20.</w:t>
      </w:r>
    </w:p>
    <w:p w14:paraId="43703354" w14:textId="34418104" w:rsidR="00FF50EE" w:rsidRDefault="00FF50EE" w:rsidP="00FF50EE">
      <w:pPr>
        <w:pStyle w:val="Normal1"/>
      </w:pPr>
      <w:r>
        <w:rPr>
          <w:rFonts w:cstheme="minorHAnsi"/>
        </w:rPr>
        <w:t>We are seeing considerable momentum in the use of procurement technology, which help</w:t>
      </w:r>
      <w:r w:rsidR="00D87220">
        <w:rPr>
          <w:rFonts w:cstheme="minorHAnsi"/>
        </w:rPr>
        <w:t>s</w:t>
      </w:r>
      <w:r>
        <w:rPr>
          <w:rFonts w:cstheme="minorHAnsi"/>
        </w:rPr>
        <w:t xml:space="preserve"> make procurement more efficient </w:t>
      </w:r>
      <w:r>
        <w:t xml:space="preserve">and </w:t>
      </w:r>
      <w:r w:rsidR="002E4537">
        <w:t>provides</w:t>
      </w:r>
      <w:r>
        <w:t xml:space="preserve"> the data to drive better value</w:t>
      </w:r>
      <w:r w:rsidR="00685F44">
        <w:t>-</w:t>
      </w:r>
      <w:r>
        <w:t>for</w:t>
      </w:r>
      <w:r w:rsidR="00685F44">
        <w:t>-</w:t>
      </w:r>
      <w:r>
        <w:t>money</w:t>
      </w:r>
      <w:r w:rsidR="00685F44">
        <w:t xml:space="preserve"> outcomes</w:t>
      </w:r>
      <w:r>
        <w:t>, connectivity and economies of scale. The rollout of the procurement data</w:t>
      </w:r>
      <w:r w:rsidR="00695265">
        <w:t xml:space="preserve"> </w:t>
      </w:r>
      <w:r>
        <w:t>centre and the spend data analytics project will give us important insights into what government is purchasing.</w:t>
      </w:r>
    </w:p>
    <w:p w14:paraId="426DFFAC" w14:textId="208D75D8" w:rsidR="00FF50EE" w:rsidRDefault="00FF50EE" w:rsidP="00FF50EE">
      <w:pPr>
        <w:pStyle w:val="Normal1"/>
      </w:pPr>
      <w:r>
        <w:t xml:space="preserve">Cybersecurity was a big focus during the </w:t>
      </w:r>
      <w:r w:rsidR="002E4537">
        <w:t>year,</w:t>
      </w:r>
      <w:r>
        <w:t xml:space="preserve"> and we have updated our goods and services policies to ensure that cyber risk management becomes part of everyday best practice procurement.</w:t>
      </w:r>
    </w:p>
    <w:p w14:paraId="10F64161" w14:textId="77777777" w:rsidR="00FF50EE" w:rsidRPr="00181FBB" w:rsidRDefault="00FF50EE" w:rsidP="00FF50EE">
      <w:pPr>
        <w:pStyle w:val="Normal1"/>
      </w:pPr>
      <w:r>
        <w:t>We recognise the work of our many stakeholders, and particularly c</w:t>
      </w:r>
      <w:r w:rsidRPr="00181FBB">
        <w:t>hief procurement officers</w:t>
      </w:r>
      <w:r>
        <w:t>, in progressing this and many other pieces of work throughout 2019–20.</w:t>
      </w:r>
    </w:p>
    <w:p w14:paraId="1DA9EEE3" w14:textId="2B1B8DF0" w:rsidR="00FF50EE" w:rsidRDefault="00FF50EE" w:rsidP="00FF50EE">
      <w:pPr>
        <w:pStyle w:val="Normal1"/>
      </w:pPr>
      <w:r>
        <w:t xml:space="preserve">I would like to thank outgoing </w:t>
      </w:r>
      <w:r w:rsidR="004D2268">
        <w:t>VGPB</w:t>
      </w:r>
      <w:r>
        <w:t xml:space="preserve"> member, Craig Rooney. Craig contributed immensely over his </w:t>
      </w:r>
      <w:r w:rsidRPr="002342AD">
        <w:t>eight-year</w:t>
      </w:r>
      <w:r>
        <w:t xml:space="preserve"> tenure and we wish him well with his future endeavours.</w:t>
      </w:r>
    </w:p>
    <w:p w14:paraId="1B3E3EF4" w14:textId="77777777" w:rsidR="00FF50EE" w:rsidRDefault="00FF50EE" w:rsidP="00FF50EE">
      <w:pPr>
        <w:pStyle w:val="Normal1"/>
      </w:pPr>
      <w:r>
        <w:t>Once again, the Procurement Policy and Reform team in the Department of Treasury and Finance worked hard to support the VGPB and deliver our procurement goals.</w:t>
      </w:r>
    </w:p>
    <w:p w14:paraId="3E01CADE" w14:textId="77777777" w:rsidR="00FF50EE" w:rsidRDefault="00FF50EE" w:rsidP="00FF50EE">
      <w:pPr>
        <w:pStyle w:val="Normal1"/>
      </w:pPr>
      <w:r>
        <w:t>As our steering committee role for the procurement reform program draws to a close, I’m proud of our accomplishments over the last three years. We have set new priorities for 2020–23 which reflect our commitment to being at the forefront of improving procurement across government.</w:t>
      </w:r>
    </w:p>
    <w:p w14:paraId="69EE3E2F" w14:textId="77777777" w:rsidR="00CB6A68" w:rsidRPr="00FF50EE" w:rsidRDefault="00620EE5" w:rsidP="00125F74">
      <w:pPr>
        <w:pStyle w:val="Normal1"/>
        <w:rPr>
          <w:b/>
          <w:bCs/>
          <w:color w:val="4D4D4D"/>
          <w:kern w:val="28"/>
          <w:sz w:val="30"/>
          <w:szCs w:val="26"/>
        </w:rPr>
      </w:pPr>
      <w:r w:rsidRPr="00FF50EE">
        <w:rPr>
          <w:b/>
          <w:bCs/>
          <w:lang w:eastAsia="en-US"/>
        </w:rPr>
        <w:t>Antoinette Brandi</w:t>
      </w:r>
      <w:r w:rsidR="00BF1DF3" w:rsidRPr="00FF50EE">
        <w:rPr>
          <w:b/>
          <w:bCs/>
          <w:lang w:eastAsia="en-US"/>
        </w:rPr>
        <w:br/>
        <w:t>Chair, Victorian Government Purchasing Board</w:t>
      </w:r>
      <w:bookmarkStart w:id="11" w:name="_Toc366693308"/>
      <w:bookmarkStart w:id="12" w:name="_Toc388705843"/>
      <w:bookmarkStart w:id="13" w:name="_Hlk520464781"/>
      <w:bookmarkEnd w:id="6"/>
      <w:bookmarkEnd w:id="7"/>
      <w:bookmarkEnd w:id="8"/>
    </w:p>
    <w:p w14:paraId="73D46FC8" w14:textId="77777777" w:rsidR="00CB6A68" w:rsidRDefault="00CB6A68" w:rsidP="00CB6A68">
      <w:pPr>
        <w:pStyle w:val="Heading1NoNum"/>
      </w:pPr>
      <w:bookmarkStart w:id="14" w:name="_Toc52187708"/>
      <w:bookmarkEnd w:id="10"/>
      <w:r>
        <w:lastRenderedPageBreak/>
        <w:t>About the VGPB</w:t>
      </w:r>
      <w:bookmarkEnd w:id="14"/>
    </w:p>
    <w:p w14:paraId="37D13C46" w14:textId="77777777" w:rsidR="00D02061" w:rsidRDefault="00E54E14" w:rsidP="00E41631">
      <w:pPr>
        <w:pStyle w:val="Normal1"/>
      </w:pPr>
      <w:r>
        <w:t>The VGPB is</w:t>
      </w:r>
      <w:r w:rsidR="00063341">
        <w:t xml:space="preserve"> a Victorian </w:t>
      </w:r>
      <w:r w:rsidR="00BD62AE">
        <w:t>G</w:t>
      </w:r>
      <w:r w:rsidR="00063341">
        <w:t>overnment-</w:t>
      </w:r>
      <w:r w:rsidR="009F7560" w:rsidRPr="00DC3598">
        <w:t>owned bo</w:t>
      </w:r>
      <w:r w:rsidR="004C1F77">
        <w:t xml:space="preserve">dy corporate established under </w:t>
      </w:r>
      <w:r w:rsidR="009F7560" w:rsidRPr="00DC3598">
        <w:t xml:space="preserve">the </w:t>
      </w:r>
      <w:r w:rsidR="009F7560" w:rsidRPr="00DC3598">
        <w:rPr>
          <w:i/>
        </w:rPr>
        <w:t>Financial Management Act 1994</w:t>
      </w:r>
      <w:r w:rsidR="00D02061">
        <w:t>. We set the policies that govern procurement of non-construction goods and services across all Victorian Government departments and some public bodies.</w:t>
      </w:r>
    </w:p>
    <w:p w14:paraId="71022391" w14:textId="77777777" w:rsidR="00CB6A68" w:rsidRPr="0007325F" w:rsidRDefault="00CB6A68" w:rsidP="00CB6A68">
      <w:pPr>
        <w:pStyle w:val="Normal1"/>
        <w:rPr>
          <w:lang w:eastAsia="en-US"/>
        </w:rPr>
      </w:pPr>
      <w:r>
        <w:rPr>
          <w:lang w:eastAsia="en-US"/>
        </w:rPr>
        <w:t>Our role is to:</w:t>
      </w:r>
    </w:p>
    <w:p w14:paraId="7A1B5F38" w14:textId="77777777" w:rsidR="00CB6A68" w:rsidRDefault="00CB6A68" w:rsidP="00CB6A68">
      <w:pPr>
        <w:pStyle w:val="Bullet1"/>
      </w:pPr>
      <w:r w:rsidRPr="00CD6245">
        <w:t>develop, implement and review</w:t>
      </w:r>
      <w:r>
        <w:t xml:space="preserve"> supply</w:t>
      </w:r>
      <w:r w:rsidRPr="00CD6245">
        <w:t xml:space="preserve"> policies and practices</w:t>
      </w:r>
      <w:r>
        <w:t>;</w:t>
      </w:r>
    </w:p>
    <w:p w14:paraId="0720D6C4" w14:textId="77777777" w:rsidR="00CB6A68" w:rsidRDefault="00CB6A68" w:rsidP="00CB6A68">
      <w:pPr>
        <w:pStyle w:val="Bullet1"/>
      </w:pPr>
      <w:r>
        <w:t>monitor compliance with supply policies;</w:t>
      </w:r>
    </w:p>
    <w:p w14:paraId="11DBD494" w14:textId="77777777" w:rsidR="00CB6A68" w:rsidRDefault="00CB6A68" w:rsidP="00CB6A68">
      <w:pPr>
        <w:pStyle w:val="Bullet1"/>
      </w:pPr>
      <w:r>
        <w:t>help organisations build procurement capability;</w:t>
      </w:r>
      <w:r w:rsidR="00BD62AE">
        <w:t xml:space="preserve"> and</w:t>
      </w:r>
    </w:p>
    <w:p w14:paraId="3976EE29" w14:textId="77777777" w:rsidR="00CB6A68" w:rsidRDefault="00CB6A68" w:rsidP="00CB6A68">
      <w:pPr>
        <w:pStyle w:val="Bullet1"/>
      </w:pPr>
      <w:r>
        <w:t xml:space="preserve">work with </w:t>
      </w:r>
      <w:r w:rsidRPr="00C726F8">
        <w:t>stakeholders</w:t>
      </w:r>
      <w:r>
        <w:t xml:space="preserve"> to make procurement more efficient</w:t>
      </w:r>
      <w:r w:rsidRPr="00C726F8">
        <w:t>.</w:t>
      </w:r>
    </w:p>
    <w:p w14:paraId="229B5DCF" w14:textId="77777777" w:rsidR="00EE1CED" w:rsidRDefault="00EE1CED" w:rsidP="00EE1CED">
      <w:pPr>
        <w:pStyle w:val="Heading2NoNum"/>
      </w:pPr>
      <w:bookmarkStart w:id="15" w:name="_Toc52187709"/>
      <w:bookmarkStart w:id="16" w:name="_Toc366693314"/>
      <w:bookmarkStart w:id="17" w:name="_Toc388705849"/>
      <w:bookmarkStart w:id="18" w:name="_Hlk520789151"/>
      <w:r>
        <w:t>Procurement as a core business function</w:t>
      </w:r>
      <w:bookmarkEnd w:id="15"/>
    </w:p>
    <w:p w14:paraId="3D6A898B" w14:textId="517719B1" w:rsidR="00EE1CED" w:rsidRPr="00416592" w:rsidRDefault="00EE1CED" w:rsidP="00EE1CED">
      <w:pPr>
        <w:pStyle w:val="Normal1"/>
      </w:pPr>
      <w:r>
        <w:t xml:space="preserve">The VGPB sees procurement as a core business function. </w:t>
      </w:r>
      <w:r>
        <w:rPr>
          <w:rFonts w:eastAsia="MS Gothic"/>
        </w:rPr>
        <w:t>Effective procurement ensures government uses public money responsibly</w:t>
      </w:r>
      <w:r w:rsidR="00685F44">
        <w:rPr>
          <w:rFonts w:eastAsia="MS Gothic"/>
        </w:rPr>
        <w:t>,</w:t>
      </w:r>
      <w:r>
        <w:rPr>
          <w:rFonts w:eastAsia="MS Gothic"/>
        </w:rPr>
        <w:t xml:space="preserve"> procuring the required goods and services to deliver value-for-money outcomes.</w:t>
      </w:r>
    </w:p>
    <w:p w14:paraId="3B2B6DF1" w14:textId="24647102" w:rsidR="00EE1CED" w:rsidRDefault="00EE1CED" w:rsidP="00EE1CED">
      <w:pPr>
        <w:pStyle w:val="Normal1"/>
        <w:rPr>
          <w:rFonts w:eastAsia="MS Gothic"/>
        </w:rPr>
      </w:pPr>
      <w:r>
        <w:rPr>
          <w:rFonts w:eastAsia="MS Gothic"/>
        </w:rPr>
        <w:t xml:space="preserve">The VGPB’s procurement model is based on assessing complexity and risk. Each organisation adopts a procurement governance framework scaled to </w:t>
      </w:r>
      <w:r w:rsidR="00A07804">
        <w:rPr>
          <w:rFonts w:eastAsia="MS Gothic"/>
        </w:rPr>
        <w:t>its</w:t>
      </w:r>
      <w:r>
        <w:rPr>
          <w:rFonts w:eastAsia="MS Gothic"/>
        </w:rPr>
        <w:t xml:space="preserve"> procurement profile and must have enough capability to carry out </w:t>
      </w:r>
      <w:r w:rsidR="00A07804">
        <w:rPr>
          <w:rFonts w:eastAsia="MS Gothic"/>
        </w:rPr>
        <w:t xml:space="preserve">its </w:t>
      </w:r>
      <w:r>
        <w:rPr>
          <w:rFonts w:eastAsia="MS Gothic"/>
        </w:rPr>
        <w:t>procurements.</w:t>
      </w:r>
    </w:p>
    <w:p w14:paraId="0C25853B" w14:textId="7AEB8D82" w:rsidR="00EE1CED" w:rsidRDefault="00EE1CED" w:rsidP="00EE1CED">
      <w:pPr>
        <w:pStyle w:val="Normal1"/>
        <w:rPr>
          <w:rFonts w:ascii="MS Gothic" w:eastAsia="MS Gothic" w:hAnsi="MS Gothic" w:cs="MS Gothic"/>
        </w:rPr>
      </w:pPr>
      <w:r>
        <w:t xml:space="preserve">Our five </w:t>
      </w:r>
      <w:r w:rsidR="003E0090">
        <w:t xml:space="preserve">supply </w:t>
      </w:r>
      <w:r>
        <w:t>policies cover the whole procurement lifecycle (see</w:t>
      </w:r>
      <w:r w:rsidR="00343B56">
        <w:t xml:space="preserve"> </w:t>
      </w:r>
      <w:r w:rsidR="00343B56">
        <w:fldChar w:fldCharType="begin"/>
      </w:r>
      <w:r w:rsidR="00343B56">
        <w:instrText xml:space="preserve"> REF _Ref34734379 \h </w:instrText>
      </w:r>
      <w:r w:rsidR="00343B56">
        <w:fldChar w:fldCharType="separate"/>
      </w:r>
      <w:r w:rsidR="00152B74" w:rsidRPr="0084604C">
        <w:t xml:space="preserve">Figure </w:t>
      </w:r>
      <w:r w:rsidR="00152B74">
        <w:rPr>
          <w:noProof/>
        </w:rPr>
        <w:t>1</w:t>
      </w:r>
      <w:r w:rsidR="00343B56">
        <w:fldChar w:fldCharType="end"/>
      </w:r>
      <w:r>
        <w:t>). The policies are underpinned by probity, accountability and scalability, with a strong focus on value for money, more interactive engagement with the market and improving productivity.</w:t>
      </w:r>
      <w:r>
        <w:rPr>
          <w:rFonts w:ascii="MS Gothic" w:eastAsia="MS Gothic" w:hAnsi="MS Gothic" w:cs="MS Gothic" w:hint="eastAsia"/>
        </w:rPr>
        <w:t xml:space="preserve">　</w:t>
      </w:r>
    </w:p>
    <w:p w14:paraId="1674D146" w14:textId="01BD6A28" w:rsidR="00EE1CED" w:rsidRDefault="00EE1CED" w:rsidP="00EE1CED">
      <w:pPr>
        <w:pStyle w:val="Normal1"/>
        <w:rPr>
          <w:lang w:eastAsia="en-US"/>
        </w:rPr>
      </w:pPr>
      <w:r>
        <w:rPr>
          <w:lang w:eastAsia="en-US"/>
        </w:rPr>
        <w:t>Each policy is supported by good practice guides, tools and templates to ensure consistency across government.</w:t>
      </w:r>
    </w:p>
    <w:p w14:paraId="5A9E38CD" w14:textId="7FBD0601" w:rsidR="000B585B" w:rsidRDefault="000B585B" w:rsidP="00EE1CED">
      <w:pPr>
        <w:pStyle w:val="Normal1"/>
        <w:rPr>
          <w:lang w:eastAsia="en-US"/>
        </w:rPr>
      </w:pPr>
      <w:r>
        <w:rPr>
          <w:noProof/>
          <w:lang w:val="en-US" w:eastAsia="en-US"/>
        </w:rPr>
        <mc:AlternateContent>
          <mc:Choice Requires="wpc">
            <w:drawing>
              <wp:inline distT="0" distB="0" distL="0" distR="0" wp14:anchorId="119C6341" wp14:editId="5B5F682E">
                <wp:extent cx="5775960" cy="1996069"/>
                <wp:effectExtent l="0" t="0" r="0" b="0"/>
                <wp:docPr id="343" name="Canvas 343" descr="Diagram showing the eight steps in the procurement lifecycle"/>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1" name="Text Box 121"/>
                        <wps:cNvSpPr txBox="1"/>
                        <wps:spPr>
                          <a:xfrm>
                            <a:off x="274126" y="222004"/>
                            <a:ext cx="971550" cy="666844"/>
                          </a:xfrm>
                          <a:prstGeom prst="rect">
                            <a:avLst/>
                          </a:prstGeom>
                          <a:solidFill>
                            <a:schemeClr val="lt1"/>
                          </a:solidFill>
                          <a:ln w="6350">
                            <a:solidFill>
                              <a:prstClr val="black"/>
                            </a:solidFill>
                          </a:ln>
                        </wps:spPr>
                        <wps:txbx>
                          <w:txbxContent>
                            <w:p w14:paraId="4CF2DC27" w14:textId="77777777" w:rsidR="00064484" w:rsidRPr="00B53F1A" w:rsidRDefault="00064484" w:rsidP="000B585B">
                              <w:pPr>
                                <w:jc w:val="center"/>
                                <w:rPr>
                                  <w:rFonts w:asciiTheme="majorHAnsi" w:hAnsiTheme="majorHAnsi"/>
                                  <w:sz w:val="18"/>
                                  <w:szCs w:val="18"/>
                                </w:rPr>
                              </w:pPr>
                              <w:r w:rsidRPr="00B53F1A">
                                <w:rPr>
                                  <w:rFonts w:asciiTheme="majorHAnsi" w:hAnsiTheme="majorHAnsi"/>
                                  <w:sz w:val="18"/>
                                  <w:szCs w:val="18"/>
                                </w:rPr>
                                <w:t>Review procurement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2"/>
                        <wps:cNvSpPr txBox="1"/>
                        <wps:spPr>
                          <a:xfrm>
                            <a:off x="1635225" y="222015"/>
                            <a:ext cx="971550" cy="666689"/>
                          </a:xfrm>
                          <a:prstGeom prst="rect">
                            <a:avLst/>
                          </a:prstGeom>
                          <a:solidFill>
                            <a:schemeClr val="lt1"/>
                          </a:solidFill>
                          <a:ln w="6350">
                            <a:solidFill>
                              <a:prstClr val="black"/>
                            </a:solidFill>
                          </a:ln>
                        </wps:spPr>
                        <wps:txbx>
                          <w:txbxContent>
                            <w:p w14:paraId="1BF4AE92" w14:textId="77777777" w:rsidR="00064484" w:rsidRPr="00B53F1A" w:rsidRDefault="00064484" w:rsidP="000B585B">
                              <w:pPr>
                                <w:pStyle w:val="NormalWeb"/>
                                <w:spacing w:before="0" w:beforeAutospacing="0" w:after="0" w:afterAutospacing="0" w:line="256" w:lineRule="auto"/>
                                <w:jc w:val="center"/>
                                <w:rPr>
                                  <w:sz w:val="18"/>
                                  <w:szCs w:val="18"/>
                                </w:rPr>
                              </w:pPr>
                              <w:r w:rsidRPr="00B53F1A">
                                <w:rPr>
                                  <w:rFonts w:ascii="Calibri" w:eastAsia="Calibri" w:hAnsi="Calibri"/>
                                  <w:sz w:val="18"/>
                                  <w:szCs w:val="18"/>
                                </w:rPr>
                                <w:t>Conduct market analysis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Text Box 2"/>
                        <wps:cNvSpPr txBox="1"/>
                        <wps:spPr>
                          <a:xfrm>
                            <a:off x="2959200" y="222027"/>
                            <a:ext cx="971550" cy="666677"/>
                          </a:xfrm>
                          <a:prstGeom prst="rect">
                            <a:avLst/>
                          </a:prstGeom>
                          <a:solidFill>
                            <a:schemeClr val="lt1"/>
                          </a:solidFill>
                          <a:ln w="6350">
                            <a:solidFill>
                              <a:prstClr val="black"/>
                            </a:solidFill>
                          </a:ln>
                        </wps:spPr>
                        <wps:txbx>
                          <w:txbxContent>
                            <w:p w14:paraId="14D9C7D2" w14:textId="77777777" w:rsidR="00064484" w:rsidRPr="00B53F1A" w:rsidRDefault="00064484" w:rsidP="000B585B">
                              <w:pPr>
                                <w:pStyle w:val="NormalWeb"/>
                                <w:spacing w:before="0" w:beforeAutospacing="0" w:after="0" w:afterAutospacing="0" w:line="254" w:lineRule="auto"/>
                                <w:jc w:val="center"/>
                                <w:rPr>
                                  <w:sz w:val="18"/>
                                  <w:szCs w:val="18"/>
                                </w:rPr>
                              </w:pPr>
                              <w:r w:rsidRPr="00B53F1A">
                                <w:rPr>
                                  <w:rFonts w:ascii="Calibri" w:eastAsia="Calibri" w:hAnsi="Calibri"/>
                                  <w:sz w:val="18"/>
                                  <w:szCs w:val="18"/>
                                </w:rPr>
                                <w:t>Develop market approach plan</w:t>
                              </w:r>
                              <w:r>
                                <w:rPr>
                                  <w:rFonts w:ascii="Calibri" w:eastAsia="Calibri" w:hAnsi="Calibri"/>
                                  <w:sz w:val="18"/>
                                  <w:szCs w:val="18"/>
                                </w:rPr>
                                <w:t xml:space="preserve"> and engage the market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Text Box 2"/>
                        <wps:cNvSpPr txBox="1"/>
                        <wps:spPr>
                          <a:xfrm>
                            <a:off x="4264125" y="231562"/>
                            <a:ext cx="971550" cy="685860"/>
                          </a:xfrm>
                          <a:prstGeom prst="rect">
                            <a:avLst/>
                          </a:prstGeom>
                          <a:solidFill>
                            <a:schemeClr val="lt1"/>
                          </a:solidFill>
                          <a:ln w="6350">
                            <a:solidFill>
                              <a:prstClr val="black"/>
                            </a:solidFill>
                          </a:ln>
                        </wps:spPr>
                        <wps:txbx>
                          <w:txbxContent>
                            <w:p w14:paraId="01D38049" w14:textId="77777777" w:rsidR="00064484" w:rsidRPr="00B53F1A" w:rsidRDefault="00064484" w:rsidP="000B585B">
                              <w:pPr>
                                <w:pStyle w:val="NormalWeb"/>
                                <w:spacing w:before="0" w:beforeAutospacing="0" w:after="0" w:afterAutospacing="0" w:line="252" w:lineRule="auto"/>
                                <w:jc w:val="center"/>
                                <w:rPr>
                                  <w:sz w:val="18"/>
                                  <w:szCs w:val="18"/>
                                </w:rPr>
                              </w:pPr>
                              <w:r w:rsidRPr="00B53F1A">
                                <w:rPr>
                                  <w:rFonts w:ascii="Calibri" w:eastAsia="Calibri" w:hAnsi="Calibri"/>
                                  <w:sz w:val="18"/>
                                  <w:szCs w:val="18"/>
                                </w:rPr>
                                <w:t>Evaluate, negotiate and select supplier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Text Box 2"/>
                        <wps:cNvSpPr txBox="1"/>
                        <wps:spPr>
                          <a:xfrm>
                            <a:off x="255076" y="1154405"/>
                            <a:ext cx="971550" cy="648842"/>
                          </a:xfrm>
                          <a:prstGeom prst="rect">
                            <a:avLst/>
                          </a:prstGeom>
                          <a:solidFill>
                            <a:schemeClr val="lt1"/>
                          </a:solidFill>
                          <a:ln w="6350">
                            <a:solidFill>
                              <a:prstClr val="black"/>
                            </a:solidFill>
                          </a:ln>
                        </wps:spPr>
                        <wps:txbx>
                          <w:txbxContent>
                            <w:p w14:paraId="29ED1E74" w14:textId="77777777" w:rsidR="00064484" w:rsidRPr="00B53F1A" w:rsidRDefault="00064484" w:rsidP="000B585B">
                              <w:pPr>
                                <w:pStyle w:val="NormalWeb"/>
                                <w:spacing w:before="0" w:beforeAutospacing="0" w:after="0" w:afterAutospacing="0" w:line="252" w:lineRule="auto"/>
                                <w:jc w:val="center"/>
                                <w:rPr>
                                  <w:sz w:val="18"/>
                                  <w:szCs w:val="18"/>
                                </w:rPr>
                              </w:pPr>
                              <w:r w:rsidRPr="00B53F1A">
                                <w:rPr>
                                  <w:rFonts w:ascii="Calibri" w:eastAsia="Calibri" w:hAnsi="Calibri"/>
                                  <w:sz w:val="18"/>
                                  <w:szCs w:val="18"/>
                                </w:rPr>
                                <w:t>Create and commit to contract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Text Box 2"/>
                        <wps:cNvSpPr txBox="1"/>
                        <wps:spPr>
                          <a:xfrm>
                            <a:off x="1616175" y="1182002"/>
                            <a:ext cx="971550" cy="621245"/>
                          </a:xfrm>
                          <a:prstGeom prst="rect">
                            <a:avLst/>
                          </a:prstGeom>
                          <a:solidFill>
                            <a:schemeClr val="lt1"/>
                          </a:solidFill>
                          <a:ln w="6350">
                            <a:solidFill>
                              <a:prstClr val="black"/>
                            </a:solidFill>
                          </a:ln>
                        </wps:spPr>
                        <wps:txbx>
                          <w:txbxContent>
                            <w:p w14:paraId="08B608E2" w14:textId="77777777" w:rsidR="00064484" w:rsidRPr="00B53F1A" w:rsidRDefault="00064484" w:rsidP="000B585B">
                              <w:pPr>
                                <w:pStyle w:val="NormalWeb"/>
                                <w:spacing w:before="0" w:beforeAutospacing="0" w:after="0" w:afterAutospacing="0" w:line="252" w:lineRule="auto"/>
                                <w:jc w:val="center"/>
                                <w:rPr>
                                  <w:sz w:val="18"/>
                                  <w:szCs w:val="18"/>
                                </w:rPr>
                              </w:pPr>
                              <w:r w:rsidRPr="00B53F1A">
                                <w:rPr>
                                  <w:rFonts w:ascii="Calibri" w:eastAsia="Calibri" w:hAnsi="Calibri"/>
                                  <w:sz w:val="18"/>
                                  <w:szCs w:val="18"/>
                                </w:rPr>
                                <w:t>Manage contract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Text Box 2"/>
                        <wps:cNvSpPr txBox="1"/>
                        <wps:spPr>
                          <a:xfrm>
                            <a:off x="2968725" y="1200089"/>
                            <a:ext cx="971550" cy="612683"/>
                          </a:xfrm>
                          <a:prstGeom prst="rect">
                            <a:avLst/>
                          </a:prstGeom>
                          <a:solidFill>
                            <a:schemeClr val="lt1"/>
                          </a:solidFill>
                          <a:ln w="6350">
                            <a:solidFill>
                              <a:prstClr val="black"/>
                            </a:solidFill>
                          </a:ln>
                        </wps:spPr>
                        <wps:txbx>
                          <w:txbxContent>
                            <w:p w14:paraId="4A7F8E2F" w14:textId="77777777" w:rsidR="00064484" w:rsidRPr="00B53F1A" w:rsidRDefault="00064484" w:rsidP="000B585B">
                              <w:pPr>
                                <w:pStyle w:val="NormalWeb"/>
                                <w:spacing w:before="0" w:beforeAutospacing="0" w:after="0" w:afterAutospacing="0" w:line="252" w:lineRule="auto"/>
                                <w:jc w:val="center"/>
                                <w:rPr>
                                  <w:sz w:val="18"/>
                                  <w:szCs w:val="18"/>
                                </w:rPr>
                              </w:pPr>
                              <w:r>
                                <w:rPr>
                                  <w:rFonts w:ascii="Calibri" w:eastAsia="Calibri" w:hAnsi="Calibri"/>
                                  <w:sz w:val="18"/>
                                  <w:szCs w:val="18"/>
                                </w:rPr>
                                <w:t>Review or close c</w:t>
                              </w:r>
                              <w:r w:rsidRPr="00B53F1A">
                                <w:rPr>
                                  <w:rFonts w:ascii="Calibri" w:eastAsia="Calibri" w:hAnsi="Calibri"/>
                                  <w:sz w:val="18"/>
                                  <w:szCs w:val="18"/>
                                </w:rPr>
                                <w:t>ontract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5" name="Text Box 2"/>
                        <wps:cNvSpPr txBox="1"/>
                        <wps:spPr>
                          <a:xfrm>
                            <a:off x="4269305" y="1191540"/>
                            <a:ext cx="971550" cy="621016"/>
                          </a:xfrm>
                          <a:prstGeom prst="rect">
                            <a:avLst/>
                          </a:prstGeom>
                          <a:solidFill>
                            <a:schemeClr val="lt1"/>
                          </a:solidFill>
                          <a:ln w="6350">
                            <a:solidFill>
                              <a:prstClr val="black"/>
                            </a:solidFill>
                          </a:ln>
                        </wps:spPr>
                        <wps:txbx>
                          <w:txbxContent>
                            <w:p w14:paraId="1A7E70E0" w14:textId="77777777" w:rsidR="00064484" w:rsidRPr="00B53F1A" w:rsidRDefault="00064484" w:rsidP="000B585B">
                              <w:pPr>
                                <w:pStyle w:val="NormalWeb"/>
                                <w:spacing w:before="0" w:beforeAutospacing="0" w:after="0" w:afterAutospacing="0" w:line="252" w:lineRule="auto"/>
                                <w:jc w:val="center"/>
                                <w:rPr>
                                  <w:sz w:val="18"/>
                                  <w:szCs w:val="18"/>
                                </w:rPr>
                              </w:pPr>
                              <w:r>
                                <w:rPr>
                                  <w:rFonts w:ascii="Calibri" w:eastAsia="Calibri" w:hAnsi="Calibri"/>
                                  <w:sz w:val="18"/>
                                  <w:szCs w:val="18"/>
                                </w:rPr>
                                <w:t>D</w:t>
                              </w:r>
                              <w:r w:rsidRPr="00B53F1A">
                                <w:rPr>
                                  <w:rFonts w:ascii="Calibri" w:eastAsia="Calibri" w:hAnsi="Calibri"/>
                                  <w:sz w:val="18"/>
                                  <w:szCs w:val="18"/>
                                </w:rPr>
                                <w:t>ispos</w:t>
                              </w:r>
                              <w:r>
                                <w:rPr>
                                  <w:rFonts w:ascii="Calibri" w:eastAsia="Calibri" w:hAnsi="Calibri"/>
                                  <w:sz w:val="18"/>
                                  <w:szCs w:val="18"/>
                                </w:rPr>
                                <w:t>e of</w:t>
                              </w:r>
                              <w:r w:rsidRPr="00B53F1A">
                                <w:rPr>
                                  <w:rFonts w:ascii="Calibri" w:eastAsia="Calibri" w:hAnsi="Calibri"/>
                                  <w:sz w:val="18"/>
                                  <w:szCs w:val="18"/>
                                </w:rPr>
                                <w:t xml:space="preserve"> </w:t>
                              </w:r>
                              <w:r>
                                <w:rPr>
                                  <w:rFonts w:ascii="Calibri" w:eastAsia="Calibri" w:hAnsi="Calibri"/>
                                  <w:sz w:val="18"/>
                                  <w:szCs w:val="18"/>
                                </w:rPr>
                                <w:t>a</w:t>
                              </w:r>
                              <w:r w:rsidRPr="00B53F1A">
                                <w:rPr>
                                  <w:rFonts w:ascii="Calibri" w:eastAsia="Calibri" w:hAnsi="Calibri"/>
                                  <w:sz w:val="18"/>
                                  <w:szCs w:val="18"/>
                                </w:rPr>
                                <w:t>sset</w:t>
                              </w:r>
                              <w:r>
                                <w:rPr>
                                  <w:rFonts w:ascii="Calibri" w:eastAsia="Calibri" w:hAnsi="Calibri"/>
                                  <w:sz w:val="18"/>
                                  <w:szCs w:val="18"/>
                                </w:rPr>
                                <w:t>s</w:t>
                              </w:r>
                              <w:r w:rsidRPr="00B53F1A">
                                <w:rPr>
                                  <w:rFonts w:ascii="Calibri" w:eastAsia="Calibri" w:hAnsi="Calibri"/>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6" name="Straight Arrow Connector 336"/>
                        <wps:cNvCnPr/>
                        <wps:spPr>
                          <a:xfrm flipV="1">
                            <a:off x="1245676" y="555360"/>
                            <a:ext cx="389549" cy="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7" name="Straight Arrow Connector 337"/>
                        <wps:cNvCnPr/>
                        <wps:spPr>
                          <a:xfrm>
                            <a:off x="2606775" y="555360"/>
                            <a:ext cx="352425" cy="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 name="Straight Arrow Connector 338"/>
                        <wps:cNvCnPr/>
                        <wps:spPr>
                          <a:xfrm>
                            <a:off x="3930750" y="555366"/>
                            <a:ext cx="333375" cy="191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9" name="Straight Arrow Connector 339"/>
                        <wps:cNvCnPr/>
                        <wps:spPr>
                          <a:xfrm>
                            <a:off x="1226626" y="1478826"/>
                            <a:ext cx="389549" cy="13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0" name="Straight Arrow Connector 340"/>
                        <wps:cNvCnPr/>
                        <wps:spPr>
                          <a:xfrm>
                            <a:off x="2587725" y="1492625"/>
                            <a:ext cx="381000" cy="138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1" name="Straight Arrow Connector 341"/>
                        <wps:cNvCnPr/>
                        <wps:spPr>
                          <a:xfrm flipV="1">
                            <a:off x="3940275" y="1502048"/>
                            <a:ext cx="329030" cy="43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2" name="Connector: Elbow 342"/>
                        <wps:cNvCnPr/>
                        <wps:spPr>
                          <a:xfrm flipH="1">
                            <a:off x="255076" y="574492"/>
                            <a:ext cx="4980599" cy="904334"/>
                          </a:xfrm>
                          <a:prstGeom prst="bentConnector5">
                            <a:avLst>
                              <a:gd name="adj1" fmla="val -4590"/>
                              <a:gd name="adj2" fmla="val 51023"/>
                              <a:gd name="adj3" fmla="val 104590"/>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19C6341" id="Canvas 343" o:spid="_x0000_s1026" editas="canvas" alt="Diagram showing the eight steps in the procurement lifecycle" style="width:454.8pt;height:157.15pt;mso-position-horizontal-relative:char;mso-position-vertical-relative:line" coordsize="57759,1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agram showing the eight steps in the procurement lifecycle" style="position:absolute;width:57759;height:19958;visibility:visible;mso-wrap-style:square">
                  <v:fill o:detectmouseclick="t"/>
                  <v:path o:connecttype="none"/>
                </v:shape>
                <v:shapetype id="_x0000_t202" coordsize="21600,21600" o:spt="202" path="m,l,21600r21600,l21600,xe">
                  <v:stroke joinstyle="miter"/>
                  <v:path gradientshapeok="t" o:connecttype="rect"/>
                </v:shapetype>
                <v:shape id="Text Box 121" o:spid="_x0000_s1028" type="#_x0000_t202" style="position:absolute;left:2741;top:2220;width:9715;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" fillcolor="white [3201]" strokeweight=".5pt">
                  <v:textbox>
                    <w:txbxContent>
                      <w:p w14:paraId="4CF2DC27" w14:textId="77777777" w:rsidR="00064484" w:rsidRPr="00B53F1A" w:rsidRDefault="00064484" w:rsidP="000B585B">
                        <w:pPr>
                          <w:jc w:val="center"/>
                          <w:rPr>
                            <w:rFonts w:asciiTheme="majorHAnsi" w:hAnsiTheme="majorHAnsi"/>
                            <w:sz w:val="18"/>
                            <w:szCs w:val="18"/>
                          </w:rPr>
                        </w:pPr>
                        <w:r w:rsidRPr="00B53F1A">
                          <w:rPr>
                            <w:rFonts w:asciiTheme="majorHAnsi" w:hAnsiTheme="majorHAnsi"/>
                            <w:sz w:val="18"/>
                            <w:szCs w:val="18"/>
                          </w:rPr>
                          <w:t>Review procurement need</w:t>
                        </w:r>
                      </w:p>
                    </w:txbxContent>
                  </v:textbox>
                </v:shape>
                <v:shape id="Text Box 2" o:spid="_x0000_s1029" type="#_x0000_t202" style="position:absolute;left:16352;top:2220;width:9715;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" fillcolor="white [3201]" strokeweight=".5pt">
                  <v:textbox>
                    <w:txbxContent>
                      <w:p w14:paraId="1BF4AE92" w14:textId="77777777" w:rsidR="00064484" w:rsidRPr="00B53F1A" w:rsidRDefault="00064484" w:rsidP="000B585B">
                        <w:pPr>
                          <w:pStyle w:val="NormalWeb"/>
                          <w:spacing w:before="0" w:beforeAutospacing="0" w:after="0" w:afterAutospacing="0" w:line="256" w:lineRule="auto"/>
                          <w:jc w:val="center"/>
                          <w:rPr>
                            <w:sz w:val="18"/>
                            <w:szCs w:val="18"/>
                          </w:rPr>
                        </w:pPr>
                        <w:r w:rsidRPr="00B53F1A">
                          <w:rPr>
                            <w:rFonts w:ascii="Calibri" w:eastAsia="Calibri" w:hAnsi="Calibri"/>
                            <w:sz w:val="18"/>
                            <w:szCs w:val="18"/>
                          </w:rPr>
                          <w:t>Conduct market analysis</w:t>
                        </w:r>
                      </w:p>
                    </w:txbxContent>
                  </v:textbox>
                </v:shape>
                <v:shape id="Text Box 2" o:spid="_x0000_s1030" type="#_x0000_t202" style="position:absolute;left:29592;top:2220;width:9715;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" fillcolor="white [3201]" strokeweight=".5pt">
                  <v:textbox>
                    <w:txbxContent>
                      <w:p w14:paraId="14D9C7D2" w14:textId="77777777" w:rsidR="00064484" w:rsidRPr="00B53F1A" w:rsidRDefault="00064484" w:rsidP="000B585B">
                        <w:pPr>
                          <w:pStyle w:val="NormalWeb"/>
                          <w:spacing w:before="0" w:beforeAutospacing="0" w:after="0" w:afterAutospacing="0" w:line="254" w:lineRule="auto"/>
                          <w:jc w:val="center"/>
                          <w:rPr>
                            <w:sz w:val="18"/>
                            <w:szCs w:val="18"/>
                          </w:rPr>
                        </w:pPr>
                        <w:r w:rsidRPr="00B53F1A">
                          <w:rPr>
                            <w:rFonts w:ascii="Calibri" w:eastAsia="Calibri" w:hAnsi="Calibri"/>
                            <w:sz w:val="18"/>
                            <w:szCs w:val="18"/>
                          </w:rPr>
                          <w:t>Develop market approach plan</w:t>
                        </w:r>
                        <w:r>
                          <w:rPr>
                            <w:rFonts w:ascii="Calibri" w:eastAsia="Calibri" w:hAnsi="Calibri"/>
                            <w:sz w:val="18"/>
                            <w:szCs w:val="18"/>
                          </w:rPr>
                          <w:t xml:space="preserve"> and engage the market</w:t>
                        </w:r>
                      </w:p>
                    </w:txbxContent>
                  </v:textbox>
                </v:shape>
                <v:shape id="Text Box 2" o:spid="_x0000_s1031" type="#_x0000_t202" style="position:absolute;left:42641;top:2315;width:9715;height: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" fillcolor="white [3201]" strokeweight=".5pt">
                  <v:textbox>
                    <w:txbxContent>
                      <w:p w14:paraId="01D38049" w14:textId="77777777" w:rsidR="00064484" w:rsidRPr="00B53F1A" w:rsidRDefault="00064484" w:rsidP="000B585B">
                        <w:pPr>
                          <w:pStyle w:val="NormalWeb"/>
                          <w:spacing w:before="0" w:beforeAutospacing="0" w:after="0" w:afterAutospacing="0" w:line="252" w:lineRule="auto"/>
                          <w:jc w:val="center"/>
                          <w:rPr>
                            <w:sz w:val="18"/>
                            <w:szCs w:val="18"/>
                          </w:rPr>
                        </w:pPr>
                        <w:r w:rsidRPr="00B53F1A">
                          <w:rPr>
                            <w:rFonts w:ascii="Calibri" w:eastAsia="Calibri" w:hAnsi="Calibri"/>
                            <w:sz w:val="18"/>
                            <w:szCs w:val="18"/>
                          </w:rPr>
                          <w:t>Evaluate, negotiate and select supplier</w:t>
                        </w:r>
                      </w:p>
                    </w:txbxContent>
                  </v:textbox>
                </v:shape>
                <v:shape id="Text Box 2" o:spid="_x0000_s1032" type="#_x0000_t202" style="position:absolute;left:2550;top:11544;width:9716;height:6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" fillcolor="white [3201]" strokeweight=".5pt">
                  <v:textbox>
                    <w:txbxContent>
                      <w:p w14:paraId="29ED1E74" w14:textId="77777777" w:rsidR="00064484" w:rsidRPr="00B53F1A" w:rsidRDefault="00064484" w:rsidP="000B585B">
                        <w:pPr>
                          <w:pStyle w:val="NormalWeb"/>
                          <w:spacing w:before="0" w:beforeAutospacing="0" w:after="0" w:afterAutospacing="0" w:line="252" w:lineRule="auto"/>
                          <w:jc w:val="center"/>
                          <w:rPr>
                            <w:sz w:val="18"/>
                            <w:szCs w:val="18"/>
                          </w:rPr>
                        </w:pPr>
                        <w:r w:rsidRPr="00B53F1A">
                          <w:rPr>
                            <w:rFonts w:ascii="Calibri" w:eastAsia="Calibri" w:hAnsi="Calibri"/>
                            <w:sz w:val="18"/>
                            <w:szCs w:val="18"/>
                          </w:rPr>
                          <w:t>Create and commit to contract</w:t>
                        </w:r>
                      </w:p>
                    </w:txbxContent>
                  </v:textbox>
                </v:shape>
                <v:shape id="Text Box 2" o:spid="_x0000_s1033" type="#_x0000_t202" style="position:absolute;left:16161;top:11820;width:9716;height:6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" fillcolor="white [3201]" strokeweight=".5pt">
                  <v:textbox>
                    <w:txbxContent>
                      <w:p w14:paraId="08B608E2" w14:textId="77777777" w:rsidR="00064484" w:rsidRPr="00B53F1A" w:rsidRDefault="00064484" w:rsidP="000B585B">
                        <w:pPr>
                          <w:pStyle w:val="NormalWeb"/>
                          <w:spacing w:before="0" w:beforeAutospacing="0" w:after="0" w:afterAutospacing="0" w:line="252" w:lineRule="auto"/>
                          <w:jc w:val="center"/>
                          <w:rPr>
                            <w:sz w:val="18"/>
                            <w:szCs w:val="18"/>
                          </w:rPr>
                        </w:pPr>
                        <w:r w:rsidRPr="00B53F1A">
                          <w:rPr>
                            <w:rFonts w:ascii="Calibri" w:eastAsia="Calibri" w:hAnsi="Calibri"/>
                            <w:sz w:val="18"/>
                            <w:szCs w:val="18"/>
                          </w:rPr>
                          <w:t>Manage contract</w:t>
                        </w:r>
                      </w:p>
                    </w:txbxContent>
                  </v:textbox>
                </v:shape>
                <v:shape id="Text Box 2" o:spid="_x0000_s1034" type="#_x0000_t202" style="position:absolute;left:29687;top:12000;width:9715;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" fillcolor="white [3201]" strokeweight=".5pt">
                  <v:textbox>
                    <w:txbxContent>
                      <w:p w14:paraId="4A7F8E2F" w14:textId="77777777" w:rsidR="00064484" w:rsidRPr="00B53F1A" w:rsidRDefault="00064484" w:rsidP="000B585B">
                        <w:pPr>
                          <w:pStyle w:val="NormalWeb"/>
                          <w:spacing w:before="0" w:beforeAutospacing="0" w:after="0" w:afterAutospacing="0" w:line="252" w:lineRule="auto"/>
                          <w:jc w:val="center"/>
                          <w:rPr>
                            <w:sz w:val="18"/>
                            <w:szCs w:val="18"/>
                          </w:rPr>
                        </w:pPr>
                        <w:r>
                          <w:rPr>
                            <w:rFonts w:ascii="Calibri" w:eastAsia="Calibri" w:hAnsi="Calibri"/>
                            <w:sz w:val="18"/>
                            <w:szCs w:val="18"/>
                          </w:rPr>
                          <w:t>Review or close c</w:t>
                        </w:r>
                        <w:r w:rsidRPr="00B53F1A">
                          <w:rPr>
                            <w:rFonts w:ascii="Calibri" w:eastAsia="Calibri" w:hAnsi="Calibri"/>
                            <w:sz w:val="18"/>
                            <w:szCs w:val="18"/>
                          </w:rPr>
                          <w:t>ontract</w:t>
                        </w:r>
                      </w:p>
                    </w:txbxContent>
                  </v:textbox>
                </v:shape>
                <v:shape id="Text Box 2" o:spid="_x0000_s1035" type="#_x0000_t202" style="position:absolute;left:42693;top:11915;width:9715;height:6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" fillcolor="white [3201]" strokeweight=".5pt">
                  <v:textbox>
                    <w:txbxContent>
                      <w:p w14:paraId="1A7E70E0" w14:textId="77777777" w:rsidR="00064484" w:rsidRPr="00B53F1A" w:rsidRDefault="00064484" w:rsidP="000B585B">
                        <w:pPr>
                          <w:pStyle w:val="NormalWeb"/>
                          <w:spacing w:before="0" w:beforeAutospacing="0" w:after="0" w:afterAutospacing="0" w:line="252" w:lineRule="auto"/>
                          <w:jc w:val="center"/>
                          <w:rPr>
                            <w:sz w:val="18"/>
                            <w:szCs w:val="18"/>
                          </w:rPr>
                        </w:pPr>
                        <w:r>
                          <w:rPr>
                            <w:rFonts w:ascii="Calibri" w:eastAsia="Calibri" w:hAnsi="Calibri"/>
                            <w:sz w:val="18"/>
                            <w:szCs w:val="18"/>
                          </w:rPr>
                          <w:t>D</w:t>
                        </w:r>
                        <w:r w:rsidRPr="00B53F1A">
                          <w:rPr>
                            <w:rFonts w:ascii="Calibri" w:eastAsia="Calibri" w:hAnsi="Calibri"/>
                            <w:sz w:val="18"/>
                            <w:szCs w:val="18"/>
                          </w:rPr>
                          <w:t>ispos</w:t>
                        </w:r>
                        <w:r>
                          <w:rPr>
                            <w:rFonts w:ascii="Calibri" w:eastAsia="Calibri" w:hAnsi="Calibri"/>
                            <w:sz w:val="18"/>
                            <w:szCs w:val="18"/>
                          </w:rPr>
                          <w:t>e of</w:t>
                        </w:r>
                        <w:r w:rsidRPr="00B53F1A">
                          <w:rPr>
                            <w:rFonts w:ascii="Calibri" w:eastAsia="Calibri" w:hAnsi="Calibri"/>
                            <w:sz w:val="18"/>
                            <w:szCs w:val="18"/>
                          </w:rPr>
                          <w:t xml:space="preserve"> </w:t>
                        </w:r>
                        <w:r>
                          <w:rPr>
                            <w:rFonts w:ascii="Calibri" w:eastAsia="Calibri" w:hAnsi="Calibri"/>
                            <w:sz w:val="18"/>
                            <w:szCs w:val="18"/>
                          </w:rPr>
                          <w:t>a</w:t>
                        </w:r>
                        <w:r w:rsidRPr="00B53F1A">
                          <w:rPr>
                            <w:rFonts w:ascii="Calibri" w:eastAsia="Calibri" w:hAnsi="Calibri"/>
                            <w:sz w:val="18"/>
                            <w:szCs w:val="18"/>
                          </w:rPr>
                          <w:t>sset</w:t>
                        </w:r>
                        <w:r>
                          <w:rPr>
                            <w:rFonts w:ascii="Calibri" w:eastAsia="Calibri" w:hAnsi="Calibri"/>
                            <w:sz w:val="18"/>
                            <w:szCs w:val="18"/>
                          </w:rPr>
                          <w:t>s</w:t>
                        </w:r>
                        <w:r w:rsidRPr="00B53F1A">
                          <w:rPr>
                            <w:rFonts w:ascii="Calibri" w:eastAsia="Calibri" w:hAnsi="Calibri"/>
                            <w:sz w:val="18"/>
                            <w:szCs w:val="18"/>
                          </w:rPr>
                          <w:t xml:space="preserve"> </w:t>
                        </w:r>
                      </w:p>
                    </w:txbxContent>
                  </v:textbox>
                </v:shape>
                <v:shapetype id="_x0000_t32" coordsize="21600,21600" o:spt="32" o:oned="t" path="m,l21600,21600e" filled="f">
                  <v:path arrowok="t" fillok="f" o:connecttype="none"/>
                  <o:lock v:ext="edit" shapetype="t"/>
                </v:shapetype>
                <v:shape id="Straight Arrow Connector 336" o:spid="_x0000_s1036" type="#_x0000_t32" style="position:absolute;left:12456;top:5553;width:3896;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" strokecolor="#4579b8 [3044]">
                  <v:stroke endarrow="block"/>
                </v:shape>
                <v:shape id="Straight Arrow Connector 337" o:spid="_x0000_s1037" type="#_x0000_t32" style="position:absolute;left:26067;top:5553;width:3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" strokecolor="#4579b8 [3044]">
                  <v:stroke endarrow="block"/>
                </v:shape>
                <v:shape id="Straight Arrow Connector 338" o:spid="_x0000_s1038" type="#_x0000_t32" style="position:absolute;left:39307;top:5553;width:3334;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" strokecolor="#4579b8 [3044]">
                  <v:stroke endarrow="block"/>
                </v:shape>
                <v:shape id="Straight Arrow Connector 339" o:spid="_x0000_s1039" type="#_x0000_t32" style="position:absolute;left:12266;top:14788;width:3895;height: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" strokecolor="#4579b8 [3044]">
                  <v:stroke endarrow="block"/>
                </v:shape>
                <v:shape id="Straight Arrow Connector 340" o:spid="_x0000_s1040" type="#_x0000_t32" style="position:absolute;left:25877;top:14926;width:3810;height: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" strokecolor="#4579b8 [3044]">
                  <v:stroke endarrow="block"/>
                </v:shape>
                <v:shape id="Straight Arrow Connector 341" o:spid="_x0000_s1041" type="#_x0000_t32" style="position:absolute;left:39402;top:15020;width:3291;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" strokecolor="#4579b8 [3044]">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Connector: Elbow 342" o:spid="_x0000_s1042" type="#_x0000_t36" style="position:absolute;left:2550;top:5744;width:49806;height:904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" adj="-991,11021,22591" strokecolor="#4579b8 [3044]">
                  <v:stroke endarrow="block"/>
                </v:shape>
                <w10:anchorlock/>
              </v:group>
            </w:pict>
          </mc:Fallback>
        </mc:AlternateContent>
      </w:r>
    </w:p>
    <w:p w14:paraId="5CE6F36A" w14:textId="4ADA8054" w:rsidR="000B585B" w:rsidRDefault="000B585B" w:rsidP="000B585B">
      <w:pPr>
        <w:pStyle w:val="Caption"/>
      </w:pPr>
      <w:bookmarkStart w:id="19" w:name="_Ref34734379"/>
      <w:r w:rsidRPr="0084604C">
        <w:t xml:space="preserve">Figure </w:t>
      </w:r>
      <w:r w:rsidRPr="0084604C">
        <w:rPr>
          <w:noProof/>
        </w:rPr>
        <w:fldChar w:fldCharType="begin"/>
      </w:r>
      <w:r w:rsidRPr="0084604C">
        <w:rPr>
          <w:noProof/>
        </w:rPr>
        <w:instrText xml:space="preserve"> SEQ Figure \* ARABIC </w:instrText>
      </w:r>
      <w:r w:rsidRPr="0084604C">
        <w:rPr>
          <w:noProof/>
        </w:rPr>
        <w:fldChar w:fldCharType="separate"/>
      </w:r>
      <w:r w:rsidR="00152B74">
        <w:rPr>
          <w:noProof/>
        </w:rPr>
        <w:t>1</w:t>
      </w:r>
      <w:r w:rsidRPr="0084604C">
        <w:rPr>
          <w:noProof/>
        </w:rPr>
        <w:fldChar w:fldCharType="end"/>
      </w:r>
      <w:bookmarkEnd w:id="19"/>
      <w:r w:rsidRPr="0084604C">
        <w:t xml:space="preserve">: </w:t>
      </w:r>
      <w:r>
        <w:t xml:space="preserve">The </w:t>
      </w:r>
      <w:r w:rsidRPr="0084604C">
        <w:t>procurement lifecycle</w:t>
      </w:r>
    </w:p>
    <w:p w14:paraId="5A507D62" w14:textId="77777777" w:rsidR="000B585B" w:rsidRDefault="000B585B" w:rsidP="00EE1CED">
      <w:pPr>
        <w:pStyle w:val="Normal1"/>
        <w:rPr>
          <w:lang w:eastAsia="en-US"/>
        </w:rPr>
      </w:pPr>
    </w:p>
    <w:p w14:paraId="6AFA125B" w14:textId="77777777" w:rsidR="005457D0" w:rsidRDefault="005457D0" w:rsidP="005457D0">
      <w:pPr>
        <w:pStyle w:val="Heading2NoNum"/>
      </w:pPr>
      <w:bookmarkStart w:id="20" w:name="_Toc52187710"/>
      <w:bookmarkEnd w:id="16"/>
      <w:bookmarkEnd w:id="17"/>
      <w:bookmarkEnd w:id="18"/>
      <w:r>
        <w:lastRenderedPageBreak/>
        <w:t>The VGPB at a glance</w:t>
      </w:r>
      <w:bookmarkEnd w:id="20"/>
    </w:p>
    <w:p w14:paraId="169F2087" w14:textId="77777777" w:rsidR="00360875" w:rsidRDefault="00360875" w:rsidP="00360875">
      <w:pPr>
        <w:pStyle w:val="Normal1"/>
      </w:pPr>
      <w:r>
        <w:rPr>
          <w:noProof/>
          <w:lang w:val="en-US" w:eastAsia="en-US"/>
        </w:rPr>
        <mc:AlternateContent>
          <mc:Choice Requires="wpc">
            <w:drawing>
              <wp:inline distT="0" distB="0" distL="0" distR="0" wp14:anchorId="2DCC86AE" wp14:editId="14CEBACF">
                <wp:extent cx="5791200" cy="6438901"/>
                <wp:effectExtent l="0" t="0" r="0" b="0"/>
                <wp:docPr id="58" name="Canvas 58" descr="Diagram explaining the VGPB's vision, mission, principles, policies, strategy and network. "/>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52401" y="35999"/>
                            <a:ext cx="1733550" cy="1592776"/>
                          </a:xfrm>
                          <a:prstGeom prst="rect">
                            <a:avLst/>
                          </a:prstGeom>
                          <a:solidFill>
                            <a:schemeClr val="lt1"/>
                          </a:solidFill>
                          <a:ln w="6350">
                            <a:solidFill>
                              <a:prstClr val="black"/>
                            </a:solidFill>
                          </a:ln>
                        </wps:spPr>
                        <wps:txbx>
                          <w:txbxContent>
                            <w:p w14:paraId="49DB4F9A" w14:textId="77777777" w:rsidR="00064484" w:rsidRPr="00692D89" w:rsidRDefault="00064484" w:rsidP="00360875">
                              <w:pPr>
                                <w:pStyle w:val="NormalWeb"/>
                                <w:spacing w:before="0" w:beforeAutospacing="0" w:after="160" w:afterAutospacing="0" w:line="256" w:lineRule="auto"/>
                                <w:rPr>
                                  <w:rFonts w:ascii="Calibri" w:eastAsia="Calibri" w:hAnsi="Calibri"/>
                                  <w:sz w:val="28"/>
                                  <w:szCs w:val="28"/>
                                </w:rPr>
                              </w:pPr>
                              <w:r>
                                <w:rPr>
                                  <w:rFonts w:ascii="Calibri" w:eastAsia="Calibri" w:hAnsi="Calibri"/>
                                  <w:sz w:val="28"/>
                                  <w:szCs w:val="28"/>
                                </w:rPr>
                                <w:t>V</w:t>
                              </w:r>
                              <w:r w:rsidRPr="00692D89">
                                <w:rPr>
                                  <w:rFonts w:ascii="Calibri" w:eastAsia="Calibri" w:hAnsi="Calibri"/>
                                  <w:sz w:val="28"/>
                                  <w:szCs w:val="28"/>
                                </w:rPr>
                                <w:t xml:space="preserve">ision </w:t>
                              </w:r>
                            </w:p>
                            <w:p w14:paraId="7D899445" w14:textId="77777777" w:rsidR="00064484" w:rsidRPr="00692D89" w:rsidRDefault="00064484"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P</w:t>
                              </w:r>
                              <w:r w:rsidRPr="00692D89">
                                <w:rPr>
                                  <w:rFonts w:ascii="Calibri" w:eastAsia="Calibri" w:hAnsi="Calibri"/>
                                  <w:sz w:val="22"/>
                                  <w:szCs w:val="22"/>
                                </w:rPr>
                                <w:t>rovide leadership in government procurement of goods and services to deliver value-for-money outcomes for Victoria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2"/>
                        <wps:cNvSpPr txBox="1"/>
                        <wps:spPr>
                          <a:xfrm>
                            <a:off x="1962150" y="36002"/>
                            <a:ext cx="3695700" cy="1592773"/>
                          </a:xfrm>
                          <a:prstGeom prst="rect">
                            <a:avLst/>
                          </a:prstGeom>
                          <a:solidFill>
                            <a:schemeClr val="lt1"/>
                          </a:solidFill>
                          <a:ln w="6350">
                            <a:solidFill>
                              <a:prstClr val="black"/>
                            </a:solidFill>
                          </a:ln>
                        </wps:spPr>
                        <wps:txbx>
                          <w:txbxContent>
                            <w:p w14:paraId="75A01C05" w14:textId="77777777" w:rsidR="00064484" w:rsidRDefault="00064484" w:rsidP="00360875">
                              <w:pPr>
                                <w:pStyle w:val="NormalWeb"/>
                                <w:spacing w:before="0" w:beforeAutospacing="0" w:after="160" w:afterAutospacing="0" w:line="256" w:lineRule="auto"/>
                              </w:pPr>
                              <w:r>
                                <w:rPr>
                                  <w:rFonts w:ascii="Calibri" w:eastAsia="Calibri" w:hAnsi="Calibri"/>
                                  <w:sz w:val="28"/>
                                  <w:szCs w:val="28"/>
                                </w:rPr>
                                <w:t>Mission</w:t>
                              </w:r>
                            </w:p>
                            <w:p w14:paraId="1A5FF58A" w14:textId="77777777" w:rsidR="00064484" w:rsidRDefault="00064484"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Ensure government:</w:t>
                              </w:r>
                            </w:p>
                            <w:p w14:paraId="6E5B5D36"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develops procurement capability</w:t>
                              </w:r>
                            </w:p>
                            <w:p w14:paraId="4213D5A8" w14:textId="77777777" w:rsidR="00064484" w:rsidRPr="00BE46D1"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delivers value</w:t>
                              </w:r>
                              <w:r>
                                <w:rPr>
                                  <w:rFonts w:ascii="Calibri" w:eastAsia="Calibri" w:hAnsi="Calibri"/>
                                  <w:sz w:val="22"/>
                                  <w:szCs w:val="22"/>
                                </w:rPr>
                                <w:t>-</w:t>
                              </w:r>
                              <w:r w:rsidRPr="00BE46D1">
                                <w:rPr>
                                  <w:rFonts w:ascii="Calibri" w:eastAsia="Calibri" w:hAnsi="Calibri"/>
                                  <w:sz w:val="22"/>
                                  <w:szCs w:val="22"/>
                                </w:rPr>
                                <w:t>for</w:t>
                              </w:r>
                              <w:r>
                                <w:rPr>
                                  <w:rFonts w:ascii="Calibri" w:eastAsia="Calibri" w:hAnsi="Calibri"/>
                                  <w:sz w:val="22"/>
                                  <w:szCs w:val="22"/>
                                </w:rPr>
                                <w:t>-</w:t>
                              </w:r>
                              <w:r w:rsidRPr="00BE46D1">
                                <w:rPr>
                                  <w:rFonts w:ascii="Calibri" w:eastAsia="Calibri" w:hAnsi="Calibri"/>
                                  <w:sz w:val="22"/>
                                  <w:szCs w:val="22"/>
                                </w:rPr>
                                <w:t>money and fit</w:t>
                              </w:r>
                              <w:r>
                                <w:rPr>
                                  <w:rFonts w:ascii="Calibri" w:eastAsia="Calibri" w:hAnsi="Calibri"/>
                                  <w:sz w:val="22"/>
                                  <w:szCs w:val="22"/>
                                </w:rPr>
                                <w:t>-</w:t>
                              </w:r>
                              <w:r w:rsidRPr="00BE46D1">
                                <w:rPr>
                                  <w:rFonts w:ascii="Calibri" w:eastAsia="Calibri" w:hAnsi="Calibri"/>
                                  <w:sz w:val="22"/>
                                  <w:szCs w:val="22"/>
                                </w:rPr>
                                <w:t>for</w:t>
                              </w:r>
                              <w:r>
                                <w:rPr>
                                  <w:rFonts w:ascii="Calibri" w:eastAsia="Calibri" w:hAnsi="Calibri"/>
                                  <w:sz w:val="22"/>
                                  <w:szCs w:val="22"/>
                                </w:rPr>
                                <w:t>-</w:t>
                              </w:r>
                              <w:r w:rsidRPr="00BE46D1">
                                <w:rPr>
                                  <w:rFonts w:ascii="Calibri" w:eastAsia="Calibri" w:hAnsi="Calibri"/>
                                  <w:sz w:val="22"/>
                                  <w:szCs w:val="22"/>
                                </w:rPr>
                                <w:t>purpose outcomes</w:t>
                              </w:r>
                            </w:p>
                            <w:p w14:paraId="0DF85D62"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minimises risk</w:t>
                              </w:r>
                            </w:p>
                            <w:p w14:paraId="0C2339CB" w14:textId="77777777" w:rsidR="00064484" w:rsidRPr="00BE46D1"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enables access to procurement opportunities for all businesses</w:t>
                              </w:r>
                            </w:p>
                            <w:p w14:paraId="3E6CD545" w14:textId="77777777" w:rsidR="00064484" w:rsidRDefault="00064484" w:rsidP="00360875">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2"/>
                        <wps:cNvSpPr txBox="1"/>
                        <wps:spPr>
                          <a:xfrm>
                            <a:off x="152401" y="1711006"/>
                            <a:ext cx="1744051" cy="1632269"/>
                          </a:xfrm>
                          <a:prstGeom prst="rect">
                            <a:avLst/>
                          </a:prstGeom>
                          <a:solidFill>
                            <a:schemeClr val="lt1"/>
                          </a:solidFill>
                          <a:ln w="6350">
                            <a:solidFill>
                              <a:prstClr val="black"/>
                            </a:solidFill>
                          </a:ln>
                        </wps:spPr>
                        <wps:txbx>
                          <w:txbxContent>
                            <w:p w14:paraId="2D560D19" w14:textId="77777777" w:rsidR="00064484" w:rsidRDefault="00064484" w:rsidP="00360875">
                              <w:pPr>
                                <w:pStyle w:val="NormalWeb"/>
                                <w:spacing w:before="0" w:beforeAutospacing="0" w:after="160" w:afterAutospacing="0" w:line="256" w:lineRule="auto"/>
                              </w:pPr>
                              <w:r>
                                <w:rPr>
                                  <w:rFonts w:ascii="Calibri" w:eastAsia="Calibri" w:hAnsi="Calibri"/>
                                  <w:sz w:val="28"/>
                                  <w:szCs w:val="28"/>
                                </w:rPr>
                                <w:t>Principles</w:t>
                              </w:r>
                            </w:p>
                            <w:p w14:paraId="59414BA0" w14:textId="77777777" w:rsidR="00064484" w:rsidRDefault="00064484"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All procurement activity must meet four principles:</w:t>
                              </w:r>
                            </w:p>
                            <w:p w14:paraId="38FF2745"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Value for money</w:t>
                              </w:r>
                            </w:p>
                            <w:p w14:paraId="2F925C5B"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Accountability</w:t>
                              </w:r>
                            </w:p>
                            <w:p w14:paraId="1CEDE42E"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Probity</w:t>
                              </w:r>
                            </w:p>
                            <w:p w14:paraId="6D57795F" w14:textId="77777777" w:rsidR="00064484" w:rsidRPr="00BE46D1"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Scalability</w:t>
                              </w:r>
                            </w:p>
                            <w:p w14:paraId="4FD82859" w14:textId="77777777" w:rsidR="00064484" w:rsidRDefault="00064484" w:rsidP="00360875">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2"/>
                        <wps:cNvSpPr txBox="1"/>
                        <wps:spPr>
                          <a:xfrm>
                            <a:off x="1962446" y="1701481"/>
                            <a:ext cx="3714454" cy="1632269"/>
                          </a:xfrm>
                          <a:prstGeom prst="rect">
                            <a:avLst/>
                          </a:prstGeom>
                          <a:solidFill>
                            <a:schemeClr val="lt1"/>
                          </a:solidFill>
                          <a:ln w="6350">
                            <a:solidFill>
                              <a:prstClr val="black"/>
                            </a:solidFill>
                          </a:ln>
                        </wps:spPr>
                        <wps:txbx>
                          <w:txbxContent>
                            <w:p w14:paraId="7574BBF7" w14:textId="77777777" w:rsidR="00064484" w:rsidRDefault="00064484" w:rsidP="00360875">
                              <w:pPr>
                                <w:pStyle w:val="NormalWeb"/>
                                <w:spacing w:before="0" w:beforeAutospacing="0" w:after="120" w:afterAutospacing="0" w:line="254" w:lineRule="auto"/>
                                <w:rPr>
                                  <w:rFonts w:ascii="Calibri" w:eastAsia="Calibri" w:hAnsi="Calibri"/>
                                  <w:sz w:val="28"/>
                                  <w:szCs w:val="28"/>
                                </w:rPr>
                              </w:pPr>
                              <w:r>
                                <w:rPr>
                                  <w:rFonts w:ascii="Calibri" w:eastAsia="Calibri" w:hAnsi="Calibri"/>
                                  <w:sz w:val="28"/>
                                  <w:szCs w:val="28"/>
                                </w:rPr>
                                <w:t xml:space="preserve">Policies </w:t>
                              </w:r>
                            </w:p>
                            <w:p w14:paraId="1A5BD69D" w14:textId="77777777" w:rsidR="00064484" w:rsidRDefault="00064484" w:rsidP="00360875">
                              <w:pPr>
                                <w:pStyle w:val="NormalWeb"/>
                                <w:spacing w:before="0" w:beforeAutospacing="0" w:after="40" w:afterAutospacing="0" w:line="254" w:lineRule="auto"/>
                              </w:pPr>
                              <w:r>
                                <w:rPr>
                                  <w:rFonts w:ascii="Calibri" w:eastAsia="Calibri" w:hAnsi="Calibri"/>
                                </w:rPr>
                                <w:t xml:space="preserve">Five policies to </w:t>
                              </w:r>
                              <w:r w:rsidRPr="00BE46D1">
                                <w:rPr>
                                  <w:rFonts w:ascii="Calibri" w:eastAsia="Calibri" w:hAnsi="Calibri"/>
                                </w:rPr>
                                <w:t>cover end-to-end procurement activity</w:t>
                              </w:r>
                              <w:r>
                                <w:rPr>
                                  <w:rFonts w:ascii="Calibri" w:eastAsia="Calibri" w:hAnsi="Calibri"/>
                                </w:rPr>
                                <w:t xml:space="preserve">: </w:t>
                              </w:r>
                            </w:p>
                            <w:p w14:paraId="5044FD75"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Governance</w:t>
                              </w:r>
                            </w:p>
                            <w:p w14:paraId="01BC42BB"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Complexity and capability assessment</w:t>
                              </w:r>
                            </w:p>
                            <w:p w14:paraId="2E58AF84"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Market analysis and review</w:t>
                              </w:r>
                            </w:p>
                            <w:p w14:paraId="1B521B8C"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Market approach</w:t>
                              </w:r>
                            </w:p>
                            <w:p w14:paraId="37F78401"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Contract management and contract disclosure</w:t>
                              </w:r>
                            </w:p>
                            <w:p w14:paraId="2D8FF268" w14:textId="77777777" w:rsidR="00064484" w:rsidRDefault="00064484" w:rsidP="00360875">
                              <w:pPr>
                                <w:pStyle w:val="NormalWeb"/>
                                <w:spacing w:before="0" w:beforeAutospacing="0" w:after="160" w:afterAutospacing="0" w:line="254" w:lineRule="auto"/>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2"/>
                        <wps:cNvSpPr txBox="1"/>
                        <wps:spPr>
                          <a:xfrm>
                            <a:off x="142875" y="3429000"/>
                            <a:ext cx="5524499" cy="1876425"/>
                          </a:xfrm>
                          <a:prstGeom prst="rect">
                            <a:avLst/>
                          </a:prstGeom>
                          <a:solidFill>
                            <a:schemeClr val="lt1"/>
                          </a:solidFill>
                          <a:ln w="6350">
                            <a:solidFill>
                              <a:prstClr val="black"/>
                            </a:solidFill>
                          </a:ln>
                        </wps:spPr>
                        <wps:txbx>
                          <w:txbxContent>
                            <w:p w14:paraId="4357C053" w14:textId="77777777" w:rsidR="00064484" w:rsidRDefault="00064484" w:rsidP="00360875">
                              <w:pPr>
                                <w:pStyle w:val="NormalWeb"/>
                                <w:spacing w:before="0" w:beforeAutospacing="0" w:after="160" w:afterAutospacing="0" w:line="254" w:lineRule="auto"/>
                              </w:pPr>
                              <w:r>
                                <w:rPr>
                                  <w:rFonts w:ascii="Calibri" w:eastAsia="Calibri" w:hAnsi="Calibri"/>
                                  <w:sz w:val="28"/>
                                  <w:szCs w:val="28"/>
                                </w:rPr>
                                <w:t>Strategy</w:t>
                              </w:r>
                            </w:p>
                            <w:p w14:paraId="187A1BC1" w14:textId="77777777" w:rsidR="00064484" w:rsidRPr="00576660" w:rsidRDefault="00064484" w:rsidP="00360875">
                              <w:pPr>
                                <w:pStyle w:val="NormalWeb"/>
                                <w:spacing w:before="0" w:beforeAutospacing="0" w:after="40" w:afterAutospacing="0" w:line="254" w:lineRule="auto"/>
                                <w:rPr>
                                  <w:rFonts w:ascii="Calibri" w:eastAsia="Calibri" w:hAnsi="Calibri"/>
                                  <w:sz w:val="22"/>
                                  <w:szCs w:val="22"/>
                                </w:rPr>
                              </w:pPr>
                              <w:r>
                                <w:rPr>
                                  <w:rFonts w:ascii="Calibri" w:eastAsia="Calibri" w:hAnsi="Calibri"/>
                                  <w:sz w:val="22"/>
                                  <w:szCs w:val="22"/>
                                </w:rPr>
                                <w:t xml:space="preserve">Five </w:t>
                              </w:r>
                              <w:r w:rsidRPr="00576660">
                                <w:rPr>
                                  <w:rFonts w:ascii="Calibri" w:eastAsia="Calibri" w:hAnsi="Calibri"/>
                                  <w:sz w:val="22"/>
                                  <w:szCs w:val="22"/>
                                </w:rPr>
                                <w:t>workstreams with multiple initiatives:</w:t>
                              </w:r>
                            </w:p>
                            <w:p w14:paraId="1F87684C" w14:textId="77777777" w:rsidR="00064484" w:rsidRPr="00576660" w:rsidRDefault="00064484" w:rsidP="00360875">
                              <w:pPr>
                                <w:pStyle w:val="ListParagraph"/>
                                <w:numPr>
                                  <w:ilvl w:val="0"/>
                                  <w:numId w:val="10"/>
                                </w:numPr>
                                <w:spacing w:before="0" w:after="0" w:line="254" w:lineRule="auto"/>
                              </w:pPr>
                              <w:r w:rsidRPr="00576660">
                                <w:rPr>
                                  <w:rFonts w:eastAsia="Calibri"/>
                                </w:rPr>
                                <w:t>Victoria’s Social Procurement Framework and reporting</w:t>
                              </w:r>
                            </w:p>
                            <w:p w14:paraId="28B8F364" w14:textId="77777777" w:rsidR="00064484" w:rsidRPr="00576660" w:rsidRDefault="00064484" w:rsidP="00360875">
                              <w:pPr>
                                <w:pStyle w:val="ListParagraph"/>
                                <w:numPr>
                                  <w:ilvl w:val="0"/>
                                  <w:numId w:val="10"/>
                                </w:numPr>
                                <w:spacing w:before="0" w:after="0" w:line="254" w:lineRule="auto"/>
                                <w:rPr>
                                  <w:rFonts w:eastAsia="Calibri"/>
                                </w:rPr>
                              </w:pPr>
                              <w:r w:rsidRPr="00576660">
                                <w:rPr>
                                  <w:rFonts w:eastAsia="Calibri"/>
                                </w:rPr>
                                <w:t>Governance, extending the reach</w:t>
                              </w:r>
                            </w:p>
                            <w:p w14:paraId="5A5E1D9E" w14:textId="77777777" w:rsidR="00064484" w:rsidRPr="00576660" w:rsidRDefault="00064484" w:rsidP="00360875">
                              <w:pPr>
                                <w:pStyle w:val="ListParagraph"/>
                                <w:numPr>
                                  <w:ilvl w:val="0"/>
                                  <w:numId w:val="10"/>
                                </w:numPr>
                                <w:spacing w:before="0" w:after="0" w:line="254" w:lineRule="auto"/>
                                <w:rPr>
                                  <w:rFonts w:eastAsia="Calibri"/>
                                </w:rPr>
                              </w:pPr>
                              <w:r w:rsidRPr="00576660">
                                <w:rPr>
                                  <w:rFonts w:eastAsia="Calibri"/>
                                </w:rPr>
                                <w:t>Policy and practice</w:t>
                              </w:r>
                            </w:p>
                            <w:p w14:paraId="67A30B84" w14:textId="77777777" w:rsidR="00064484" w:rsidRPr="00576660" w:rsidRDefault="00064484" w:rsidP="00360875">
                              <w:pPr>
                                <w:pStyle w:val="ListParagraph"/>
                                <w:numPr>
                                  <w:ilvl w:val="0"/>
                                  <w:numId w:val="10"/>
                                </w:numPr>
                                <w:spacing w:before="0" w:after="0" w:line="254" w:lineRule="auto"/>
                                <w:rPr>
                                  <w:rFonts w:eastAsia="Calibri"/>
                                </w:rPr>
                              </w:pPr>
                              <w:r w:rsidRPr="00576660">
                                <w:rPr>
                                  <w:rFonts w:eastAsia="Calibri"/>
                                </w:rPr>
                                <w:t>Procurement technology</w:t>
                              </w:r>
                            </w:p>
                            <w:p w14:paraId="74FDADFA" w14:textId="72324194" w:rsidR="00064484" w:rsidRPr="00576660" w:rsidRDefault="00064484" w:rsidP="00360875">
                              <w:pPr>
                                <w:pStyle w:val="ListParagraph"/>
                                <w:numPr>
                                  <w:ilvl w:val="0"/>
                                  <w:numId w:val="10"/>
                                </w:numPr>
                                <w:spacing w:before="0" w:after="0" w:line="254" w:lineRule="auto"/>
                                <w:rPr>
                                  <w:rFonts w:eastAsia="Calibri"/>
                                </w:rPr>
                              </w:pPr>
                              <w:r w:rsidRPr="00576660">
                                <w:rPr>
                                  <w:rFonts w:eastAsia="Calibri"/>
                                </w:rPr>
                                <w:t xml:space="preserve">Capability, </w:t>
                              </w:r>
                              <w:r>
                                <w:rPr>
                                  <w:rFonts w:eastAsia="Calibri"/>
                                </w:rPr>
                                <w:t xml:space="preserve">process streamline  </w:t>
                              </w:r>
                              <w:r w:rsidRPr="00576660">
                                <w:rPr>
                                  <w:rFonts w:eastAsia="Calibri"/>
                                </w:rPr>
                                <w:t>and change management</w:t>
                              </w:r>
                            </w:p>
                            <w:p w14:paraId="430846A8" w14:textId="77777777" w:rsidR="00064484" w:rsidRDefault="00064484" w:rsidP="00360875">
                              <w:pPr>
                                <w:pStyle w:val="NormalWeb"/>
                                <w:spacing w:before="0" w:beforeAutospacing="0" w:after="160" w:afterAutospacing="0" w:line="254" w:lineRule="auto"/>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2"/>
                        <wps:cNvSpPr txBox="1"/>
                        <wps:spPr>
                          <a:xfrm>
                            <a:off x="141606" y="5128926"/>
                            <a:ext cx="5535294" cy="1071850"/>
                          </a:xfrm>
                          <a:prstGeom prst="rect">
                            <a:avLst/>
                          </a:prstGeom>
                          <a:solidFill>
                            <a:schemeClr val="lt1"/>
                          </a:solidFill>
                          <a:ln w="6350">
                            <a:solidFill>
                              <a:prstClr val="black"/>
                            </a:solidFill>
                          </a:ln>
                        </wps:spPr>
                        <wps:txbx>
                          <w:txbxContent>
                            <w:p w14:paraId="148DDAFF" w14:textId="77777777" w:rsidR="00064484" w:rsidRDefault="00064484" w:rsidP="00360875">
                              <w:pPr>
                                <w:pStyle w:val="NormalWeb"/>
                                <w:spacing w:before="0" w:beforeAutospacing="0" w:after="160" w:afterAutospacing="0" w:line="254" w:lineRule="auto"/>
                                <w:rPr>
                                  <w:rFonts w:ascii="Calibri" w:eastAsia="Calibri" w:hAnsi="Calibri"/>
                                  <w:sz w:val="28"/>
                                  <w:szCs w:val="28"/>
                                </w:rPr>
                              </w:pPr>
                              <w:r>
                                <w:rPr>
                                  <w:rFonts w:ascii="Calibri" w:eastAsia="Calibri" w:hAnsi="Calibri"/>
                                  <w:sz w:val="28"/>
                                  <w:szCs w:val="28"/>
                                </w:rPr>
                                <w:t>Network</w:t>
                              </w:r>
                            </w:p>
                            <w:p w14:paraId="101F84E1" w14:textId="4F5A04AD" w:rsidR="00064484" w:rsidRPr="006E10B5" w:rsidRDefault="00064484" w:rsidP="00360875">
                              <w:pPr>
                                <w:pStyle w:val="NormalWeb"/>
                                <w:spacing w:before="0" w:beforeAutospacing="0" w:after="160" w:afterAutospacing="0" w:line="254" w:lineRule="auto"/>
                              </w:pPr>
                              <w:r w:rsidRPr="00A12E8A">
                                <w:rPr>
                                  <w:rFonts w:ascii="Calibri" w:eastAsia="Calibri" w:hAnsi="Calibri"/>
                                  <w:sz w:val="22"/>
                                  <w:szCs w:val="22"/>
                                </w:rPr>
                                <w:t>Th</w:t>
                              </w:r>
                              <w:r>
                                <w:rPr>
                                  <w:rFonts w:ascii="Calibri" w:eastAsia="Calibri" w:hAnsi="Calibri"/>
                                  <w:sz w:val="22"/>
                                  <w:szCs w:val="22"/>
                                </w:rPr>
                                <w:t xml:space="preserve">e VGPB currently </w:t>
                              </w:r>
                              <w:r w:rsidRPr="001F2593">
                                <w:rPr>
                                  <w:rFonts w:ascii="Calibri" w:eastAsia="Calibri" w:hAnsi="Calibri"/>
                                  <w:sz w:val="22"/>
                                  <w:szCs w:val="22"/>
                                </w:rPr>
                                <w:t xml:space="preserve">covers </w:t>
                              </w:r>
                              <w:r w:rsidRPr="00360875">
                                <w:rPr>
                                  <w:rFonts w:ascii="Calibri" w:eastAsia="Calibri" w:hAnsi="Calibri"/>
                                  <w:sz w:val="22"/>
                                  <w:szCs w:val="22"/>
                                </w:rPr>
                                <w:t>all Victorian Government departments,</w:t>
                              </w:r>
                              <w:r>
                                <w:rPr>
                                  <w:rFonts w:ascii="Calibri" w:eastAsia="Calibri" w:hAnsi="Calibri"/>
                                  <w:sz w:val="22"/>
                                  <w:szCs w:val="22"/>
                                </w:rPr>
                                <w:t xml:space="preserve"> </w:t>
                              </w:r>
                              <w:r w:rsidRPr="00360875">
                                <w:rPr>
                                  <w:rFonts w:ascii="Calibri" w:eastAsia="Calibri" w:hAnsi="Calibri"/>
                                  <w:sz w:val="22"/>
                                  <w:szCs w:val="22"/>
                                </w:rPr>
                                <w:t>Cen</w:t>
                              </w:r>
                              <w:r>
                                <w:rPr>
                                  <w:rFonts w:ascii="Calibri" w:eastAsia="Calibri" w:hAnsi="Calibri"/>
                                  <w:sz w:val="22"/>
                                  <w:szCs w:val="22"/>
                                </w:rPr>
                                <w:t>it</w:t>
                              </w:r>
                              <w:r w:rsidRPr="00360875">
                                <w:rPr>
                                  <w:rFonts w:ascii="Calibri" w:eastAsia="Calibri" w:hAnsi="Calibri"/>
                                  <w:sz w:val="22"/>
                                  <w:szCs w:val="22"/>
                                </w:rPr>
                                <w:t>ex</w:t>
                              </w:r>
                              <w:r>
                                <w:rPr>
                                  <w:rFonts w:ascii="Calibri" w:eastAsia="Calibri" w:hAnsi="Calibri"/>
                                  <w:sz w:val="22"/>
                                  <w:szCs w:val="22"/>
                                </w:rPr>
                                <w:t xml:space="preserve">, </w:t>
                              </w:r>
                              <w:r w:rsidRPr="00360875">
                                <w:rPr>
                                  <w:rFonts w:ascii="Calibri" w:eastAsia="Calibri" w:hAnsi="Calibri"/>
                                  <w:sz w:val="22"/>
                                  <w:szCs w:val="22"/>
                                </w:rPr>
                                <w:t>Victoria Police</w:t>
                              </w:r>
                              <w:r>
                                <w:rPr>
                                  <w:rFonts w:ascii="Calibri" w:eastAsia="Calibri" w:hAnsi="Calibri"/>
                                  <w:sz w:val="22"/>
                                  <w:szCs w:val="22"/>
                                </w:rPr>
                                <w:t xml:space="preserve"> and some administrative bodies. </w:t>
                              </w:r>
                              <w:r w:rsidRPr="006E10B5">
                                <w:rPr>
                                  <w:rFonts w:ascii="Calibri" w:eastAsia="Calibri" w:hAnsi="Calibri"/>
                                  <w:sz w:val="22"/>
                                  <w:szCs w:val="22"/>
                                </w:rPr>
                                <w:t xml:space="preserve">We work </w:t>
                              </w:r>
                              <w:r>
                                <w:rPr>
                                  <w:rFonts w:ascii="Calibri" w:eastAsia="Calibri" w:hAnsi="Calibri"/>
                                  <w:sz w:val="22"/>
                                  <w:szCs w:val="22"/>
                                </w:rPr>
                                <w:t xml:space="preserve">closely with our stakeholders to ensure our policies are modern, relevant and easy to apply. </w:t>
                              </w:r>
                            </w:p>
                            <w:p w14:paraId="243975FF" w14:textId="77777777" w:rsidR="00064484" w:rsidRDefault="00064484" w:rsidP="00360875">
                              <w:pPr>
                                <w:pStyle w:val="NormalWeb"/>
                                <w:spacing w:before="0" w:beforeAutospacing="0" w:after="160" w:afterAutospacing="0" w:line="254" w:lineRule="auto"/>
                              </w:pPr>
                              <w: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DCC86AE" id="Canvas 58" o:spid="_x0000_s1043" editas="canvas" alt="Diagram explaining the VGPB's vision, mission, principles, policies, strategy and network. " style="width:456pt;height:507pt;mso-position-horizontal-relative:char;mso-position-vertical-relative:line" coordsize="57912,64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">
                <v:shape id="_x0000_s1044" type="#_x0000_t75" alt="Diagram explaining the VGPB's vision, mission, principles, policies, strategy and network. " style="position:absolute;width:57912;height:64389;visibility:visible;mso-wrap-style:square">
                  <v:fill o:detectmouseclick="t"/>
                  <v:path o:connecttype="none"/>
                </v:shape>
                <v:shape id="Text Box 23" o:spid="_x0000_s1045" type="#_x0000_t202" style="position:absolute;left:1524;top:359;width:17335;height:15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49DB4F9A" w14:textId="77777777" w:rsidR="00064484" w:rsidRPr="00692D89" w:rsidRDefault="00064484" w:rsidP="00360875">
                        <w:pPr>
                          <w:pStyle w:val="NormalWeb"/>
                          <w:spacing w:before="0" w:beforeAutospacing="0" w:after="160" w:afterAutospacing="0" w:line="256" w:lineRule="auto"/>
                          <w:rPr>
                            <w:rFonts w:ascii="Calibri" w:eastAsia="Calibri" w:hAnsi="Calibri"/>
                            <w:sz w:val="28"/>
                            <w:szCs w:val="28"/>
                          </w:rPr>
                        </w:pPr>
                        <w:r>
                          <w:rPr>
                            <w:rFonts w:ascii="Calibri" w:eastAsia="Calibri" w:hAnsi="Calibri"/>
                            <w:sz w:val="28"/>
                            <w:szCs w:val="28"/>
                          </w:rPr>
                          <w:t>V</w:t>
                        </w:r>
                        <w:r w:rsidRPr="00692D89">
                          <w:rPr>
                            <w:rFonts w:ascii="Calibri" w:eastAsia="Calibri" w:hAnsi="Calibri"/>
                            <w:sz w:val="28"/>
                            <w:szCs w:val="28"/>
                          </w:rPr>
                          <w:t xml:space="preserve">ision </w:t>
                        </w:r>
                      </w:p>
                      <w:p w14:paraId="7D899445" w14:textId="77777777" w:rsidR="00064484" w:rsidRPr="00692D89" w:rsidRDefault="00064484"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P</w:t>
                        </w:r>
                        <w:r w:rsidRPr="00692D89">
                          <w:rPr>
                            <w:rFonts w:ascii="Calibri" w:eastAsia="Calibri" w:hAnsi="Calibri"/>
                            <w:sz w:val="22"/>
                            <w:szCs w:val="22"/>
                          </w:rPr>
                          <w:t>rovide leadership in government procurement of goods and services to deliver value-for-money outcomes for Victoria</w:t>
                        </w:r>
                      </w:p>
                    </w:txbxContent>
                  </v:textbox>
                </v:shape>
                <v:shape id="Text Box 2" o:spid="_x0000_s1046" type="#_x0000_t202" style="position:absolute;left:19621;top:360;width:36957;height:15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sEvwAAANsAAAAPAAAAZHJzL2Rvd25yZXYueG1sRE9NawIx&#10;EL0X+h/CFHqrWS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DSlDsEvwAAANsAAAAPAAAAAAAA&#10;AAAAAAAAAAcCAABkcnMvZG93bnJldi54bWxQSwUGAAAAAAMAAwC3AAAA8wIAAAAA&#10;" fillcolor="white [3201]" strokeweight=".5pt">
                  <v:textbox>
                    <w:txbxContent>
                      <w:p w14:paraId="75A01C05" w14:textId="77777777" w:rsidR="00064484" w:rsidRDefault="00064484" w:rsidP="00360875">
                        <w:pPr>
                          <w:pStyle w:val="NormalWeb"/>
                          <w:spacing w:before="0" w:beforeAutospacing="0" w:after="160" w:afterAutospacing="0" w:line="256" w:lineRule="auto"/>
                        </w:pPr>
                        <w:r>
                          <w:rPr>
                            <w:rFonts w:ascii="Calibri" w:eastAsia="Calibri" w:hAnsi="Calibri"/>
                            <w:sz w:val="28"/>
                            <w:szCs w:val="28"/>
                          </w:rPr>
                          <w:t>Mission</w:t>
                        </w:r>
                      </w:p>
                      <w:p w14:paraId="1A5FF58A" w14:textId="77777777" w:rsidR="00064484" w:rsidRDefault="00064484"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Ensure government:</w:t>
                        </w:r>
                      </w:p>
                      <w:p w14:paraId="6E5B5D36"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develops procurement capability</w:t>
                        </w:r>
                      </w:p>
                      <w:p w14:paraId="4213D5A8" w14:textId="77777777" w:rsidR="00064484" w:rsidRPr="00BE46D1"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delivers value</w:t>
                        </w:r>
                        <w:r>
                          <w:rPr>
                            <w:rFonts w:ascii="Calibri" w:eastAsia="Calibri" w:hAnsi="Calibri"/>
                            <w:sz w:val="22"/>
                            <w:szCs w:val="22"/>
                          </w:rPr>
                          <w:t>-</w:t>
                        </w:r>
                        <w:r w:rsidRPr="00BE46D1">
                          <w:rPr>
                            <w:rFonts w:ascii="Calibri" w:eastAsia="Calibri" w:hAnsi="Calibri"/>
                            <w:sz w:val="22"/>
                            <w:szCs w:val="22"/>
                          </w:rPr>
                          <w:t>for</w:t>
                        </w:r>
                        <w:r>
                          <w:rPr>
                            <w:rFonts w:ascii="Calibri" w:eastAsia="Calibri" w:hAnsi="Calibri"/>
                            <w:sz w:val="22"/>
                            <w:szCs w:val="22"/>
                          </w:rPr>
                          <w:t>-</w:t>
                        </w:r>
                        <w:r w:rsidRPr="00BE46D1">
                          <w:rPr>
                            <w:rFonts w:ascii="Calibri" w:eastAsia="Calibri" w:hAnsi="Calibri"/>
                            <w:sz w:val="22"/>
                            <w:szCs w:val="22"/>
                          </w:rPr>
                          <w:t>money and fit</w:t>
                        </w:r>
                        <w:r>
                          <w:rPr>
                            <w:rFonts w:ascii="Calibri" w:eastAsia="Calibri" w:hAnsi="Calibri"/>
                            <w:sz w:val="22"/>
                            <w:szCs w:val="22"/>
                          </w:rPr>
                          <w:t>-</w:t>
                        </w:r>
                        <w:r w:rsidRPr="00BE46D1">
                          <w:rPr>
                            <w:rFonts w:ascii="Calibri" w:eastAsia="Calibri" w:hAnsi="Calibri"/>
                            <w:sz w:val="22"/>
                            <w:szCs w:val="22"/>
                          </w:rPr>
                          <w:t>for</w:t>
                        </w:r>
                        <w:r>
                          <w:rPr>
                            <w:rFonts w:ascii="Calibri" w:eastAsia="Calibri" w:hAnsi="Calibri"/>
                            <w:sz w:val="22"/>
                            <w:szCs w:val="22"/>
                          </w:rPr>
                          <w:t>-</w:t>
                        </w:r>
                        <w:r w:rsidRPr="00BE46D1">
                          <w:rPr>
                            <w:rFonts w:ascii="Calibri" w:eastAsia="Calibri" w:hAnsi="Calibri"/>
                            <w:sz w:val="22"/>
                            <w:szCs w:val="22"/>
                          </w:rPr>
                          <w:t>purpose outcomes</w:t>
                        </w:r>
                      </w:p>
                      <w:p w14:paraId="0DF85D62"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minimises risk</w:t>
                        </w:r>
                      </w:p>
                      <w:p w14:paraId="0C2339CB" w14:textId="77777777" w:rsidR="00064484" w:rsidRPr="00BE46D1"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enables access to procurement opportunities for all businesses</w:t>
                        </w:r>
                      </w:p>
                      <w:p w14:paraId="3E6CD545" w14:textId="77777777" w:rsidR="00064484" w:rsidRDefault="00064484" w:rsidP="00360875">
                        <w:pPr>
                          <w:pStyle w:val="NormalWeb"/>
                          <w:spacing w:before="0" w:beforeAutospacing="0" w:after="160" w:afterAutospacing="0" w:line="256" w:lineRule="auto"/>
                        </w:pPr>
                      </w:p>
                    </w:txbxContent>
                  </v:textbox>
                </v:shape>
                <v:shape id="Text Box 2" o:spid="_x0000_s1047" type="#_x0000_t202" style="position:absolute;left:1524;top:17110;width:17440;height:1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2D560D19" w14:textId="77777777" w:rsidR="00064484" w:rsidRDefault="00064484" w:rsidP="00360875">
                        <w:pPr>
                          <w:pStyle w:val="NormalWeb"/>
                          <w:spacing w:before="0" w:beforeAutospacing="0" w:after="160" w:afterAutospacing="0" w:line="256" w:lineRule="auto"/>
                        </w:pPr>
                        <w:r>
                          <w:rPr>
                            <w:rFonts w:ascii="Calibri" w:eastAsia="Calibri" w:hAnsi="Calibri"/>
                            <w:sz w:val="28"/>
                            <w:szCs w:val="28"/>
                          </w:rPr>
                          <w:t>Principles</w:t>
                        </w:r>
                      </w:p>
                      <w:p w14:paraId="59414BA0" w14:textId="77777777" w:rsidR="00064484" w:rsidRDefault="00064484" w:rsidP="00360875">
                        <w:pPr>
                          <w:pStyle w:val="NormalWeb"/>
                          <w:spacing w:before="0" w:beforeAutospacing="0" w:after="40" w:afterAutospacing="0" w:line="256" w:lineRule="auto"/>
                          <w:rPr>
                            <w:rFonts w:ascii="Calibri" w:eastAsia="Calibri" w:hAnsi="Calibri"/>
                            <w:sz w:val="22"/>
                            <w:szCs w:val="22"/>
                          </w:rPr>
                        </w:pPr>
                        <w:r>
                          <w:rPr>
                            <w:rFonts w:ascii="Calibri" w:eastAsia="Calibri" w:hAnsi="Calibri"/>
                            <w:sz w:val="22"/>
                            <w:szCs w:val="22"/>
                          </w:rPr>
                          <w:t>All procurement activity must meet four principles:</w:t>
                        </w:r>
                      </w:p>
                      <w:p w14:paraId="38FF2745"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BE46D1">
                          <w:rPr>
                            <w:rFonts w:ascii="Calibri" w:eastAsia="Calibri" w:hAnsi="Calibri"/>
                            <w:sz w:val="22"/>
                            <w:szCs w:val="22"/>
                          </w:rPr>
                          <w:t>Value for money</w:t>
                        </w:r>
                      </w:p>
                      <w:p w14:paraId="2F925C5B"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Accountability</w:t>
                        </w:r>
                      </w:p>
                      <w:p w14:paraId="1CEDE42E" w14:textId="77777777" w:rsidR="00064484"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Probity</w:t>
                        </w:r>
                      </w:p>
                      <w:p w14:paraId="6D57795F" w14:textId="77777777" w:rsidR="00064484" w:rsidRPr="00BE46D1"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Scalability</w:t>
                        </w:r>
                      </w:p>
                      <w:p w14:paraId="4FD82859" w14:textId="77777777" w:rsidR="00064484" w:rsidRDefault="00064484" w:rsidP="00360875">
                        <w:pPr>
                          <w:pStyle w:val="NormalWeb"/>
                          <w:spacing w:before="0" w:beforeAutospacing="0" w:after="160" w:afterAutospacing="0" w:line="256" w:lineRule="auto"/>
                        </w:pPr>
                      </w:p>
                    </w:txbxContent>
                  </v:textbox>
                </v:shape>
                <v:shape id="Text Box 2" o:spid="_x0000_s1048" type="#_x0000_t202" style="position:absolute;left:19624;top:17014;width:37145;height:16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7574BBF7" w14:textId="77777777" w:rsidR="00064484" w:rsidRDefault="00064484" w:rsidP="00360875">
                        <w:pPr>
                          <w:pStyle w:val="NormalWeb"/>
                          <w:spacing w:before="0" w:beforeAutospacing="0" w:after="120" w:afterAutospacing="0" w:line="254" w:lineRule="auto"/>
                          <w:rPr>
                            <w:rFonts w:ascii="Calibri" w:eastAsia="Calibri" w:hAnsi="Calibri"/>
                            <w:sz w:val="28"/>
                            <w:szCs w:val="28"/>
                          </w:rPr>
                        </w:pPr>
                        <w:r>
                          <w:rPr>
                            <w:rFonts w:ascii="Calibri" w:eastAsia="Calibri" w:hAnsi="Calibri"/>
                            <w:sz w:val="28"/>
                            <w:szCs w:val="28"/>
                          </w:rPr>
                          <w:t xml:space="preserve">Policies </w:t>
                        </w:r>
                      </w:p>
                      <w:p w14:paraId="1A5BD69D" w14:textId="77777777" w:rsidR="00064484" w:rsidRDefault="00064484" w:rsidP="00360875">
                        <w:pPr>
                          <w:pStyle w:val="NormalWeb"/>
                          <w:spacing w:before="0" w:beforeAutospacing="0" w:after="40" w:afterAutospacing="0" w:line="254" w:lineRule="auto"/>
                        </w:pPr>
                        <w:r>
                          <w:rPr>
                            <w:rFonts w:ascii="Calibri" w:eastAsia="Calibri" w:hAnsi="Calibri"/>
                          </w:rPr>
                          <w:t xml:space="preserve">Five policies to </w:t>
                        </w:r>
                        <w:r w:rsidRPr="00BE46D1">
                          <w:rPr>
                            <w:rFonts w:ascii="Calibri" w:eastAsia="Calibri" w:hAnsi="Calibri"/>
                          </w:rPr>
                          <w:t>cover end-to-end procurement activity</w:t>
                        </w:r>
                        <w:r>
                          <w:rPr>
                            <w:rFonts w:ascii="Calibri" w:eastAsia="Calibri" w:hAnsi="Calibri"/>
                          </w:rPr>
                          <w:t xml:space="preserve">: </w:t>
                        </w:r>
                      </w:p>
                      <w:p w14:paraId="5044FD75"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Pr>
                            <w:rFonts w:ascii="Calibri" w:eastAsia="Calibri" w:hAnsi="Calibri"/>
                            <w:sz w:val="22"/>
                            <w:szCs w:val="22"/>
                          </w:rPr>
                          <w:t>Governance</w:t>
                        </w:r>
                      </w:p>
                      <w:p w14:paraId="01BC42BB"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Complexity and capability assessment</w:t>
                        </w:r>
                      </w:p>
                      <w:p w14:paraId="2E58AF84"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Market analysis and review</w:t>
                        </w:r>
                      </w:p>
                      <w:p w14:paraId="1B521B8C"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Market approach</w:t>
                        </w:r>
                      </w:p>
                      <w:p w14:paraId="37F78401" w14:textId="77777777" w:rsidR="00064484" w:rsidRPr="00C97DE7" w:rsidRDefault="00064484" w:rsidP="00360875">
                        <w:pPr>
                          <w:pStyle w:val="NormalWeb"/>
                          <w:numPr>
                            <w:ilvl w:val="0"/>
                            <w:numId w:val="9"/>
                          </w:numPr>
                          <w:spacing w:before="0" w:beforeAutospacing="0" w:after="0" w:afterAutospacing="0" w:line="256" w:lineRule="auto"/>
                          <w:ind w:left="426" w:hanging="426"/>
                          <w:rPr>
                            <w:rFonts w:ascii="Calibri" w:eastAsia="Calibri" w:hAnsi="Calibri"/>
                            <w:sz w:val="22"/>
                            <w:szCs w:val="22"/>
                          </w:rPr>
                        </w:pPr>
                        <w:r w:rsidRPr="00C97DE7">
                          <w:rPr>
                            <w:rFonts w:ascii="Calibri" w:eastAsia="Calibri" w:hAnsi="Calibri"/>
                            <w:sz w:val="22"/>
                            <w:szCs w:val="22"/>
                          </w:rPr>
                          <w:t>Contract management and contract disclosure</w:t>
                        </w:r>
                      </w:p>
                      <w:p w14:paraId="2D8FF268" w14:textId="77777777" w:rsidR="00064484" w:rsidRDefault="00064484" w:rsidP="00360875">
                        <w:pPr>
                          <w:pStyle w:val="NormalWeb"/>
                          <w:spacing w:before="0" w:beforeAutospacing="0" w:after="160" w:afterAutospacing="0" w:line="254" w:lineRule="auto"/>
                        </w:pPr>
                        <w:r>
                          <w:t> </w:t>
                        </w:r>
                      </w:p>
                    </w:txbxContent>
                  </v:textbox>
                </v:shape>
                <v:shape id="Text Box 2" o:spid="_x0000_s1049" type="#_x0000_t202" style="position:absolute;left:1428;top:34290;width:55245;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4357C053" w14:textId="77777777" w:rsidR="00064484" w:rsidRDefault="00064484" w:rsidP="00360875">
                        <w:pPr>
                          <w:pStyle w:val="NormalWeb"/>
                          <w:spacing w:before="0" w:beforeAutospacing="0" w:after="160" w:afterAutospacing="0" w:line="254" w:lineRule="auto"/>
                        </w:pPr>
                        <w:r>
                          <w:rPr>
                            <w:rFonts w:ascii="Calibri" w:eastAsia="Calibri" w:hAnsi="Calibri"/>
                            <w:sz w:val="28"/>
                            <w:szCs w:val="28"/>
                          </w:rPr>
                          <w:t>Strategy</w:t>
                        </w:r>
                      </w:p>
                      <w:p w14:paraId="187A1BC1" w14:textId="77777777" w:rsidR="00064484" w:rsidRPr="00576660" w:rsidRDefault="00064484" w:rsidP="00360875">
                        <w:pPr>
                          <w:pStyle w:val="NormalWeb"/>
                          <w:spacing w:before="0" w:beforeAutospacing="0" w:after="40" w:afterAutospacing="0" w:line="254" w:lineRule="auto"/>
                          <w:rPr>
                            <w:rFonts w:ascii="Calibri" w:eastAsia="Calibri" w:hAnsi="Calibri"/>
                            <w:sz w:val="22"/>
                            <w:szCs w:val="22"/>
                          </w:rPr>
                        </w:pPr>
                        <w:r>
                          <w:rPr>
                            <w:rFonts w:ascii="Calibri" w:eastAsia="Calibri" w:hAnsi="Calibri"/>
                            <w:sz w:val="22"/>
                            <w:szCs w:val="22"/>
                          </w:rPr>
                          <w:t xml:space="preserve">Five </w:t>
                        </w:r>
                        <w:r w:rsidRPr="00576660">
                          <w:rPr>
                            <w:rFonts w:ascii="Calibri" w:eastAsia="Calibri" w:hAnsi="Calibri"/>
                            <w:sz w:val="22"/>
                            <w:szCs w:val="22"/>
                          </w:rPr>
                          <w:t>workstreams with multiple initiatives:</w:t>
                        </w:r>
                      </w:p>
                      <w:p w14:paraId="1F87684C" w14:textId="77777777" w:rsidR="00064484" w:rsidRPr="00576660" w:rsidRDefault="00064484" w:rsidP="00360875">
                        <w:pPr>
                          <w:pStyle w:val="ListParagraph"/>
                          <w:numPr>
                            <w:ilvl w:val="0"/>
                            <w:numId w:val="10"/>
                          </w:numPr>
                          <w:spacing w:before="0" w:after="0" w:line="254" w:lineRule="auto"/>
                        </w:pPr>
                        <w:r w:rsidRPr="00576660">
                          <w:rPr>
                            <w:rFonts w:eastAsia="Calibri"/>
                          </w:rPr>
                          <w:t>Victoria’s Social Procurement Framework and reporting</w:t>
                        </w:r>
                      </w:p>
                      <w:p w14:paraId="28B8F364" w14:textId="77777777" w:rsidR="00064484" w:rsidRPr="00576660" w:rsidRDefault="00064484" w:rsidP="00360875">
                        <w:pPr>
                          <w:pStyle w:val="ListParagraph"/>
                          <w:numPr>
                            <w:ilvl w:val="0"/>
                            <w:numId w:val="10"/>
                          </w:numPr>
                          <w:spacing w:before="0" w:after="0" w:line="254" w:lineRule="auto"/>
                          <w:rPr>
                            <w:rFonts w:eastAsia="Calibri"/>
                          </w:rPr>
                        </w:pPr>
                        <w:r w:rsidRPr="00576660">
                          <w:rPr>
                            <w:rFonts w:eastAsia="Calibri"/>
                          </w:rPr>
                          <w:t>Governance, extending the reach</w:t>
                        </w:r>
                      </w:p>
                      <w:p w14:paraId="5A5E1D9E" w14:textId="77777777" w:rsidR="00064484" w:rsidRPr="00576660" w:rsidRDefault="00064484" w:rsidP="00360875">
                        <w:pPr>
                          <w:pStyle w:val="ListParagraph"/>
                          <w:numPr>
                            <w:ilvl w:val="0"/>
                            <w:numId w:val="10"/>
                          </w:numPr>
                          <w:spacing w:before="0" w:after="0" w:line="254" w:lineRule="auto"/>
                          <w:rPr>
                            <w:rFonts w:eastAsia="Calibri"/>
                          </w:rPr>
                        </w:pPr>
                        <w:r w:rsidRPr="00576660">
                          <w:rPr>
                            <w:rFonts w:eastAsia="Calibri"/>
                          </w:rPr>
                          <w:t>Policy and practice</w:t>
                        </w:r>
                      </w:p>
                      <w:p w14:paraId="67A30B84" w14:textId="77777777" w:rsidR="00064484" w:rsidRPr="00576660" w:rsidRDefault="00064484" w:rsidP="00360875">
                        <w:pPr>
                          <w:pStyle w:val="ListParagraph"/>
                          <w:numPr>
                            <w:ilvl w:val="0"/>
                            <w:numId w:val="10"/>
                          </w:numPr>
                          <w:spacing w:before="0" w:after="0" w:line="254" w:lineRule="auto"/>
                          <w:rPr>
                            <w:rFonts w:eastAsia="Calibri"/>
                          </w:rPr>
                        </w:pPr>
                        <w:r w:rsidRPr="00576660">
                          <w:rPr>
                            <w:rFonts w:eastAsia="Calibri"/>
                          </w:rPr>
                          <w:t>Procurement technology</w:t>
                        </w:r>
                      </w:p>
                      <w:p w14:paraId="74FDADFA" w14:textId="72324194" w:rsidR="00064484" w:rsidRPr="00576660" w:rsidRDefault="00064484" w:rsidP="00360875">
                        <w:pPr>
                          <w:pStyle w:val="ListParagraph"/>
                          <w:numPr>
                            <w:ilvl w:val="0"/>
                            <w:numId w:val="10"/>
                          </w:numPr>
                          <w:spacing w:before="0" w:after="0" w:line="254" w:lineRule="auto"/>
                          <w:rPr>
                            <w:rFonts w:eastAsia="Calibri"/>
                          </w:rPr>
                        </w:pPr>
                        <w:r w:rsidRPr="00576660">
                          <w:rPr>
                            <w:rFonts w:eastAsia="Calibri"/>
                          </w:rPr>
                          <w:t xml:space="preserve">Capability, </w:t>
                        </w:r>
                        <w:r>
                          <w:rPr>
                            <w:rFonts w:eastAsia="Calibri"/>
                          </w:rPr>
                          <w:t xml:space="preserve">process streamline  </w:t>
                        </w:r>
                        <w:r w:rsidRPr="00576660">
                          <w:rPr>
                            <w:rFonts w:eastAsia="Calibri"/>
                          </w:rPr>
                          <w:t>and change management</w:t>
                        </w:r>
                      </w:p>
                      <w:p w14:paraId="430846A8" w14:textId="77777777" w:rsidR="00064484" w:rsidRDefault="00064484" w:rsidP="00360875">
                        <w:pPr>
                          <w:pStyle w:val="NormalWeb"/>
                          <w:spacing w:before="0" w:beforeAutospacing="0" w:after="160" w:afterAutospacing="0" w:line="254" w:lineRule="auto"/>
                        </w:pPr>
                        <w:r>
                          <w:t> </w:t>
                        </w:r>
                      </w:p>
                    </w:txbxContent>
                  </v:textbox>
                </v:shape>
                <v:shape id="Text Box 2" o:spid="_x0000_s1050" type="#_x0000_t202" style="position:absolute;left:1416;top:51289;width:55353;height:10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ShwgAAANsAAAAPAAAAZHJzL2Rvd25yZXYueG1sRI9BSwMx&#10;FITvgv8hPMGbzSqt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OBtShwgAAANsAAAAPAAAA&#10;AAAAAAAAAAAAAAcCAABkcnMvZG93bnJldi54bWxQSwUGAAAAAAMAAwC3AAAA9gIAAAAA&#10;" fillcolor="white [3201]" strokeweight=".5pt">
                  <v:textbox>
                    <w:txbxContent>
                      <w:p w14:paraId="148DDAFF" w14:textId="77777777" w:rsidR="00064484" w:rsidRDefault="00064484" w:rsidP="00360875">
                        <w:pPr>
                          <w:pStyle w:val="NormalWeb"/>
                          <w:spacing w:before="0" w:beforeAutospacing="0" w:after="160" w:afterAutospacing="0" w:line="254" w:lineRule="auto"/>
                          <w:rPr>
                            <w:rFonts w:ascii="Calibri" w:eastAsia="Calibri" w:hAnsi="Calibri"/>
                            <w:sz w:val="28"/>
                            <w:szCs w:val="28"/>
                          </w:rPr>
                        </w:pPr>
                        <w:r>
                          <w:rPr>
                            <w:rFonts w:ascii="Calibri" w:eastAsia="Calibri" w:hAnsi="Calibri"/>
                            <w:sz w:val="28"/>
                            <w:szCs w:val="28"/>
                          </w:rPr>
                          <w:t>Network</w:t>
                        </w:r>
                      </w:p>
                      <w:p w14:paraId="101F84E1" w14:textId="4F5A04AD" w:rsidR="00064484" w:rsidRPr="006E10B5" w:rsidRDefault="00064484" w:rsidP="00360875">
                        <w:pPr>
                          <w:pStyle w:val="NormalWeb"/>
                          <w:spacing w:before="0" w:beforeAutospacing="0" w:after="160" w:afterAutospacing="0" w:line="254" w:lineRule="auto"/>
                        </w:pPr>
                        <w:r w:rsidRPr="00A12E8A">
                          <w:rPr>
                            <w:rFonts w:ascii="Calibri" w:eastAsia="Calibri" w:hAnsi="Calibri"/>
                            <w:sz w:val="22"/>
                            <w:szCs w:val="22"/>
                          </w:rPr>
                          <w:t>Th</w:t>
                        </w:r>
                        <w:r>
                          <w:rPr>
                            <w:rFonts w:ascii="Calibri" w:eastAsia="Calibri" w:hAnsi="Calibri"/>
                            <w:sz w:val="22"/>
                            <w:szCs w:val="22"/>
                          </w:rPr>
                          <w:t xml:space="preserve">e VGPB currently </w:t>
                        </w:r>
                        <w:r w:rsidRPr="001F2593">
                          <w:rPr>
                            <w:rFonts w:ascii="Calibri" w:eastAsia="Calibri" w:hAnsi="Calibri"/>
                            <w:sz w:val="22"/>
                            <w:szCs w:val="22"/>
                          </w:rPr>
                          <w:t xml:space="preserve">covers </w:t>
                        </w:r>
                        <w:r w:rsidRPr="00360875">
                          <w:rPr>
                            <w:rFonts w:ascii="Calibri" w:eastAsia="Calibri" w:hAnsi="Calibri"/>
                            <w:sz w:val="22"/>
                            <w:szCs w:val="22"/>
                          </w:rPr>
                          <w:t>all Victorian Government departments,</w:t>
                        </w:r>
                        <w:r>
                          <w:rPr>
                            <w:rFonts w:ascii="Calibri" w:eastAsia="Calibri" w:hAnsi="Calibri"/>
                            <w:sz w:val="22"/>
                            <w:szCs w:val="22"/>
                          </w:rPr>
                          <w:t xml:space="preserve"> </w:t>
                        </w:r>
                        <w:r w:rsidRPr="00360875">
                          <w:rPr>
                            <w:rFonts w:ascii="Calibri" w:eastAsia="Calibri" w:hAnsi="Calibri"/>
                            <w:sz w:val="22"/>
                            <w:szCs w:val="22"/>
                          </w:rPr>
                          <w:t>Cen</w:t>
                        </w:r>
                        <w:r>
                          <w:rPr>
                            <w:rFonts w:ascii="Calibri" w:eastAsia="Calibri" w:hAnsi="Calibri"/>
                            <w:sz w:val="22"/>
                            <w:szCs w:val="22"/>
                          </w:rPr>
                          <w:t>it</w:t>
                        </w:r>
                        <w:r w:rsidRPr="00360875">
                          <w:rPr>
                            <w:rFonts w:ascii="Calibri" w:eastAsia="Calibri" w:hAnsi="Calibri"/>
                            <w:sz w:val="22"/>
                            <w:szCs w:val="22"/>
                          </w:rPr>
                          <w:t>ex</w:t>
                        </w:r>
                        <w:r>
                          <w:rPr>
                            <w:rFonts w:ascii="Calibri" w:eastAsia="Calibri" w:hAnsi="Calibri"/>
                            <w:sz w:val="22"/>
                            <w:szCs w:val="22"/>
                          </w:rPr>
                          <w:t xml:space="preserve">, </w:t>
                        </w:r>
                        <w:r w:rsidRPr="00360875">
                          <w:rPr>
                            <w:rFonts w:ascii="Calibri" w:eastAsia="Calibri" w:hAnsi="Calibri"/>
                            <w:sz w:val="22"/>
                            <w:szCs w:val="22"/>
                          </w:rPr>
                          <w:t>Victoria Police</w:t>
                        </w:r>
                        <w:r>
                          <w:rPr>
                            <w:rFonts w:ascii="Calibri" w:eastAsia="Calibri" w:hAnsi="Calibri"/>
                            <w:sz w:val="22"/>
                            <w:szCs w:val="22"/>
                          </w:rPr>
                          <w:t xml:space="preserve"> and some administrative bodies. </w:t>
                        </w:r>
                        <w:r w:rsidRPr="006E10B5">
                          <w:rPr>
                            <w:rFonts w:ascii="Calibri" w:eastAsia="Calibri" w:hAnsi="Calibri"/>
                            <w:sz w:val="22"/>
                            <w:szCs w:val="22"/>
                          </w:rPr>
                          <w:t xml:space="preserve">We work </w:t>
                        </w:r>
                        <w:r>
                          <w:rPr>
                            <w:rFonts w:ascii="Calibri" w:eastAsia="Calibri" w:hAnsi="Calibri"/>
                            <w:sz w:val="22"/>
                            <w:szCs w:val="22"/>
                          </w:rPr>
                          <w:t xml:space="preserve">closely with our stakeholders to ensure our policies are modern, relevant and easy to apply. </w:t>
                        </w:r>
                      </w:p>
                      <w:p w14:paraId="243975FF" w14:textId="77777777" w:rsidR="00064484" w:rsidRDefault="00064484" w:rsidP="00360875">
                        <w:pPr>
                          <w:pStyle w:val="NormalWeb"/>
                          <w:spacing w:before="0" w:beforeAutospacing="0" w:after="160" w:afterAutospacing="0" w:line="254" w:lineRule="auto"/>
                        </w:pPr>
                        <w:r>
                          <w:t> </w:t>
                        </w:r>
                      </w:p>
                    </w:txbxContent>
                  </v:textbox>
                </v:shape>
                <w10:anchorlock/>
              </v:group>
            </w:pict>
          </mc:Fallback>
        </mc:AlternateContent>
      </w:r>
    </w:p>
    <w:p w14:paraId="71AF8B12" w14:textId="77777777" w:rsidR="00CB6A68" w:rsidRDefault="00CB6A68" w:rsidP="00E41631">
      <w:pPr>
        <w:pStyle w:val="Normal1"/>
      </w:pPr>
    </w:p>
    <w:p w14:paraId="76771BEF" w14:textId="77777777" w:rsidR="00CB6A68" w:rsidRDefault="00CB6A68">
      <w:bookmarkStart w:id="21" w:name="_Toc366693312"/>
      <w:bookmarkStart w:id="22" w:name="_Toc388705847"/>
      <w:bookmarkStart w:id="23" w:name="_Toc366693315"/>
      <w:bookmarkStart w:id="24" w:name="_Toc388705850"/>
      <w:bookmarkStart w:id="25" w:name="_Hlk487882055"/>
      <w:bookmarkEnd w:id="11"/>
      <w:bookmarkEnd w:id="12"/>
      <w:r>
        <w:br w:type="page"/>
      </w:r>
    </w:p>
    <w:p w14:paraId="52779D54" w14:textId="168E8655" w:rsidR="00430E0B" w:rsidRDefault="00CB6A68" w:rsidP="00FD0D72">
      <w:pPr>
        <w:pStyle w:val="Heading2NoNum"/>
      </w:pPr>
      <w:bookmarkStart w:id="26" w:name="_Toc52187711"/>
      <w:r w:rsidRPr="00CD6245">
        <w:lastRenderedPageBreak/>
        <w:t>Scope of</w:t>
      </w:r>
      <w:r>
        <w:t xml:space="preserve"> VGPB</w:t>
      </w:r>
      <w:r w:rsidRPr="00CD6245">
        <w:t xml:space="preserve"> policies</w:t>
      </w:r>
      <w:bookmarkEnd w:id="21"/>
      <w:bookmarkEnd w:id="22"/>
      <w:bookmarkEnd w:id="26"/>
    </w:p>
    <w:p w14:paraId="6D3B592D" w14:textId="2F0AC850" w:rsidR="00CB6A68" w:rsidRDefault="00CB6A68" w:rsidP="00CB6A68">
      <w:pPr>
        <w:pStyle w:val="Normal1"/>
      </w:pPr>
      <w:r>
        <w:t xml:space="preserve">VGPB </w:t>
      </w:r>
      <w:r w:rsidRPr="0070744B">
        <w:t>policies apply to all Victorian Government departments</w:t>
      </w:r>
      <w:r>
        <w:t xml:space="preserve"> </w:t>
      </w:r>
      <w:r w:rsidRPr="0070744B">
        <w:t xml:space="preserve">and </w:t>
      </w:r>
      <w:r>
        <w:t>any</w:t>
      </w:r>
      <w:r w:rsidRPr="0070744B">
        <w:t xml:space="preserve"> entities specified by the Governor in Council</w:t>
      </w:r>
      <w:r w:rsidR="00465430">
        <w:t xml:space="preserve">, such as </w:t>
      </w:r>
      <w:r>
        <w:t>Cen</w:t>
      </w:r>
      <w:r w:rsidR="00465430">
        <w:t>it</w:t>
      </w:r>
      <w:r>
        <w:t>ex</w:t>
      </w:r>
      <w:r w:rsidR="00305B63">
        <w:t>.</w:t>
      </w:r>
    </w:p>
    <w:p w14:paraId="18D8F655" w14:textId="77777777" w:rsidR="00CB6A68" w:rsidRDefault="00CB6A68" w:rsidP="00CB6A68">
      <w:pPr>
        <w:pStyle w:val="Normal1"/>
      </w:pPr>
      <w:r>
        <w:t xml:space="preserve">VGPB </w:t>
      </w:r>
      <w:r w:rsidRPr="0070744B">
        <w:t xml:space="preserve">policies also apply to the offices or bodies specified in </w:t>
      </w:r>
      <w:r>
        <w:t>s</w:t>
      </w:r>
      <w:r w:rsidRPr="0070744B">
        <w:t xml:space="preserve">ection 16(1) of the </w:t>
      </w:r>
      <w:r w:rsidRPr="0070744B">
        <w:rPr>
          <w:i/>
        </w:rPr>
        <w:t>Public Administration Act 2004</w:t>
      </w:r>
      <w:r w:rsidRPr="0070744B">
        <w:t xml:space="preserve">. </w:t>
      </w:r>
      <w:r>
        <w:t>These o</w:t>
      </w:r>
      <w:r w:rsidRPr="0070744B">
        <w:t>ffices report to the VGPB via their portfolio department, except for the Office of the Chief Commissioner of Police (Victoria Police), wh</w:t>
      </w:r>
      <w:r>
        <w:t>ich</w:t>
      </w:r>
      <w:r w:rsidRPr="0070744B">
        <w:t xml:space="preserve"> report</w:t>
      </w:r>
      <w:r>
        <w:t>s</w:t>
      </w:r>
      <w:r w:rsidRPr="0070744B">
        <w:t xml:space="preserve"> directly to the VGPB.</w:t>
      </w:r>
    </w:p>
    <w:p w14:paraId="566ECC68" w14:textId="74C43B80" w:rsidR="00CB6A68" w:rsidRPr="0070744B" w:rsidRDefault="00CB6A68" w:rsidP="00CB6A68">
      <w:pPr>
        <w:pStyle w:val="Normal1"/>
      </w:pPr>
      <w:r>
        <w:t xml:space="preserve">The </w:t>
      </w:r>
      <w:r w:rsidRPr="0070744B">
        <w:t>V</w:t>
      </w:r>
      <w:r>
        <w:t>i</w:t>
      </w:r>
      <w:r w:rsidRPr="0070744B">
        <w:t>ctorian Public Sector Commission</w:t>
      </w:r>
      <w:r>
        <w:t xml:space="preserve"> is also subject to VGPB policies but does not report directly to </w:t>
      </w:r>
      <w:r w:rsidRPr="006D2032">
        <w:t>us.</w:t>
      </w:r>
    </w:p>
    <w:p w14:paraId="73A48E17" w14:textId="27FD7CE9" w:rsidR="00CB6A68" w:rsidRDefault="00CB6A68" w:rsidP="00CB6A68">
      <w:pPr>
        <w:pStyle w:val="Normal1"/>
        <w:rPr>
          <w:rStyle w:val="Hyperlink"/>
        </w:rPr>
      </w:pPr>
      <w:r>
        <w:t xml:space="preserve">For a list of organisations bound by VGPB policy, refer to </w:t>
      </w:r>
      <w:hyperlink r:id="rId14" w:history="1">
        <w:r w:rsidR="00971C16">
          <w:rPr>
            <w:rStyle w:val="Hyperlink"/>
          </w:rPr>
          <w:t>buyingfor.vic.gov.au/goods-and-services-mandated-agencies</w:t>
        </w:r>
      </w:hyperlink>
    </w:p>
    <w:p w14:paraId="0AEC002B" w14:textId="77777777" w:rsidR="00EE1CED" w:rsidRPr="00CD6245" w:rsidRDefault="00EE1CED" w:rsidP="00EE1CED">
      <w:pPr>
        <w:pStyle w:val="Heading2NoNum"/>
      </w:pPr>
      <w:bookmarkStart w:id="27" w:name="_Toc52187712"/>
      <w:r>
        <w:t>R</w:t>
      </w:r>
      <w:r w:rsidRPr="00CD6245">
        <w:t>eporting</w:t>
      </w:r>
      <w:r>
        <w:t xml:space="preserve"> structure</w:t>
      </w:r>
      <w:bookmarkEnd w:id="27"/>
    </w:p>
    <w:p w14:paraId="1ACF362F" w14:textId="4F4D418F" w:rsidR="00EE1CED" w:rsidRDefault="00EE1CED" w:rsidP="00EE1CED">
      <w:pPr>
        <w:pStyle w:val="Normal1"/>
      </w:pPr>
      <w:r>
        <w:t xml:space="preserve">The VGPB </w:t>
      </w:r>
      <w:r w:rsidRPr="00CD6245">
        <w:t>report</w:t>
      </w:r>
      <w:r>
        <w:t>s</w:t>
      </w:r>
      <w:r w:rsidRPr="00CD6245">
        <w:t xml:space="preserve"> to </w:t>
      </w:r>
      <w:r w:rsidRPr="00150B0A">
        <w:t>the Assistant Treasurer. We</w:t>
      </w:r>
      <w:r>
        <w:t xml:space="preserve"> are supported by the</w:t>
      </w:r>
      <w:r w:rsidRPr="00150B0A">
        <w:t xml:space="preserve"> Procurement Policy and Reform </w:t>
      </w:r>
      <w:r w:rsidR="008466A8">
        <w:t>t</w:t>
      </w:r>
      <w:r w:rsidR="00685F44">
        <w:t>eam</w:t>
      </w:r>
      <w:r>
        <w:t xml:space="preserve"> in the </w:t>
      </w:r>
      <w:r w:rsidRPr="00CD6245">
        <w:t>Departmen</w:t>
      </w:r>
      <w:r>
        <w:t>t of Treasury and Finance</w:t>
      </w:r>
      <w:r w:rsidR="0052525D">
        <w:t xml:space="preserve"> (DTF)</w:t>
      </w:r>
      <w:r>
        <w:t>.</w:t>
      </w:r>
    </w:p>
    <w:p w14:paraId="1A5E6445" w14:textId="1E532358" w:rsidR="00EE1CED" w:rsidRDefault="00EE1CED" w:rsidP="00EE1CED">
      <w:pPr>
        <w:pStyle w:val="Normal1"/>
      </w:pPr>
      <w:r>
        <w:t xml:space="preserve">Departments and accredited or specified entities report to us directly on their procurement activities, as shown in Figure </w:t>
      </w:r>
      <w:r w:rsidR="003E0090">
        <w:t>2</w:t>
      </w:r>
      <w:r>
        <w:t>.</w:t>
      </w:r>
    </w:p>
    <w:p w14:paraId="60C6EB51" w14:textId="77777777" w:rsidR="00EE1CED" w:rsidRDefault="00EE1CED" w:rsidP="00EE1CED">
      <w:pPr>
        <w:pStyle w:val="Normal1"/>
      </w:pPr>
      <w:r>
        <w:rPr>
          <w:noProof/>
          <w:lang w:val="en-US" w:eastAsia="en-US"/>
        </w:rPr>
        <mc:AlternateContent>
          <mc:Choice Requires="wpc">
            <w:drawing>
              <wp:inline distT="0" distB="0" distL="0" distR="0" wp14:anchorId="2CB920D9" wp14:editId="7FEAB176">
                <wp:extent cx="4229101" cy="2349500"/>
                <wp:effectExtent l="0" t="0" r="0" b="12700"/>
                <wp:docPr id="76" name="Canvas 76" descr="Diagram showing the reporting relationship as explained in the text.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Rounded Corners 15"/>
                        <wps:cNvSpPr/>
                        <wps:spPr>
                          <a:xfrm>
                            <a:off x="342900" y="35999"/>
                            <a:ext cx="3582328" cy="5715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2D2A8D2" w14:textId="77777777" w:rsidR="00064484" w:rsidRDefault="00064484" w:rsidP="00EE1CED">
                              <w:pPr>
                                <w:jc w:val="center"/>
                              </w:pPr>
                              <w:r w:rsidRPr="00150B0A">
                                <w:t>Assistant Treasurer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Rounded Corners 19"/>
                        <wps:cNvSpPr/>
                        <wps:spPr>
                          <a:xfrm>
                            <a:off x="333374" y="892273"/>
                            <a:ext cx="3591854" cy="533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51D9EBC6" w14:textId="0E4795A3" w:rsidR="00064484" w:rsidRDefault="00064484" w:rsidP="00EE1CED">
                              <w:pPr>
                                <w:jc w:val="center"/>
                              </w:pPr>
                              <w:r>
                                <w:t xml:space="preserve">VGPB supported by DTF’s </w:t>
                              </w:r>
                              <w:r w:rsidRPr="00150B0A">
                                <w:t xml:space="preserve">Procurement Policy and Reform </w:t>
                              </w:r>
                              <w:r>
                                <w:t>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Rounded Corners 23"/>
                        <wps:cNvSpPr/>
                        <wps:spPr>
                          <a:xfrm>
                            <a:off x="361949" y="1693348"/>
                            <a:ext cx="3563279" cy="57052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7013392" w14:textId="77777777" w:rsidR="00064484" w:rsidRDefault="00064484" w:rsidP="00EE1CED">
                              <w:pPr>
                                <w:pStyle w:val="NormalWeb"/>
                                <w:spacing w:before="0" w:beforeAutospacing="0" w:after="0" w:afterAutospacing="0"/>
                                <w:jc w:val="center"/>
                              </w:pPr>
                              <w:r>
                                <w:rPr>
                                  <w:rFonts w:ascii="Arial" w:hAnsi="Arial"/>
                                </w:rPr>
                                <w:t>Organisations (d</w:t>
                              </w:r>
                              <w:r w:rsidRPr="005768D5">
                                <w:rPr>
                                  <w:rFonts w:ascii="Arial" w:hAnsi="Arial"/>
                                </w:rPr>
                                <w:t>epartments and accredited</w:t>
                              </w:r>
                              <w:r>
                                <w:rPr>
                                  <w:rFonts w:ascii="Arial" w:hAnsi="Arial"/>
                                </w:rPr>
                                <w:t>/</w:t>
                              </w:r>
                              <w:r w:rsidRPr="005768D5">
                                <w:rPr>
                                  <w:rFonts w:ascii="Arial" w:hAnsi="Arial"/>
                                </w:rPr>
                                <w:t>specified entities</w:t>
                              </w:r>
                              <w:r>
                                <w:rPr>
                                  <w:rFonts w:ascii="Arial" w:hAnsi="Arial"/>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Arrow: Up-Down 21"/>
                        <wps:cNvSpPr/>
                        <wps:spPr>
                          <a:xfrm>
                            <a:off x="1971675" y="559874"/>
                            <a:ext cx="276225" cy="381000"/>
                          </a:xfrm>
                          <a:prstGeom prst="up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Arrow: Up-Down 26"/>
                        <wps:cNvSpPr/>
                        <wps:spPr>
                          <a:xfrm>
                            <a:off x="2019300" y="1349473"/>
                            <a:ext cx="276225" cy="381000"/>
                          </a:xfrm>
                          <a:prstGeom prst="up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CB920D9" id="Canvas 76" o:spid="_x0000_s1051" editas="canvas" alt="Diagram showing the reporting relationship as explained in the text. " style="width:333pt;height:185pt;mso-position-horizontal-relative:char;mso-position-vertical-relative:line" coordsize="42291,2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">
                <v:shape id="_x0000_s1052" type="#_x0000_t75" alt="Diagram showing the reporting relationship as explained in the text. " style="position:absolute;width:42291;height:23495;visibility:visible;mso-wrap-style:square">
                  <v:fill o:detectmouseclick="t"/>
                  <v:path o:connecttype="none"/>
                </v:shape>
                <v:roundrect id="Rectangle: Rounded Corners 15" o:spid="_x0000_s1053" style="position:absolute;left:3429;top:359;width:3582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" fillcolor="#4f81bd [3204]" strokecolor="#4579b8 [3044]">
                  <v:fill color2="#a7bfde [1620]" rotate="t" angle="180" focus="100%" type="gradient">
                    <o:fill v:ext="view" type="gradientUnscaled"/>
                  </v:fill>
                  <v:shadow on="t" color="black" opacity="22937f" origin=",.5" offset="0,.63889mm"/>
                  <v:textbox>
                    <w:txbxContent>
                      <w:p w14:paraId="32D2A8D2" w14:textId="77777777" w:rsidR="00064484" w:rsidRDefault="00064484" w:rsidP="00EE1CED">
                        <w:pPr>
                          <w:jc w:val="center"/>
                        </w:pPr>
                        <w:r w:rsidRPr="00150B0A">
                          <w:t>Assistant Treasurer</w:t>
                        </w:r>
                      </w:p>
                    </w:txbxContent>
                  </v:textbox>
                </v:roundrect>
                <v:roundrect id="Rectangle: Rounded Corners 19" o:spid="_x0000_s1054" style="position:absolute;left:3333;top:8922;width:35919;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" fillcolor="#4f81bd [3204]" strokecolor="#4579b8 [3044]">
                  <v:fill color2="#a7bfde [1620]" rotate="t" angle="180" focus="100%" type="gradient">
                    <o:fill v:ext="view" type="gradientUnscaled"/>
                  </v:fill>
                  <v:shadow on="t" color="black" opacity="22937f" origin=",.5" offset="0,.63889mm"/>
                  <v:textbox>
                    <w:txbxContent>
                      <w:p w14:paraId="51D9EBC6" w14:textId="0E4795A3" w:rsidR="00064484" w:rsidRDefault="00064484" w:rsidP="00EE1CED">
                        <w:pPr>
                          <w:jc w:val="center"/>
                        </w:pPr>
                        <w:r>
                          <w:t xml:space="preserve">VGPB supported by DTF’s </w:t>
                        </w:r>
                        <w:r w:rsidRPr="00150B0A">
                          <w:t xml:space="preserve">Procurement Policy and Reform </w:t>
                        </w:r>
                        <w:r>
                          <w:t>Team</w:t>
                        </w:r>
                      </w:p>
                    </w:txbxContent>
                  </v:textbox>
                </v:roundrect>
                <v:roundrect id="Rectangle: Rounded Corners 23" o:spid="_x0000_s1055" style="position:absolute;left:3619;top:16933;width:35633;height:5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" fillcolor="#4f81bd [3204]" strokecolor="#4579b8 [3044]">
                  <v:fill color2="#a7bfde [1620]" rotate="t" angle="180" focus="100%" type="gradient">
                    <o:fill v:ext="view" type="gradientUnscaled"/>
                  </v:fill>
                  <v:shadow on="t" color="black" opacity="22937f" origin=",.5" offset="0,.63889mm"/>
                  <v:textbox>
                    <w:txbxContent>
                      <w:p w14:paraId="47013392" w14:textId="77777777" w:rsidR="00064484" w:rsidRDefault="00064484" w:rsidP="00EE1CED">
                        <w:pPr>
                          <w:pStyle w:val="NormalWeb"/>
                          <w:spacing w:before="0" w:beforeAutospacing="0" w:after="0" w:afterAutospacing="0"/>
                          <w:jc w:val="center"/>
                        </w:pPr>
                        <w:r>
                          <w:rPr>
                            <w:rFonts w:ascii="Arial" w:hAnsi="Arial"/>
                          </w:rPr>
                          <w:t>Organisations (d</w:t>
                        </w:r>
                        <w:r w:rsidRPr="005768D5">
                          <w:rPr>
                            <w:rFonts w:ascii="Arial" w:hAnsi="Arial"/>
                          </w:rPr>
                          <w:t>epartments and accredited</w:t>
                        </w:r>
                        <w:r>
                          <w:rPr>
                            <w:rFonts w:ascii="Arial" w:hAnsi="Arial"/>
                          </w:rPr>
                          <w:t>/</w:t>
                        </w:r>
                        <w:r w:rsidRPr="005768D5">
                          <w:rPr>
                            <w:rFonts w:ascii="Arial" w:hAnsi="Arial"/>
                          </w:rPr>
                          <w:t>specified entities</w:t>
                        </w:r>
                        <w:r>
                          <w:rPr>
                            <w:rFonts w:ascii="Arial" w:hAnsi="Arial"/>
                          </w:rPr>
                          <w:t>)</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1" o:spid="_x0000_s1056" type="#_x0000_t70" style="position:absolute;left:19716;top:5598;width:276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" adj=",7830" fillcolor="#4f81bd [3204]" strokecolor="#4579b8 [3044]">
                  <v:fill color2="#a7bfde [1620]" rotate="t" angle="180" focus="100%" type="gradient">
                    <o:fill v:ext="view" type="gradientUnscaled"/>
                  </v:fill>
                  <v:shadow on="t" color="black" opacity="22937f" origin=",.5" offset="0,.63889mm"/>
                </v:shape>
                <v:shape id="Arrow: Up-Down 26" o:spid="_x0000_s1057" type="#_x0000_t70" style="position:absolute;left:20193;top:13494;width:276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" adj=",7830" fillcolor="#4f81bd [3204]" strokecolor="#4579b8 [3044]">
                  <v:fill color2="#a7bfde [1620]" rotate="t" angle="180" focus="100%" type="gradient">
                    <o:fill v:ext="view" type="gradientUnscaled"/>
                  </v:fill>
                  <v:shadow on="t" color="black" opacity="22937f" origin=",.5" offset="0,.63889mm"/>
                </v:shape>
                <w10:anchorlock/>
              </v:group>
            </w:pict>
          </mc:Fallback>
        </mc:AlternateContent>
      </w:r>
    </w:p>
    <w:p w14:paraId="715FC4EE" w14:textId="76AB822B" w:rsidR="000B585B" w:rsidRPr="003D31F5" w:rsidRDefault="000B585B" w:rsidP="000B585B">
      <w:pPr>
        <w:pStyle w:val="Caption"/>
      </w:pPr>
      <w:bookmarkStart w:id="28" w:name="_Toc17130225"/>
      <w:r>
        <w:t xml:space="preserve">Figure </w:t>
      </w:r>
      <w:r w:rsidR="00BE0754">
        <w:fldChar w:fldCharType="begin"/>
      </w:r>
      <w:r w:rsidR="00BE0754">
        <w:instrText xml:space="preserve"> SEQ Figure \* ARABIC </w:instrText>
      </w:r>
      <w:r w:rsidR="00BE0754">
        <w:fldChar w:fldCharType="separate"/>
      </w:r>
      <w:r w:rsidR="00152B74">
        <w:rPr>
          <w:noProof/>
        </w:rPr>
        <w:t>2</w:t>
      </w:r>
      <w:r w:rsidR="00BE0754">
        <w:rPr>
          <w:noProof/>
        </w:rPr>
        <w:fldChar w:fldCharType="end"/>
      </w:r>
      <w:r>
        <w:t xml:space="preserve">: </w:t>
      </w:r>
      <w:r w:rsidRPr="003D31F5">
        <w:t>VGPB reporting relationship</w:t>
      </w:r>
      <w:bookmarkEnd w:id="28"/>
    </w:p>
    <w:p w14:paraId="68AA1AE7" w14:textId="3F9F8D6F" w:rsidR="004A6A11" w:rsidRPr="00CD6245" w:rsidRDefault="00B05050" w:rsidP="004A6A11">
      <w:pPr>
        <w:pStyle w:val="Heading2NoNum"/>
        <w:rPr>
          <w:lang w:val="en-GB"/>
        </w:rPr>
      </w:pPr>
      <w:bookmarkStart w:id="29" w:name="_Toc52187713"/>
      <w:r>
        <w:rPr>
          <w:lang w:val="en-GB"/>
        </w:rPr>
        <w:t>B</w:t>
      </w:r>
      <w:r w:rsidR="0078371C">
        <w:rPr>
          <w:lang w:val="en-GB"/>
        </w:rPr>
        <w:t>oard</w:t>
      </w:r>
      <w:r w:rsidR="004A6A11" w:rsidRPr="00CD6245">
        <w:rPr>
          <w:lang w:val="en-GB"/>
        </w:rPr>
        <w:t xml:space="preserve"> members</w:t>
      </w:r>
      <w:bookmarkEnd w:id="23"/>
      <w:bookmarkEnd w:id="24"/>
      <w:bookmarkEnd w:id="29"/>
    </w:p>
    <w:p w14:paraId="60D6F1EC" w14:textId="086FD394" w:rsidR="00450A27" w:rsidRDefault="009353F3" w:rsidP="00E41631">
      <w:pPr>
        <w:pStyle w:val="Normal1"/>
      </w:pPr>
      <w:r>
        <w:t>The VGPB</w:t>
      </w:r>
      <w:r w:rsidR="00450A27" w:rsidRPr="00CD6245">
        <w:t xml:space="preserve"> </w:t>
      </w:r>
      <w:r w:rsidR="00985ED6">
        <w:t>has</w:t>
      </w:r>
      <w:r w:rsidR="00450A27" w:rsidRPr="00CD6245">
        <w:t xml:space="preserve"> a chairperson and </w:t>
      </w:r>
      <w:r w:rsidR="00985ED6">
        <w:t>a</w:t>
      </w:r>
      <w:r w:rsidR="001F5F02">
        <w:t xml:space="preserve"> minimum of </w:t>
      </w:r>
      <w:r w:rsidR="00450A27" w:rsidRPr="00CD6245">
        <w:t xml:space="preserve">six other members. Board members are selected based on </w:t>
      </w:r>
      <w:r w:rsidR="00393EE1" w:rsidRPr="00CD6245">
        <w:t xml:space="preserve">procurement </w:t>
      </w:r>
      <w:r w:rsidR="00450A27" w:rsidRPr="00CD6245">
        <w:t>experience and expertise. They can be internal or external to government.</w:t>
      </w:r>
    </w:p>
    <w:p w14:paraId="40743174" w14:textId="272B886D" w:rsidR="00305B63" w:rsidRDefault="00B72FA1" w:rsidP="0038456D">
      <w:pPr>
        <w:pStyle w:val="Normal1"/>
      </w:pPr>
      <w:r>
        <w:t>In 2019–20, the VGPB had eight members.</w:t>
      </w:r>
    </w:p>
    <w:p w14:paraId="4DED5F97" w14:textId="77777777" w:rsidR="00102B0F" w:rsidRDefault="00792450" w:rsidP="00102B0F">
      <w:pPr>
        <w:pStyle w:val="Normal1"/>
        <w:rPr>
          <w:rStyle w:val="Strong"/>
        </w:rPr>
      </w:pPr>
      <w:r w:rsidRPr="00102B0F">
        <w:rPr>
          <w:rStyle w:val="Strong"/>
        </w:rPr>
        <w:t xml:space="preserve">ANTOINETTE BRANDI </w:t>
      </w:r>
      <w:r w:rsidR="009C63B1">
        <w:rPr>
          <w:rStyle w:val="Strong"/>
        </w:rPr>
        <w:t>(</w:t>
      </w:r>
      <w:r w:rsidR="00102B0F" w:rsidRPr="00102B0F">
        <w:rPr>
          <w:rStyle w:val="Strong"/>
        </w:rPr>
        <w:t>Chair</w:t>
      </w:r>
      <w:r w:rsidR="009C63B1">
        <w:rPr>
          <w:rStyle w:val="Strong"/>
        </w:rPr>
        <w:t>)</w:t>
      </w:r>
    </w:p>
    <w:p w14:paraId="2678F767" w14:textId="3C501406" w:rsidR="00102B0F" w:rsidRPr="00102B0F" w:rsidRDefault="00102B0F" w:rsidP="00102B0F">
      <w:pPr>
        <w:pStyle w:val="Normal1"/>
        <w:rPr>
          <w:rStyle w:val="Strong"/>
          <w:b w:val="0"/>
          <w:bCs w:val="0"/>
        </w:rPr>
      </w:pPr>
      <w:r w:rsidRPr="00102B0F">
        <w:rPr>
          <w:rStyle w:val="Strong"/>
          <w:b w:val="0"/>
          <w:bCs w:val="0"/>
        </w:rPr>
        <w:t>A</w:t>
      </w:r>
      <w:r>
        <w:rPr>
          <w:rStyle w:val="Strong"/>
          <w:b w:val="0"/>
          <w:bCs w:val="0"/>
        </w:rPr>
        <w:t>ppointed as a VGPB member in 2015, Antionette Brandi has chaired the VGPB since July 2018. Antionette has e</w:t>
      </w:r>
      <w:r w:rsidRPr="00102B0F">
        <w:rPr>
          <w:rStyle w:val="Strong"/>
          <w:b w:val="0"/>
          <w:bCs w:val="0"/>
        </w:rPr>
        <w:t>xtensive procurement experience in the public and private sectors at the senior executiv</w:t>
      </w:r>
      <w:r>
        <w:rPr>
          <w:rStyle w:val="Strong"/>
          <w:b w:val="0"/>
          <w:bCs w:val="0"/>
        </w:rPr>
        <w:t>e</w:t>
      </w:r>
      <w:r w:rsidRPr="00102B0F">
        <w:rPr>
          <w:rStyle w:val="Strong"/>
          <w:b w:val="0"/>
          <w:bCs w:val="0"/>
        </w:rPr>
        <w:t xml:space="preserve"> level</w:t>
      </w:r>
      <w:r>
        <w:rPr>
          <w:rStyle w:val="Strong"/>
          <w:b w:val="0"/>
          <w:bCs w:val="0"/>
        </w:rPr>
        <w:t xml:space="preserve"> and is the first female </w:t>
      </w:r>
      <w:r>
        <w:t xml:space="preserve">in Australia to gain </w:t>
      </w:r>
      <w:r w:rsidR="00A00449">
        <w:t>F</w:t>
      </w:r>
      <w:r>
        <w:t>ellow status in the Chartered Institute of Procurement and Supply.</w:t>
      </w:r>
    </w:p>
    <w:p w14:paraId="09B7F234" w14:textId="6795BF50" w:rsidR="00EE1CED" w:rsidRDefault="00102B0F" w:rsidP="00102B0F">
      <w:pPr>
        <w:pStyle w:val="Normal1"/>
      </w:pPr>
      <w:r>
        <w:t>Throughout her career, Antoinette has taken on many different operational management roles and led goods and services procurement projects and initiatives in the mining and construction industries. This includes developing procurement supply chain strategies and risk management assurance processes.</w:t>
      </w:r>
    </w:p>
    <w:p w14:paraId="3766FADD" w14:textId="77777777" w:rsidR="006A737D" w:rsidRDefault="006A737D">
      <w:pPr>
        <w:rPr>
          <w:rStyle w:val="Strong"/>
          <w:rFonts w:ascii="Calibri" w:hAnsi="Calibri" w:cs="Calibri"/>
          <w:sz w:val="22"/>
          <w:szCs w:val="22"/>
        </w:rPr>
      </w:pPr>
      <w:r>
        <w:rPr>
          <w:rStyle w:val="Strong"/>
        </w:rPr>
        <w:br w:type="page"/>
      </w:r>
    </w:p>
    <w:p w14:paraId="70D368D0" w14:textId="1FFFE7A9" w:rsidR="00102B0F" w:rsidRDefault="00792450" w:rsidP="00792450">
      <w:pPr>
        <w:pStyle w:val="Normal1"/>
        <w:rPr>
          <w:rStyle w:val="Strong"/>
        </w:rPr>
      </w:pPr>
      <w:r w:rsidRPr="00792450">
        <w:rPr>
          <w:rStyle w:val="Strong"/>
        </w:rPr>
        <w:lastRenderedPageBreak/>
        <w:t>CLAIRE THOMAS</w:t>
      </w:r>
    </w:p>
    <w:p w14:paraId="68A6CC00" w14:textId="44D030A7" w:rsidR="00A00449" w:rsidRDefault="00A3289F" w:rsidP="00935A6B">
      <w:pPr>
        <w:pStyle w:val="Normal1"/>
      </w:pPr>
      <w:r>
        <w:t>Claire is an economics professional with a background in public policy and administration. Now an independent public policy consultant, Claire has provided economic and public policy advice to a range of government and not</w:t>
      </w:r>
      <w:r w:rsidR="00783F0A">
        <w:t>-</w:t>
      </w:r>
      <w:r>
        <w:t>fo</w:t>
      </w:r>
      <w:r w:rsidR="005C4F4A">
        <w:t>r</w:t>
      </w:r>
      <w:r w:rsidR="00783F0A">
        <w:t>-</w:t>
      </w:r>
      <w:r>
        <w:t>profit organisations. A non-executive director of a not-for-profit disability service provider, Claire is also a member of the Independent Review Panel providing probity oversight over the allocation of gambling licences in Victoria, and an independent member of the Department of Justice and Community Safety Audit and Risk Management Committee.</w:t>
      </w:r>
    </w:p>
    <w:p w14:paraId="49A76006" w14:textId="2CE858E3" w:rsidR="00935A6B" w:rsidRPr="00935A6B" w:rsidRDefault="00935A6B" w:rsidP="00935A6B">
      <w:pPr>
        <w:pStyle w:val="Normal1"/>
        <w:rPr>
          <w:rStyle w:val="Strong"/>
        </w:rPr>
      </w:pPr>
      <w:r w:rsidRPr="00935A6B">
        <w:rPr>
          <w:rStyle w:val="Strong"/>
        </w:rPr>
        <w:t>CRAIG ROONEY</w:t>
      </w:r>
    </w:p>
    <w:p w14:paraId="351B96BB" w14:textId="4BAD1F5E" w:rsidR="00935A6B" w:rsidRDefault="00935A6B" w:rsidP="00935A6B">
      <w:pPr>
        <w:pStyle w:val="Normal1"/>
        <w:rPr>
          <w:rStyle w:val="Strong"/>
          <w:b w:val="0"/>
          <w:bCs w:val="0"/>
        </w:rPr>
      </w:pPr>
      <w:r>
        <w:rPr>
          <w:rStyle w:val="Strong"/>
          <w:b w:val="0"/>
          <w:bCs w:val="0"/>
        </w:rPr>
        <w:t>Craig</w:t>
      </w:r>
      <w:r w:rsidRPr="00935A6B">
        <w:rPr>
          <w:rStyle w:val="Strong"/>
          <w:b w:val="0"/>
          <w:bCs w:val="0"/>
        </w:rPr>
        <w:t xml:space="preserve"> Rooney has </w:t>
      </w:r>
      <w:r w:rsidR="00577B29">
        <w:rPr>
          <w:rStyle w:val="Strong"/>
          <w:b w:val="0"/>
          <w:bCs w:val="0"/>
        </w:rPr>
        <w:t>more than</w:t>
      </w:r>
      <w:r w:rsidRPr="00935A6B">
        <w:rPr>
          <w:rStyle w:val="Strong"/>
          <w:b w:val="0"/>
          <w:bCs w:val="0"/>
        </w:rPr>
        <w:t xml:space="preserve"> 25 years of procurement experience in the public, private and consulting environments with demonstrated success derived through strong business management, financial management, strategic thinking, customer focus and people leadership skills.</w:t>
      </w:r>
    </w:p>
    <w:p w14:paraId="7E724185" w14:textId="00047AB9" w:rsidR="00935A6B" w:rsidRPr="00935A6B" w:rsidRDefault="00935A6B" w:rsidP="00935A6B">
      <w:pPr>
        <w:pStyle w:val="Normal1"/>
        <w:rPr>
          <w:rStyle w:val="Strong"/>
          <w:b w:val="0"/>
          <w:bCs w:val="0"/>
        </w:rPr>
      </w:pPr>
      <w:r>
        <w:rPr>
          <w:rStyle w:val="Strong"/>
          <w:b w:val="0"/>
          <w:bCs w:val="0"/>
        </w:rPr>
        <w:t xml:space="preserve">Craig </w:t>
      </w:r>
      <w:r w:rsidR="00685F44">
        <w:rPr>
          <w:rStyle w:val="Strong"/>
          <w:b w:val="0"/>
          <w:bCs w:val="0"/>
        </w:rPr>
        <w:t>was</w:t>
      </w:r>
      <w:r w:rsidRPr="00935A6B">
        <w:rPr>
          <w:rStyle w:val="Strong"/>
          <w:b w:val="0"/>
          <w:bCs w:val="0"/>
        </w:rPr>
        <w:t xml:space="preserve"> the Victorian Operations Manager for Metricon Homes having previously held several senior procurement management positions at Porter Davis Homes, CSR Sugar, Madison Cross Corporate Advisory and Coles Group.</w:t>
      </w:r>
    </w:p>
    <w:p w14:paraId="0048975D" w14:textId="08AB8C48" w:rsidR="00792450" w:rsidRPr="00792450" w:rsidRDefault="00792450" w:rsidP="00792450">
      <w:pPr>
        <w:pStyle w:val="Normal1"/>
        <w:rPr>
          <w:rStyle w:val="Strong"/>
        </w:rPr>
      </w:pPr>
      <w:r w:rsidRPr="00792450">
        <w:rPr>
          <w:rStyle w:val="Strong"/>
        </w:rPr>
        <w:t>DENISE DYER</w:t>
      </w:r>
    </w:p>
    <w:p w14:paraId="7BE36AA0" w14:textId="78E43871" w:rsidR="00792450" w:rsidRPr="00792450" w:rsidRDefault="00792450" w:rsidP="00792450">
      <w:pPr>
        <w:pStyle w:val="Normal1"/>
        <w:rPr>
          <w:rStyle w:val="Strong"/>
          <w:b w:val="0"/>
          <w:bCs w:val="0"/>
        </w:rPr>
      </w:pPr>
      <w:r w:rsidRPr="00792450">
        <w:rPr>
          <w:rStyle w:val="Strong"/>
          <w:b w:val="0"/>
          <w:bCs w:val="0"/>
        </w:rPr>
        <w:t>Denise Dyer</w:t>
      </w:r>
      <w:r>
        <w:rPr>
          <w:rStyle w:val="Strong"/>
          <w:b w:val="0"/>
          <w:bCs w:val="0"/>
        </w:rPr>
        <w:t xml:space="preserve"> works for the </w:t>
      </w:r>
      <w:r w:rsidRPr="00792450">
        <w:rPr>
          <w:rStyle w:val="Strong"/>
          <w:b w:val="0"/>
          <w:bCs w:val="0"/>
        </w:rPr>
        <w:t>Victorian public sector as a senior manager in property and procurement at William Angliss Institute.</w:t>
      </w:r>
      <w:r>
        <w:rPr>
          <w:rStyle w:val="Strong"/>
          <w:b w:val="0"/>
          <w:bCs w:val="0"/>
        </w:rPr>
        <w:t xml:space="preserve"> Denise is </w:t>
      </w:r>
      <w:r w:rsidRPr="002342AD">
        <w:rPr>
          <w:rStyle w:val="Strong"/>
          <w:b w:val="0"/>
          <w:bCs w:val="0"/>
        </w:rPr>
        <w:t>a multi-skilled pr</w:t>
      </w:r>
      <w:r w:rsidRPr="00792450">
        <w:rPr>
          <w:rStyle w:val="Strong"/>
          <w:b w:val="0"/>
          <w:bCs w:val="0"/>
        </w:rPr>
        <w:t>ofessional with extensive experience in procurement, property and stakeholder relationship management</w:t>
      </w:r>
      <w:r>
        <w:rPr>
          <w:rStyle w:val="Strong"/>
          <w:b w:val="0"/>
          <w:bCs w:val="0"/>
        </w:rPr>
        <w:t xml:space="preserve">. Denise has led </w:t>
      </w:r>
      <w:r w:rsidRPr="00792450">
        <w:rPr>
          <w:rStyle w:val="Strong"/>
          <w:b w:val="0"/>
          <w:bCs w:val="0"/>
        </w:rPr>
        <w:t>major capability and change projects including information technology initiatives such as Zycus procurement software across Australia Post</w:t>
      </w:r>
      <w:r w:rsidR="002342AD">
        <w:rPr>
          <w:rStyle w:val="Strong"/>
          <w:b w:val="0"/>
          <w:bCs w:val="0"/>
        </w:rPr>
        <w:t>.</w:t>
      </w:r>
    </w:p>
    <w:p w14:paraId="5E7E83E5" w14:textId="0E4B2D7A" w:rsidR="00792450" w:rsidRDefault="00792450" w:rsidP="00792450">
      <w:pPr>
        <w:pStyle w:val="Normal1"/>
        <w:rPr>
          <w:rStyle w:val="Strong"/>
          <w:b w:val="0"/>
          <w:bCs w:val="0"/>
        </w:rPr>
      </w:pPr>
      <w:r>
        <w:rPr>
          <w:rStyle w:val="Strong"/>
          <w:b w:val="0"/>
          <w:bCs w:val="0"/>
        </w:rPr>
        <w:t xml:space="preserve">Denise’s </w:t>
      </w:r>
      <w:r w:rsidRPr="00792450">
        <w:rPr>
          <w:rStyle w:val="Strong"/>
          <w:b w:val="0"/>
          <w:bCs w:val="0"/>
        </w:rPr>
        <w:t>background i</w:t>
      </w:r>
      <w:r>
        <w:rPr>
          <w:rStyle w:val="Strong"/>
          <w:b w:val="0"/>
          <w:bCs w:val="0"/>
        </w:rPr>
        <w:t>s in</w:t>
      </w:r>
      <w:r w:rsidRPr="00792450">
        <w:rPr>
          <w:rStyle w:val="Strong"/>
          <w:b w:val="0"/>
          <w:bCs w:val="0"/>
        </w:rPr>
        <w:t xml:space="preserve"> finance and consulting, and achieving social procurement outcomes in sourcing activities. Previously she </w:t>
      </w:r>
      <w:r>
        <w:rPr>
          <w:rStyle w:val="Strong"/>
          <w:b w:val="0"/>
          <w:bCs w:val="0"/>
        </w:rPr>
        <w:t>c</w:t>
      </w:r>
      <w:r w:rsidRPr="00792450">
        <w:rPr>
          <w:rStyle w:val="Strong"/>
          <w:b w:val="0"/>
          <w:bCs w:val="0"/>
        </w:rPr>
        <w:t xml:space="preserve">haired the Corporate Real Estate Committee of the Victorian Property Council, and </w:t>
      </w:r>
      <w:r>
        <w:rPr>
          <w:rStyle w:val="Strong"/>
          <w:b w:val="0"/>
          <w:bCs w:val="0"/>
        </w:rPr>
        <w:t xml:space="preserve">was </w:t>
      </w:r>
      <w:r w:rsidRPr="00792450">
        <w:rPr>
          <w:rStyle w:val="Strong"/>
          <w:b w:val="0"/>
          <w:bCs w:val="0"/>
        </w:rPr>
        <w:t xml:space="preserve">company secretary of </w:t>
      </w:r>
      <w:proofErr w:type="spellStart"/>
      <w:r w:rsidRPr="00792450">
        <w:rPr>
          <w:rStyle w:val="Strong"/>
          <w:b w:val="0"/>
          <w:bCs w:val="0"/>
        </w:rPr>
        <w:t>corProcure</w:t>
      </w:r>
      <w:proofErr w:type="spellEnd"/>
      <w:r w:rsidR="002342AD">
        <w:rPr>
          <w:rStyle w:val="Strong"/>
          <w:b w:val="0"/>
          <w:bCs w:val="0"/>
        </w:rPr>
        <w:t xml:space="preserve"> –</w:t>
      </w:r>
      <w:r w:rsidRPr="00792450">
        <w:rPr>
          <w:rStyle w:val="Strong"/>
          <w:b w:val="0"/>
          <w:bCs w:val="0"/>
        </w:rPr>
        <w:t xml:space="preserve"> a joint venture between major corporations to promote global buying.</w:t>
      </w:r>
    </w:p>
    <w:p w14:paraId="3696D583" w14:textId="21038271" w:rsidR="00935A6B" w:rsidRPr="00935A6B" w:rsidRDefault="00935A6B" w:rsidP="00935A6B">
      <w:pPr>
        <w:pStyle w:val="Normal1"/>
        <w:rPr>
          <w:rStyle w:val="Strong"/>
        </w:rPr>
      </w:pPr>
      <w:r w:rsidRPr="00935A6B">
        <w:rPr>
          <w:rStyle w:val="Strong"/>
        </w:rPr>
        <w:t>PETER LANE</w:t>
      </w:r>
    </w:p>
    <w:p w14:paraId="5389DCF4" w14:textId="383EFB3F" w:rsidR="00935A6B" w:rsidRPr="00935A6B" w:rsidRDefault="00935A6B" w:rsidP="00935A6B">
      <w:pPr>
        <w:pStyle w:val="Normal1"/>
        <w:rPr>
          <w:rStyle w:val="Strong"/>
          <w:b w:val="0"/>
          <w:bCs w:val="0"/>
        </w:rPr>
      </w:pPr>
      <w:r w:rsidRPr="00935A6B">
        <w:rPr>
          <w:rStyle w:val="Strong"/>
          <w:b w:val="0"/>
          <w:bCs w:val="0"/>
        </w:rPr>
        <w:t>Peter Lane is an experienced information technology professional,</w:t>
      </w:r>
      <w:r>
        <w:rPr>
          <w:rStyle w:val="Strong"/>
          <w:b w:val="0"/>
          <w:bCs w:val="0"/>
        </w:rPr>
        <w:t xml:space="preserve"> who has </w:t>
      </w:r>
      <w:r w:rsidRPr="00935A6B">
        <w:rPr>
          <w:rStyle w:val="Strong"/>
          <w:b w:val="0"/>
          <w:bCs w:val="0"/>
        </w:rPr>
        <w:t>worked across the automotive, consumer goods</w:t>
      </w:r>
      <w:r w:rsidR="00967CA3">
        <w:rPr>
          <w:rStyle w:val="Strong"/>
          <w:b w:val="0"/>
          <w:bCs w:val="0"/>
        </w:rPr>
        <w:t xml:space="preserve"> and</w:t>
      </w:r>
      <w:r w:rsidRPr="00935A6B">
        <w:rPr>
          <w:rStyle w:val="Strong"/>
          <w:b w:val="0"/>
          <w:bCs w:val="0"/>
        </w:rPr>
        <w:t xml:space="preserve"> technology consulting sectors, both in Australia and internationally.</w:t>
      </w:r>
    </w:p>
    <w:p w14:paraId="4BBE02E0" w14:textId="6656332C" w:rsidR="00E843AD" w:rsidRDefault="00E116AB" w:rsidP="00935A6B">
      <w:pPr>
        <w:pStyle w:val="Normal1"/>
        <w:rPr>
          <w:rStyle w:val="Strong"/>
          <w:b w:val="0"/>
          <w:bCs w:val="0"/>
        </w:rPr>
      </w:pPr>
      <w:r>
        <w:t>H</w:t>
      </w:r>
      <w:r w:rsidR="00E843AD">
        <w:t xml:space="preserve">e </w:t>
      </w:r>
      <w:r>
        <w:t>was previously</w:t>
      </w:r>
      <w:r w:rsidR="00E843AD">
        <w:t xml:space="preserve"> employed within the Victorian </w:t>
      </w:r>
      <w:r w:rsidR="00A00449">
        <w:t>p</w:t>
      </w:r>
      <w:r w:rsidR="00E843AD">
        <w:t xml:space="preserve">ublic </w:t>
      </w:r>
      <w:r w:rsidR="00A00449">
        <w:t>s</w:t>
      </w:r>
      <w:r w:rsidR="00E843AD">
        <w:t>ector as Chief Information Officer in the Department of Jobs, Precincts and Regions</w:t>
      </w:r>
      <w:r w:rsidR="00B97777">
        <w:t>.</w:t>
      </w:r>
    </w:p>
    <w:p w14:paraId="54CEBA7A" w14:textId="3B1FBDB8" w:rsidR="00935A6B" w:rsidRPr="00935A6B" w:rsidRDefault="00935A6B" w:rsidP="00935A6B">
      <w:pPr>
        <w:pStyle w:val="Normal1"/>
        <w:rPr>
          <w:rStyle w:val="Strong"/>
        </w:rPr>
      </w:pPr>
      <w:r w:rsidRPr="00935A6B">
        <w:rPr>
          <w:rStyle w:val="Strong"/>
        </w:rPr>
        <w:t>RUSSELL YARDLEY</w:t>
      </w:r>
    </w:p>
    <w:p w14:paraId="19D4AB2C" w14:textId="2CDC4794" w:rsidR="00935A6B" w:rsidRPr="00792450" w:rsidRDefault="00935A6B" w:rsidP="00935A6B">
      <w:pPr>
        <w:pStyle w:val="Normal1"/>
        <w:rPr>
          <w:rStyle w:val="Strong"/>
          <w:b w:val="0"/>
          <w:bCs w:val="0"/>
        </w:rPr>
      </w:pPr>
      <w:r>
        <w:rPr>
          <w:rStyle w:val="Strong"/>
          <w:b w:val="0"/>
          <w:bCs w:val="0"/>
        </w:rPr>
        <w:t>Russell</w:t>
      </w:r>
      <w:r w:rsidRPr="00935A6B">
        <w:rPr>
          <w:rStyle w:val="Strong"/>
          <w:b w:val="0"/>
          <w:bCs w:val="0"/>
        </w:rPr>
        <w:t xml:space="preserve"> Yardley is a successful entrepreneur and business owner. </w:t>
      </w:r>
      <w:r>
        <w:rPr>
          <w:rStyle w:val="Strong"/>
          <w:b w:val="0"/>
          <w:bCs w:val="0"/>
        </w:rPr>
        <w:t>Russell</w:t>
      </w:r>
      <w:r w:rsidRPr="00935A6B">
        <w:rPr>
          <w:rStyle w:val="Strong"/>
          <w:b w:val="0"/>
          <w:bCs w:val="0"/>
        </w:rPr>
        <w:t xml:space="preserve"> has strong governance skills and is an experienced </w:t>
      </w:r>
      <w:r w:rsidR="00FD21F8">
        <w:rPr>
          <w:rStyle w:val="Strong"/>
          <w:b w:val="0"/>
          <w:bCs w:val="0"/>
        </w:rPr>
        <w:t>b</w:t>
      </w:r>
      <w:r w:rsidRPr="00935A6B">
        <w:rPr>
          <w:rStyle w:val="Strong"/>
          <w:b w:val="0"/>
          <w:bCs w:val="0"/>
        </w:rPr>
        <w:t xml:space="preserve">oard member. His career </w:t>
      </w:r>
      <w:r>
        <w:rPr>
          <w:rStyle w:val="Strong"/>
          <w:b w:val="0"/>
          <w:bCs w:val="0"/>
        </w:rPr>
        <w:t xml:space="preserve">has </w:t>
      </w:r>
      <w:r w:rsidRPr="00935A6B">
        <w:rPr>
          <w:rStyle w:val="Strong"/>
          <w:b w:val="0"/>
          <w:bCs w:val="0"/>
        </w:rPr>
        <w:t>focus</w:t>
      </w:r>
      <w:r>
        <w:rPr>
          <w:rStyle w:val="Strong"/>
          <w:b w:val="0"/>
          <w:bCs w:val="0"/>
        </w:rPr>
        <w:t>ed</w:t>
      </w:r>
      <w:r w:rsidRPr="00935A6B">
        <w:rPr>
          <w:rStyle w:val="Strong"/>
          <w:b w:val="0"/>
          <w:bCs w:val="0"/>
        </w:rPr>
        <w:t xml:space="preserve"> on innovation, ideas strategy, business and planning in the ICT industry in particular.</w:t>
      </w:r>
    </w:p>
    <w:p w14:paraId="0EB76A17" w14:textId="1EAFF6AE" w:rsidR="00792450" w:rsidRPr="00792450" w:rsidRDefault="00792450" w:rsidP="00792450">
      <w:pPr>
        <w:pStyle w:val="Normal1"/>
        <w:rPr>
          <w:rStyle w:val="Strong"/>
        </w:rPr>
      </w:pPr>
      <w:r w:rsidRPr="00792450">
        <w:rPr>
          <w:rStyle w:val="Strong"/>
        </w:rPr>
        <w:t>SEONA JAMES</w:t>
      </w:r>
    </w:p>
    <w:p w14:paraId="2D6DA330" w14:textId="19B2C173" w:rsidR="00792450" w:rsidRPr="00792450" w:rsidRDefault="00792450" w:rsidP="00792450">
      <w:pPr>
        <w:pStyle w:val="Normal1"/>
        <w:rPr>
          <w:rStyle w:val="Strong"/>
          <w:b w:val="0"/>
          <w:bCs w:val="0"/>
        </w:rPr>
      </w:pPr>
      <w:r w:rsidRPr="00792450">
        <w:rPr>
          <w:rStyle w:val="Strong"/>
          <w:b w:val="0"/>
          <w:bCs w:val="0"/>
        </w:rPr>
        <w:t xml:space="preserve">Seona James is a Yorta Yorta woman </w:t>
      </w:r>
      <w:r>
        <w:rPr>
          <w:rStyle w:val="Strong"/>
          <w:b w:val="0"/>
          <w:bCs w:val="0"/>
        </w:rPr>
        <w:t xml:space="preserve">with a </w:t>
      </w:r>
      <w:r w:rsidRPr="00792450">
        <w:rPr>
          <w:rStyle w:val="Strong"/>
          <w:b w:val="0"/>
          <w:bCs w:val="0"/>
        </w:rPr>
        <w:t xml:space="preserve">career </w:t>
      </w:r>
      <w:r>
        <w:rPr>
          <w:rStyle w:val="Strong"/>
          <w:b w:val="0"/>
          <w:bCs w:val="0"/>
        </w:rPr>
        <w:t>focused</w:t>
      </w:r>
      <w:r w:rsidRPr="00792450">
        <w:rPr>
          <w:rStyle w:val="Strong"/>
          <w:b w:val="0"/>
          <w:bCs w:val="0"/>
        </w:rPr>
        <w:t xml:space="preserve"> primarily </w:t>
      </w:r>
      <w:r>
        <w:rPr>
          <w:rStyle w:val="Strong"/>
          <w:b w:val="0"/>
          <w:bCs w:val="0"/>
        </w:rPr>
        <w:t>o</w:t>
      </w:r>
      <w:r w:rsidRPr="00792450">
        <w:rPr>
          <w:rStyle w:val="Strong"/>
          <w:b w:val="0"/>
          <w:bCs w:val="0"/>
        </w:rPr>
        <w:t>n Aboriginal engagement and relationship building</w:t>
      </w:r>
      <w:r>
        <w:rPr>
          <w:rStyle w:val="Strong"/>
          <w:b w:val="0"/>
          <w:bCs w:val="0"/>
        </w:rPr>
        <w:t>,</w:t>
      </w:r>
      <w:r w:rsidRPr="00792450">
        <w:rPr>
          <w:rStyle w:val="Strong"/>
          <w:b w:val="0"/>
          <w:bCs w:val="0"/>
        </w:rPr>
        <w:t xml:space="preserve"> both externally with Aboriginal organisations and internally with leadership teams and employees. She has </w:t>
      </w:r>
      <w:r>
        <w:rPr>
          <w:rStyle w:val="Strong"/>
          <w:b w:val="0"/>
          <w:bCs w:val="0"/>
        </w:rPr>
        <w:t>worked</w:t>
      </w:r>
      <w:r w:rsidRPr="00792450">
        <w:rPr>
          <w:rStyle w:val="Strong"/>
          <w:b w:val="0"/>
          <w:bCs w:val="0"/>
        </w:rPr>
        <w:t xml:space="preserve"> with the Victorian Civil and Administrative Tribunal, the Department of Health and Human Services </w:t>
      </w:r>
      <w:r w:rsidR="00E40C73">
        <w:rPr>
          <w:rStyle w:val="Strong"/>
          <w:b w:val="0"/>
          <w:bCs w:val="0"/>
        </w:rPr>
        <w:t>E</w:t>
      </w:r>
      <w:r w:rsidRPr="00792450">
        <w:rPr>
          <w:rStyle w:val="Strong"/>
          <w:b w:val="0"/>
          <w:bCs w:val="0"/>
        </w:rPr>
        <w:t xml:space="preserve">ast Division, Linfox Logistics Australia, CPA Australia, </w:t>
      </w:r>
      <w:r>
        <w:rPr>
          <w:rStyle w:val="Strong"/>
          <w:b w:val="0"/>
          <w:bCs w:val="0"/>
        </w:rPr>
        <w:t xml:space="preserve">the </w:t>
      </w:r>
      <w:r w:rsidRPr="00792450">
        <w:rPr>
          <w:rStyle w:val="Strong"/>
          <w:b w:val="0"/>
          <w:bCs w:val="0"/>
        </w:rPr>
        <w:t>Department of Justice and Community Safety, and Australia Post.</w:t>
      </w:r>
    </w:p>
    <w:p w14:paraId="621A3011" w14:textId="795B305C" w:rsidR="00792450" w:rsidRDefault="00792450" w:rsidP="00792450">
      <w:pPr>
        <w:pStyle w:val="Normal1"/>
        <w:rPr>
          <w:rStyle w:val="Strong"/>
          <w:b w:val="0"/>
          <w:bCs w:val="0"/>
        </w:rPr>
      </w:pPr>
      <w:r>
        <w:rPr>
          <w:rStyle w:val="Strong"/>
          <w:b w:val="0"/>
          <w:bCs w:val="0"/>
        </w:rPr>
        <w:t>Seona</w:t>
      </w:r>
      <w:r w:rsidRPr="00792450">
        <w:rPr>
          <w:rStyle w:val="Strong"/>
          <w:b w:val="0"/>
          <w:bCs w:val="0"/>
        </w:rPr>
        <w:t xml:space="preserve"> </w:t>
      </w:r>
      <w:r>
        <w:rPr>
          <w:rStyle w:val="Strong"/>
          <w:b w:val="0"/>
          <w:bCs w:val="0"/>
        </w:rPr>
        <w:t xml:space="preserve">is currently self-employed at her </w:t>
      </w:r>
      <w:r w:rsidRPr="00792450">
        <w:rPr>
          <w:rStyle w:val="Strong"/>
          <w:b w:val="0"/>
          <w:bCs w:val="0"/>
        </w:rPr>
        <w:t>business</w:t>
      </w:r>
      <w:r w:rsidR="00FD21F8">
        <w:rPr>
          <w:rStyle w:val="Strong"/>
          <w:b w:val="0"/>
          <w:bCs w:val="0"/>
        </w:rPr>
        <w:t xml:space="preserve">, </w:t>
      </w:r>
      <w:r w:rsidRPr="00792450">
        <w:rPr>
          <w:rStyle w:val="Strong"/>
          <w:b w:val="0"/>
          <w:bCs w:val="0"/>
        </w:rPr>
        <w:t>Indigenous Cultural Connections</w:t>
      </w:r>
      <w:r w:rsidR="00FD21F8">
        <w:rPr>
          <w:rStyle w:val="Strong"/>
          <w:b w:val="0"/>
          <w:bCs w:val="0"/>
        </w:rPr>
        <w:t xml:space="preserve">, </w:t>
      </w:r>
      <w:r>
        <w:rPr>
          <w:rStyle w:val="Strong"/>
          <w:b w:val="0"/>
          <w:bCs w:val="0"/>
        </w:rPr>
        <w:t xml:space="preserve">established </w:t>
      </w:r>
      <w:r w:rsidRPr="00792450">
        <w:rPr>
          <w:rStyle w:val="Strong"/>
          <w:b w:val="0"/>
          <w:bCs w:val="0"/>
        </w:rPr>
        <w:t>in March 2018</w:t>
      </w:r>
      <w:r>
        <w:rPr>
          <w:rStyle w:val="Strong"/>
          <w:b w:val="0"/>
          <w:bCs w:val="0"/>
        </w:rPr>
        <w:t xml:space="preserve">. Seona </w:t>
      </w:r>
      <w:r w:rsidRPr="00792450">
        <w:rPr>
          <w:rStyle w:val="Strong"/>
          <w:b w:val="0"/>
          <w:bCs w:val="0"/>
        </w:rPr>
        <w:t>was a member of the Victorian Aboriginal Economic Board from April 2017 to May 2019.</w:t>
      </w:r>
    </w:p>
    <w:p w14:paraId="579CBAD8" w14:textId="77777777" w:rsidR="006A737D" w:rsidRDefault="006A737D">
      <w:pPr>
        <w:rPr>
          <w:rStyle w:val="Strong"/>
          <w:rFonts w:ascii="Calibri" w:hAnsi="Calibri" w:cs="Calibri"/>
          <w:sz w:val="22"/>
          <w:szCs w:val="22"/>
        </w:rPr>
      </w:pPr>
      <w:r>
        <w:rPr>
          <w:rStyle w:val="Strong"/>
        </w:rPr>
        <w:br w:type="page"/>
      </w:r>
    </w:p>
    <w:p w14:paraId="21B2EEE5" w14:textId="04B2BA2B" w:rsidR="00935A6B" w:rsidRPr="00935A6B" w:rsidRDefault="00935A6B" w:rsidP="00935A6B">
      <w:pPr>
        <w:pStyle w:val="Normal1"/>
        <w:rPr>
          <w:rStyle w:val="Strong"/>
        </w:rPr>
      </w:pPr>
      <w:r w:rsidRPr="00935A6B">
        <w:rPr>
          <w:rStyle w:val="Strong"/>
        </w:rPr>
        <w:lastRenderedPageBreak/>
        <w:t>TIMOTHY LYONS</w:t>
      </w:r>
    </w:p>
    <w:p w14:paraId="68837E30" w14:textId="066F1A9B" w:rsidR="00935A6B" w:rsidRDefault="00935A6B" w:rsidP="00935A6B">
      <w:pPr>
        <w:pStyle w:val="Normal1"/>
      </w:pPr>
      <w:r>
        <w:t>Timothy Lyons has extensive experience in government procurement policy and has been a member of numerous public and private boards. Timothy has held many directorships and has expertise in industrial relations, financial services, public policy, governance and risk management, not-for-profit management and communications advocacy.</w:t>
      </w:r>
    </w:p>
    <w:p w14:paraId="759AD0A7" w14:textId="042D094B" w:rsidR="00D317FA" w:rsidRDefault="005B0EDD" w:rsidP="00D317FA">
      <w:pPr>
        <w:pStyle w:val="Heading2NoNum"/>
      </w:pPr>
      <w:bookmarkStart w:id="30" w:name="_Toc52187714"/>
      <w:r>
        <w:t>M</w:t>
      </w:r>
      <w:r w:rsidR="00D317FA">
        <w:t>eetings</w:t>
      </w:r>
      <w:bookmarkEnd w:id="30"/>
    </w:p>
    <w:p w14:paraId="2FB41335" w14:textId="6513FBFC" w:rsidR="00D317FA" w:rsidRDefault="00D317FA" w:rsidP="00D317FA">
      <w:pPr>
        <w:pStyle w:val="Normal1"/>
      </w:pPr>
      <w:r w:rsidRPr="00CD6245">
        <w:t>The</w:t>
      </w:r>
      <w:r>
        <w:t xml:space="preserve"> VGPB</w:t>
      </w:r>
      <w:r w:rsidRPr="00CD6245">
        <w:t xml:space="preserve"> me</w:t>
      </w:r>
      <w:r w:rsidR="002E4537">
        <w:t>ets once</w:t>
      </w:r>
      <w:r w:rsidRPr="00CD6245">
        <w:t xml:space="preserve"> every two months</w:t>
      </w:r>
      <w:r w:rsidR="002E4537">
        <w:t>. The Board</w:t>
      </w:r>
      <w:r w:rsidRPr="00AE0F5F">
        <w:t xml:space="preserve"> held six meetings</w:t>
      </w:r>
      <w:r>
        <w:t xml:space="preserve"> over the reporting period</w:t>
      </w:r>
      <w:r w:rsidR="002E4537">
        <w:t xml:space="preserve"> and </w:t>
      </w:r>
      <w:r>
        <w:t xml:space="preserve">three one-day planning sessions to set new priorities for 2020–23. Meeting attendance is listed in </w:t>
      </w:r>
      <w:r w:rsidRPr="00491EC4">
        <w:fldChar w:fldCharType="begin"/>
      </w:r>
      <w:r w:rsidRPr="00491EC4">
        <w:instrText xml:space="preserve"> REF _Ref423625088 \h  \* MERGEFORMAT </w:instrText>
      </w:r>
      <w:r w:rsidRPr="00491EC4">
        <w:fldChar w:fldCharType="separate"/>
      </w:r>
      <w:r w:rsidR="00152B74" w:rsidRPr="0038456D">
        <w:t xml:space="preserve">Table </w:t>
      </w:r>
      <w:r w:rsidR="00152B74">
        <w:t>1</w:t>
      </w:r>
      <w:r w:rsidRPr="00491EC4">
        <w:fldChar w:fldCharType="end"/>
      </w:r>
      <w:r w:rsidRPr="00491EC4">
        <w:t>.</w:t>
      </w:r>
    </w:p>
    <w:p w14:paraId="56146617" w14:textId="15BFDE92" w:rsidR="004110E7" w:rsidRDefault="004110E7" w:rsidP="004110E7">
      <w:pPr>
        <w:pStyle w:val="Caption"/>
      </w:pPr>
      <w:bookmarkStart w:id="31" w:name="_Ref423625088"/>
      <w:bookmarkStart w:id="32" w:name="_Toc388705877"/>
      <w:bookmarkStart w:id="33" w:name="_Toc17130187"/>
      <w:bookmarkStart w:id="34" w:name="_Toc48837134"/>
      <w:bookmarkStart w:id="35" w:name="_Toc49185524"/>
      <w:r w:rsidRPr="0038456D">
        <w:t xml:space="preserve">Table </w:t>
      </w:r>
      <w:r>
        <w:rPr>
          <w:noProof/>
        </w:rPr>
        <w:fldChar w:fldCharType="begin"/>
      </w:r>
      <w:r>
        <w:rPr>
          <w:noProof/>
        </w:rPr>
        <w:instrText xml:space="preserve"> SEQ Table \* ARABIC </w:instrText>
      </w:r>
      <w:r>
        <w:rPr>
          <w:noProof/>
        </w:rPr>
        <w:fldChar w:fldCharType="separate"/>
      </w:r>
      <w:r w:rsidR="00152B74">
        <w:rPr>
          <w:noProof/>
        </w:rPr>
        <w:t>1</w:t>
      </w:r>
      <w:r>
        <w:rPr>
          <w:noProof/>
        </w:rPr>
        <w:fldChar w:fldCharType="end"/>
      </w:r>
      <w:bookmarkEnd w:id="31"/>
      <w:r w:rsidRPr="0038456D">
        <w:t xml:space="preserve">: </w:t>
      </w:r>
      <w:bookmarkEnd w:id="32"/>
      <w:bookmarkEnd w:id="33"/>
      <w:r>
        <w:t>Board attendance in 2019–20</w:t>
      </w:r>
      <w:bookmarkEnd w:id="34"/>
      <w:bookmarkEnd w:id="35"/>
    </w:p>
    <w:tbl>
      <w:tblPr>
        <w:tblStyle w:val="PlainTable21"/>
        <w:tblW w:w="8891" w:type="dxa"/>
        <w:tblInd w:w="709" w:type="dxa"/>
        <w:tblLook w:val="04A0" w:firstRow="1" w:lastRow="0" w:firstColumn="1" w:lastColumn="0" w:noHBand="0" w:noVBand="1"/>
      </w:tblPr>
      <w:tblGrid>
        <w:gridCol w:w="2904"/>
        <w:gridCol w:w="2199"/>
        <w:gridCol w:w="2046"/>
        <w:gridCol w:w="1742"/>
      </w:tblGrid>
      <w:tr w:rsidR="00305B63" w14:paraId="4D011B8E" w14:textId="31B8DCB0" w:rsidTr="003E00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dxa"/>
          </w:tcPr>
          <w:p w14:paraId="679D5EFD" w14:textId="77777777" w:rsidR="00305B63" w:rsidRDefault="00305B63" w:rsidP="00305B63">
            <w:pPr>
              <w:pStyle w:val="Normal1"/>
              <w:ind w:left="0"/>
            </w:pPr>
            <w:r>
              <w:t xml:space="preserve">Board member </w:t>
            </w:r>
          </w:p>
        </w:tc>
        <w:tc>
          <w:tcPr>
            <w:tcW w:w="2199" w:type="dxa"/>
          </w:tcPr>
          <w:p w14:paraId="2066D5C4" w14:textId="2B400CC8" w:rsidR="00305B63" w:rsidRDefault="00305B63" w:rsidP="00305B63">
            <w:pPr>
              <w:pStyle w:val="Normal1"/>
              <w:ind w:left="0"/>
              <w:cnfStyle w:val="100000000000" w:firstRow="1" w:lastRow="0" w:firstColumn="0" w:lastColumn="0" w:oddVBand="0" w:evenVBand="0" w:oddHBand="0" w:evenHBand="0" w:firstRowFirstColumn="0" w:firstRowLastColumn="0" w:lastRowFirstColumn="0" w:lastRowLastColumn="0"/>
            </w:pPr>
            <w:r>
              <w:t>Member since</w:t>
            </w:r>
          </w:p>
        </w:tc>
        <w:tc>
          <w:tcPr>
            <w:tcW w:w="2046" w:type="dxa"/>
          </w:tcPr>
          <w:p w14:paraId="1B51F990" w14:textId="71B1B231" w:rsidR="00305B63" w:rsidRDefault="00305B63" w:rsidP="00305B63">
            <w:pPr>
              <w:pStyle w:val="Normal1"/>
              <w:ind w:left="0"/>
              <w:cnfStyle w:val="100000000000" w:firstRow="1" w:lastRow="0" w:firstColumn="0" w:lastColumn="0" w:oddVBand="0" w:evenVBand="0" w:oddHBand="0" w:evenHBand="0" w:firstRowFirstColumn="0" w:firstRowLastColumn="0" w:lastRowFirstColumn="0" w:lastRowLastColumn="0"/>
            </w:pPr>
            <w:r>
              <w:t>Bimonthly meetings attended</w:t>
            </w:r>
          </w:p>
        </w:tc>
        <w:tc>
          <w:tcPr>
            <w:tcW w:w="1742" w:type="dxa"/>
          </w:tcPr>
          <w:p w14:paraId="1BF7293A" w14:textId="4A734095" w:rsidR="00305B63" w:rsidRDefault="00305B63" w:rsidP="00305B63">
            <w:pPr>
              <w:pStyle w:val="Normal1"/>
              <w:ind w:left="0"/>
              <w:cnfStyle w:val="100000000000" w:firstRow="1" w:lastRow="0" w:firstColumn="0" w:lastColumn="0" w:oddVBand="0" w:evenVBand="0" w:oddHBand="0" w:evenHBand="0" w:firstRowFirstColumn="0" w:firstRowLastColumn="0" w:lastRowFirstColumn="0" w:lastRowLastColumn="0"/>
            </w:pPr>
            <w:r>
              <w:t>Planning days attended</w:t>
            </w:r>
          </w:p>
        </w:tc>
      </w:tr>
      <w:tr w:rsidR="00305B63" w:rsidRPr="00102B0F" w14:paraId="47993CA9" w14:textId="73F54F03" w:rsidTr="003E0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dxa"/>
          </w:tcPr>
          <w:p w14:paraId="3E8AE722" w14:textId="77777777" w:rsidR="00305B63" w:rsidRPr="00102B0F" w:rsidRDefault="00305B63" w:rsidP="000B20B5">
            <w:pPr>
              <w:pStyle w:val="TableText"/>
            </w:pPr>
            <w:bookmarkStart w:id="36" w:name="_Hlk45177353"/>
            <w:r w:rsidRPr="00102B0F">
              <w:t>Antoinette Brandi (Chair)</w:t>
            </w:r>
          </w:p>
        </w:tc>
        <w:tc>
          <w:tcPr>
            <w:tcW w:w="2199" w:type="dxa"/>
          </w:tcPr>
          <w:p w14:paraId="0415F277" w14:textId="5741CF59" w:rsidR="00305B63" w:rsidRDefault="00305B63" w:rsidP="000B20B5">
            <w:pPr>
              <w:pStyle w:val="TableText"/>
              <w:cnfStyle w:val="000000100000" w:firstRow="0" w:lastRow="0" w:firstColumn="0" w:lastColumn="0" w:oddVBand="0" w:evenVBand="0" w:oddHBand="1" w:evenHBand="0" w:firstRowFirstColumn="0" w:firstRowLastColumn="0" w:lastRowFirstColumn="0" w:lastRowLastColumn="0"/>
            </w:pPr>
            <w:r>
              <w:t>10</w:t>
            </w:r>
            <w:r w:rsidR="00FE3B3A">
              <w:t> </w:t>
            </w:r>
            <w:r>
              <w:t>October</w:t>
            </w:r>
            <w:r w:rsidR="00FE3B3A">
              <w:t> </w:t>
            </w:r>
            <w:r>
              <w:t>2015</w:t>
            </w:r>
          </w:p>
        </w:tc>
        <w:tc>
          <w:tcPr>
            <w:tcW w:w="2046" w:type="dxa"/>
          </w:tcPr>
          <w:p w14:paraId="71D1E74E" w14:textId="2F1C8876" w:rsidR="00305B63" w:rsidRPr="00102B0F" w:rsidRDefault="00305B63" w:rsidP="000B20B5">
            <w:pPr>
              <w:pStyle w:val="TableText"/>
              <w:cnfStyle w:val="000000100000" w:firstRow="0" w:lastRow="0" w:firstColumn="0" w:lastColumn="0" w:oddVBand="0" w:evenVBand="0" w:oddHBand="1" w:evenHBand="0" w:firstRowFirstColumn="0" w:firstRowLastColumn="0" w:lastRowFirstColumn="0" w:lastRowLastColumn="0"/>
            </w:pPr>
            <w:r>
              <w:t>6</w:t>
            </w:r>
            <w:r w:rsidRPr="00102B0F">
              <w:t xml:space="preserve"> of 6</w:t>
            </w:r>
          </w:p>
        </w:tc>
        <w:tc>
          <w:tcPr>
            <w:tcW w:w="1742" w:type="dxa"/>
          </w:tcPr>
          <w:p w14:paraId="24E52818" w14:textId="4752C7ED" w:rsidR="00305B63" w:rsidRPr="005B0EDD" w:rsidRDefault="005B0EDD" w:rsidP="000B20B5">
            <w:pPr>
              <w:pStyle w:val="TableText"/>
              <w:cnfStyle w:val="000000100000" w:firstRow="0" w:lastRow="0" w:firstColumn="0" w:lastColumn="0" w:oddVBand="0" w:evenVBand="0" w:oddHBand="1" w:evenHBand="0" w:firstRowFirstColumn="0" w:firstRowLastColumn="0" w:lastRowFirstColumn="0" w:lastRowLastColumn="0"/>
            </w:pPr>
            <w:r w:rsidRPr="005B0EDD">
              <w:t>3</w:t>
            </w:r>
            <w:r w:rsidR="00305B63" w:rsidRPr="005B0EDD">
              <w:t xml:space="preserve"> of 3</w:t>
            </w:r>
          </w:p>
        </w:tc>
      </w:tr>
      <w:tr w:rsidR="005B0EDD" w:rsidRPr="005E0656" w14:paraId="32109E41" w14:textId="063FD9E5" w:rsidTr="003E0090">
        <w:tc>
          <w:tcPr>
            <w:cnfStyle w:val="001000000000" w:firstRow="0" w:lastRow="0" w:firstColumn="1" w:lastColumn="0" w:oddVBand="0" w:evenVBand="0" w:oddHBand="0" w:evenHBand="0" w:firstRowFirstColumn="0" w:firstRowLastColumn="0" w:lastRowFirstColumn="0" w:lastRowLastColumn="0"/>
            <w:tcW w:w="2904" w:type="dxa"/>
          </w:tcPr>
          <w:p w14:paraId="5CB900CD" w14:textId="77777777" w:rsidR="005B0EDD" w:rsidRPr="005E0656" w:rsidRDefault="005B0EDD" w:rsidP="000B20B5">
            <w:pPr>
              <w:pStyle w:val="TableText"/>
            </w:pPr>
            <w:r w:rsidRPr="005E0656">
              <w:t>Claire Thomas</w:t>
            </w:r>
          </w:p>
        </w:tc>
        <w:tc>
          <w:tcPr>
            <w:tcW w:w="2199" w:type="dxa"/>
          </w:tcPr>
          <w:p w14:paraId="76038806" w14:textId="2C57ADE7" w:rsidR="005B0EDD" w:rsidRDefault="005B0EDD" w:rsidP="000B20B5">
            <w:pPr>
              <w:pStyle w:val="TableText"/>
              <w:cnfStyle w:val="000000000000" w:firstRow="0" w:lastRow="0" w:firstColumn="0" w:lastColumn="0" w:oddVBand="0" w:evenVBand="0" w:oddHBand="0" w:evenHBand="0" w:firstRowFirstColumn="0" w:firstRowLastColumn="0" w:lastRowFirstColumn="0" w:lastRowLastColumn="0"/>
            </w:pPr>
            <w:r w:rsidRPr="005E0656">
              <w:t>1</w:t>
            </w:r>
            <w:r w:rsidR="00FE3B3A">
              <w:t> </w:t>
            </w:r>
            <w:r w:rsidRPr="005E0656">
              <w:t>July</w:t>
            </w:r>
            <w:r w:rsidR="00FE3B3A">
              <w:t> </w:t>
            </w:r>
            <w:r w:rsidRPr="005E0656">
              <w:t>2018</w:t>
            </w:r>
          </w:p>
        </w:tc>
        <w:tc>
          <w:tcPr>
            <w:tcW w:w="2046" w:type="dxa"/>
          </w:tcPr>
          <w:p w14:paraId="40609768" w14:textId="0346C10B" w:rsidR="005B0EDD" w:rsidRPr="005E0656" w:rsidRDefault="005B0EDD" w:rsidP="000B20B5">
            <w:pPr>
              <w:pStyle w:val="TableText"/>
              <w:cnfStyle w:val="000000000000" w:firstRow="0" w:lastRow="0" w:firstColumn="0" w:lastColumn="0" w:oddVBand="0" w:evenVBand="0" w:oddHBand="0" w:evenHBand="0" w:firstRowFirstColumn="0" w:firstRowLastColumn="0" w:lastRowFirstColumn="0" w:lastRowLastColumn="0"/>
            </w:pPr>
            <w:r>
              <w:t>6</w:t>
            </w:r>
            <w:r w:rsidRPr="005E0656">
              <w:t xml:space="preserve"> of 6</w:t>
            </w:r>
          </w:p>
        </w:tc>
        <w:tc>
          <w:tcPr>
            <w:tcW w:w="1742" w:type="dxa"/>
          </w:tcPr>
          <w:p w14:paraId="5A96CA01" w14:textId="062C794F" w:rsidR="005B0EDD" w:rsidRPr="005B0EDD" w:rsidRDefault="005B0EDD" w:rsidP="000B20B5">
            <w:pPr>
              <w:pStyle w:val="TableText"/>
              <w:cnfStyle w:val="000000000000" w:firstRow="0" w:lastRow="0" w:firstColumn="0" w:lastColumn="0" w:oddVBand="0" w:evenVBand="0" w:oddHBand="0" w:evenHBand="0" w:firstRowFirstColumn="0" w:firstRowLastColumn="0" w:lastRowFirstColumn="0" w:lastRowLastColumn="0"/>
            </w:pPr>
            <w:r w:rsidRPr="006A2366">
              <w:t>3 of 3</w:t>
            </w:r>
          </w:p>
        </w:tc>
      </w:tr>
      <w:tr w:rsidR="005B0EDD" w:rsidRPr="005E0656" w14:paraId="61355C8F" w14:textId="65D081D2" w:rsidTr="003E0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dxa"/>
          </w:tcPr>
          <w:p w14:paraId="4293E4F3" w14:textId="77777777" w:rsidR="005B0EDD" w:rsidRPr="005E0656" w:rsidRDefault="005B0EDD" w:rsidP="000B20B5">
            <w:pPr>
              <w:pStyle w:val="TableText"/>
            </w:pPr>
            <w:r w:rsidRPr="005E0656">
              <w:t>Craig Rooney</w:t>
            </w:r>
          </w:p>
        </w:tc>
        <w:tc>
          <w:tcPr>
            <w:tcW w:w="2199" w:type="dxa"/>
          </w:tcPr>
          <w:p w14:paraId="3AC1DFA0" w14:textId="783A7BB0" w:rsidR="005B0EDD" w:rsidRDefault="005B0EDD" w:rsidP="000B20B5">
            <w:pPr>
              <w:pStyle w:val="TableText"/>
              <w:cnfStyle w:val="000000100000" w:firstRow="0" w:lastRow="0" w:firstColumn="0" w:lastColumn="0" w:oddVBand="0" w:evenVBand="0" w:oddHBand="1" w:evenHBand="0" w:firstRowFirstColumn="0" w:firstRowLastColumn="0" w:lastRowFirstColumn="0" w:lastRowLastColumn="0"/>
            </w:pPr>
            <w:r w:rsidRPr="005E0656">
              <w:t>1</w:t>
            </w:r>
            <w:r w:rsidR="00FE3B3A">
              <w:t> </w:t>
            </w:r>
            <w:r w:rsidRPr="005E0656">
              <w:t>October</w:t>
            </w:r>
            <w:r w:rsidR="00FE3B3A">
              <w:t> </w:t>
            </w:r>
            <w:r w:rsidRPr="005E0656">
              <w:t>2012</w:t>
            </w:r>
          </w:p>
        </w:tc>
        <w:tc>
          <w:tcPr>
            <w:tcW w:w="2046" w:type="dxa"/>
          </w:tcPr>
          <w:p w14:paraId="3EC3271A" w14:textId="5CAD279D" w:rsidR="005B0EDD" w:rsidRPr="005E0656" w:rsidRDefault="005B0EDD" w:rsidP="000B20B5">
            <w:pPr>
              <w:pStyle w:val="TableText"/>
              <w:cnfStyle w:val="000000100000" w:firstRow="0" w:lastRow="0" w:firstColumn="0" w:lastColumn="0" w:oddVBand="0" w:evenVBand="0" w:oddHBand="1" w:evenHBand="0" w:firstRowFirstColumn="0" w:firstRowLastColumn="0" w:lastRowFirstColumn="0" w:lastRowLastColumn="0"/>
            </w:pPr>
            <w:r>
              <w:t>5</w:t>
            </w:r>
            <w:r w:rsidRPr="005E0656">
              <w:t xml:space="preserve"> of 6</w:t>
            </w:r>
          </w:p>
        </w:tc>
        <w:tc>
          <w:tcPr>
            <w:tcW w:w="1742" w:type="dxa"/>
          </w:tcPr>
          <w:p w14:paraId="0B113FFE" w14:textId="0F5D34A2" w:rsidR="005B0EDD" w:rsidRPr="005B0EDD" w:rsidRDefault="005B0EDD" w:rsidP="000B20B5">
            <w:pPr>
              <w:pStyle w:val="TableText"/>
              <w:cnfStyle w:val="000000100000" w:firstRow="0" w:lastRow="0" w:firstColumn="0" w:lastColumn="0" w:oddVBand="0" w:evenVBand="0" w:oddHBand="1" w:evenHBand="0" w:firstRowFirstColumn="0" w:firstRowLastColumn="0" w:lastRowFirstColumn="0" w:lastRowLastColumn="0"/>
            </w:pPr>
            <w:r w:rsidRPr="006A2366">
              <w:t>3 of 3</w:t>
            </w:r>
          </w:p>
        </w:tc>
      </w:tr>
      <w:tr w:rsidR="005B0EDD" w:rsidRPr="005E0656" w14:paraId="6844E237" w14:textId="2FD09990" w:rsidTr="003E0090">
        <w:tc>
          <w:tcPr>
            <w:cnfStyle w:val="001000000000" w:firstRow="0" w:lastRow="0" w:firstColumn="1" w:lastColumn="0" w:oddVBand="0" w:evenVBand="0" w:oddHBand="0" w:evenHBand="0" w:firstRowFirstColumn="0" w:firstRowLastColumn="0" w:lastRowFirstColumn="0" w:lastRowLastColumn="0"/>
            <w:tcW w:w="2904" w:type="dxa"/>
          </w:tcPr>
          <w:p w14:paraId="572CCCBD" w14:textId="77777777" w:rsidR="005B0EDD" w:rsidRPr="005E0656" w:rsidRDefault="005B0EDD" w:rsidP="000B20B5">
            <w:pPr>
              <w:pStyle w:val="TableText"/>
            </w:pPr>
            <w:r w:rsidRPr="005E0656">
              <w:t>Denise Dyer</w:t>
            </w:r>
          </w:p>
        </w:tc>
        <w:tc>
          <w:tcPr>
            <w:tcW w:w="2199" w:type="dxa"/>
          </w:tcPr>
          <w:p w14:paraId="1401BBE5" w14:textId="688086F4" w:rsidR="005B0EDD" w:rsidRPr="00305B63" w:rsidRDefault="005B0EDD" w:rsidP="000B20B5">
            <w:pPr>
              <w:pStyle w:val="TableText"/>
              <w:cnfStyle w:val="000000000000" w:firstRow="0" w:lastRow="0" w:firstColumn="0" w:lastColumn="0" w:oddVBand="0" w:evenVBand="0" w:oddHBand="0" w:evenHBand="0" w:firstRowFirstColumn="0" w:firstRowLastColumn="0" w:lastRowFirstColumn="0" w:lastRowLastColumn="0"/>
            </w:pPr>
            <w:r w:rsidRPr="00305B63">
              <w:t>1</w:t>
            </w:r>
            <w:r w:rsidR="00FE3B3A">
              <w:t> </w:t>
            </w:r>
            <w:r w:rsidRPr="00305B63">
              <w:t>July</w:t>
            </w:r>
            <w:r w:rsidR="00FE3B3A">
              <w:t> </w:t>
            </w:r>
            <w:r w:rsidRPr="00305B63">
              <w:t>2019</w:t>
            </w:r>
          </w:p>
        </w:tc>
        <w:tc>
          <w:tcPr>
            <w:tcW w:w="2046" w:type="dxa"/>
          </w:tcPr>
          <w:p w14:paraId="6CB752FD" w14:textId="154649CB" w:rsidR="005B0EDD" w:rsidRPr="005E0656" w:rsidRDefault="005B0EDD" w:rsidP="000B20B5">
            <w:pPr>
              <w:pStyle w:val="TableText"/>
              <w:cnfStyle w:val="000000000000" w:firstRow="0" w:lastRow="0" w:firstColumn="0" w:lastColumn="0" w:oddVBand="0" w:evenVBand="0" w:oddHBand="0" w:evenHBand="0" w:firstRowFirstColumn="0" w:firstRowLastColumn="0" w:lastRowFirstColumn="0" w:lastRowLastColumn="0"/>
            </w:pPr>
            <w:r>
              <w:t>6</w:t>
            </w:r>
            <w:r w:rsidRPr="005E0656">
              <w:t xml:space="preserve"> of 6</w:t>
            </w:r>
          </w:p>
        </w:tc>
        <w:tc>
          <w:tcPr>
            <w:tcW w:w="1742" w:type="dxa"/>
          </w:tcPr>
          <w:p w14:paraId="709FFC2E" w14:textId="1EC05F01" w:rsidR="005B0EDD" w:rsidRPr="005B0EDD" w:rsidRDefault="005B0EDD" w:rsidP="000B20B5">
            <w:pPr>
              <w:pStyle w:val="TableText"/>
              <w:cnfStyle w:val="000000000000" w:firstRow="0" w:lastRow="0" w:firstColumn="0" w:lastColumn="0" w:oddVBand="0" w:evenVBand="0" w:oddHBand="0" w:evenHBand="0" w:firstRowFirstColumn="0" w:firstRowLastColumn="0" w:lastRowFirstColumn="0" w:lastRowLastColumn="0"/>
            </w:pPr>
            <w:r w:rsidRPr="006A2366">
              <w:t>3 of 3</w:t>
            </w:r>
          </w:p>
        </w:tc>
      </w:tr>
      <w:tr w:rsidR="005B0EDD" w:rsidRPr="005E0656" w14:paraId="3BBBE11C" w14:textId="449A6CDE" w:rsidTr="003E0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dxa"/>
          </w:tcPr>
          <w:p w14:paraId="35A7423B" w14:textId="77777777" w:rsidR="005B0EDD" w:rsidRPr="005E0656" w:rsidRDefault="005B0EDD" w:rsidP="000B20B5">
            <w:pPr>
              <w:pStyle w:val="TableText"/>
            </w:pPr>
            <w:r w:rsidRPr="005E0656">
              <w:t>Peter Lane</w:t>
            </w:r>
          </w:p>
        </w:tc>
        <w:tc>
          <w:tcPr>
            <w:tcW w:w="2199" w:type="dxa"/>
          </w:tcPr>
          <w:p w14:paraId="7903E45B" w14:textId="1E1E5731" w:rsidR="005B0EDD" w:rsidRPr="00305B63" w:rsidRDefault="005B0EDD" w:rsidP="000B20B5">
            <w:pPr>
              <w:pStyle w:val="TableText"/>
              <w:cnfStyle w:val="000000100000" w:firstRow="0" w:lastRow="0" w:firstColumn="0" w:lastColumn="0" w:oddVBand="0" w:evenVBand="0" w:oddHBand="1" w:evenHBand="0" w:firstRowFirstColumn="0" w:firstRowLastColumn="0" w:lastRowFirstColumn="0" w:lastRowLastColumn="0"/>
            </w:pPr>
            <w:r w:rsidRPr="00305B63">
              <w:t>1</w:t>
            </w:r>
            <w:r w:rsidR="00FE3B3A">
              <w:t> </w:t>
            </w:r>
            <w:r w:rsidRPr="00305B63">
              <w:t>July</w:t>
            </w:r>
            <w:r w:rsidR="00FE3B3A">
              <w:t> </w:t>
            </w:r>
            <w:r w:rsidRPr="00305B63">
              <w:t>2019</w:t>
            </w:r>
          </w:p>
        </w:tc>
        <w:tc>
          <w:tcPr>
            <w:tcW w:w="2046" w:type="dxa"/>
          </w:tcPr>
          <w:p w14:paraId="6CA49AA3" w14:textId="70EF1F0C" w:rsidR="005B0EDD" w:rsidRPr="005E0656" w:rsidRDefault="005B0EDD" w:rsidP="000B20B5">
            <w:pPr>
              <w:pStyle w:val="TableText"/>
              <w:cnfStyle w:val="000000100000" w:firstRow="0" w:lastRow="0" w:firstColumn="0" w:lastColumn="0" w:oddVBand="0" w:evenVBand="0" w:oddHBand="1" w:evenHBand="0" w:firstRowFirstColumn="0" w:firstRowLastColumn="0" w:lastRowFirstColumn="0" w:lastRowLastColumn="0"/>
            </w:pPr>
            <w:r>
              <w:t>5</w:t>
            </w:r>
            <w:r w:rsidRPr="005E0656">
              <w:t xml:space="preserve"> of 6</w:t>
            </w:r>
          </w:p>
        </w:tc>
        <w:tc>
          <w:tcPr>
            <w:tcW w:w="1742" w:type="dxa"/>
          </w:tcPr>
          <w:p w14:paraId="734F59BC" w14:textId="62F678E1" w:rsidR="005B0EDD" w:rsidRPr="005B0EDD" w:rsidRDefault="005B0EDD" w:rsidP="000B20B5">
            <w:pPr>
              <w:pStyle w:val="TableText"/>
              <w:cnfStyle w:val="000000100000" w:firstRow="0" w:lastRow="0" w:firstColumn="0" w:lastColumn="0" w:oddVBand="0" w:evenVBand="0" w:oddHBand="1" w:evenHBand="0" w:firstRowFirstColumn="0" w:firstRowLastColumn="0" w:lastRowFirstColumn="0" w:lastRowLastColumn="0"/>
            </w:pPr>
            <w:r w:rsidRPr="006A2366">
              <w:t>3 of 3</w:t>
            </w:r>
          </w:p>
        </w:tc>
      </w:tr>
      <w:tr w:rsidR="005B0EDD" w:rsidRPr="005E0656" w14:paraId="58E0FC4D" w14:textId="46328060" w:rsidTr="003E0090">
        <w:tc>
          <w:tcPr>
            <w:cnfStyle w:val="001000000000" w:firstRow="0" w:lastRow="0" w:firstColumn="1" w:lastColumn="0" w:oddVBand="0" w:evenVBand="0" w:oddHBand="0" w:evenHBand="0" w:firstRowFirstColumn="0" w:firstRowLastColumn="0" w:lastRowFirstColumn="0" w:lastRowLastColumn="0"/>
            <w:tcW w:w="2904" w:type="dxa"/>
          </w:tcPr>
          <w:p w14:paraId="31B7B6F5" w14:textId="77777777" w:rsidR="005B0EDD" w:rsidRPr="005E0656" w:rsidRDefault="005B0EDD" w:rsidP="000B20B5">
            <w:pPr>
              <w:pStyle w:val="TableText"/>
            </w:pPr>
            <w:r w:rsidRPr="005E0656">
              <w:t>Russell Yardley</w:t>
            </w:r>
          </w:p>
        </w:tc>
        <w:tc>
          <w:tcPr>
            <w:tcW w:w="2199" w:type="dxa"/>
          </w:tcPr>
          <w:p w14:paraId="676F160D" w14:textId="703AA3E5" w:rsidR="005B0EDD" w:rsidRPr="00305B63" w:rsidRDefault="005B0EDD" w:rsidP="000B20B5">
            <w:pPr>
              <w:pStyle w:val="TableText"/>
              <w:cnfStyle w:val="000000000000" w:firstRow="0" w:lastRow="0" w:firstColumn="0" w:lastColumn="0" w:oddVBand="0" w:evenVBand="0" w:oddHBand="0" w:evenHBand="0" w:firstRowFirstColumn="0" w:firstRowLastColumn="0" w:lastRowFirstColumn="0" w:lastRowLastColumn="0"/>
            </w:pPr>
            <w:r w:rsidRPr="00305B63">
              <w:t>1</w:t>
            </w:r>
            <w:r w:rsidR="00FE3B3A">
              <w:t> </w:t>
            </w:r>
            <w:r w:rsidRPr="00305B63">
              <w:t>July</w:t>
            </w:r>
            <w:r w:rsidR="00FE3B3A">
              <w:t> </w:t>
            </w:r>
            <w:r w:rsidRPr="00305B63">
              <w:t>2014</w:t>
            </w:r>
          </w:p>
        </w:tc>
        <w:tc>
          <w:tcPr>
            <w:tcW w:w="2046" w:type="dxa"/>
          </w:tcPr>
          <w:p w14:paraId="6FF29FEE" w14:textId="7616F3F5" w:rsidR="005B0EDD" w:rsidRPr="005E0656" w:rsidRDefault="005B0EDD" w:rsidP="000B20B5">
            <w:pPr>
              <w:pStyle w:val="TableText"/>
              <w:cnfStyle w:val="000000000000" w:firstRow="0" w:lastRow="0" w:firstColumn="0" w:lastColumn="0" w:oddVBand="0" w:evenVBand="0" w:oddHBand="0" w:evenHBand="0" w:firstRowFirstColumn="0" w:firstRowLastColumn="0" w:lastRowFirstColumn="0" w:lastRowLastColumn="0"/>
            </w:pPr>
            <w:r>
              <w:t>5</w:t>
            </w:r>
            <w:r w:rsidRPr="005E0656">
              <w:t xml:space="preserve"> of 6</w:t>
            </w:r>
          </w:p>
        </w:tc>
        <w:tc>
          <w:tcPr>
            <w:tcW w:w="1742" w:type="dxa"/>
          </w:tcPr>
          <w:p w14:paraId="1A73BF1D" w14:textId="19F17EF0" w:rsidR="005B0EDD" w:rsidRPr="005B0EDD" w:rsidRDefault="005B0EDD" w:rsidP="000B20B5">
            <w:pPr>
              <w:pStyle w:val="TableText"/>
              <w:cnfStyle w:val="000000000000" w:firstRow="0" w:lastRow="0" w:firstColumn="0" w:lastColumn="0" w:oddVBand="0" w:evenVBand="0" w:oddHBand="0" w:evenHBand="0" w:firstRowFirstColumn="0" w:firstRowLastColumn="0" w:lastRowFirstColumn="0" w:lastRowLastColumn="0"/>
            </w:pPr>
            <w:r w:rsidRPr="006A2366">
              <w:t>3 of 3</w:t>
            </w:r>
          </w:p>
        </w:tc>
      </w:tr>
      <w:tr w:rsidR="005B0EDD" w:rsidRPr="005E0656" w14:paraId="184D13F9" w14:textId="65778603" w:rsidTr="003E0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4" w:type="dxa"/>
          </w:tcPr>
          <w:p w14:paraId="4A3BED57" w14:textId="77777777" w:rsidR="005B0EDD" w:rsidRPr="005E0656" w:rsidRDefault="005B0EDD" w:rsidP="000B20B5">
            <w:pPr>
              <w:pStyle w:val="TableText"/>
            </w:pPr>
            <w:r w:rsidRPr="005E0656">
              <w:t>Seona James</w:t>
            </w:r>
          </w:p>
        </w:tc>
        <w:tc>
          <w:tcPr>
            <w:tcW w:w="2199" w:type="dxa"/>
          </w:tcPr>
          <w:p w14:paraId="4709D36C" w14:textId="0D4D72BF" w:rsidR="005B0EDD" w:rsidRPr="00305B63" w:rsidRDefault="005B0EDD" w:rsidP="000B20B5">
            <w:pPr>
              <w:pStyle w:val="TableText"/>
              <w:cnfStyle w:val="000000100000" w:firstRow="0" w:lastRow="0" w:firstColumn="0" w:lastColumn="0" w:oddVBand="0" w:evenVBand="0" w:oddHBand="1" w:evenHBand="0" w:firstRowFirstColumn="0" w:firstRowLastColumn="0" w:lastRowFirstColumn="0" w:lastRowLastColumn="0"/>
            </w:pPr>
            <w:r w:rsidRPr="00305B63">
              <w:t>1</w:t>
            </w:r>
            <w:r w:rsidR="00FE3B3A">
              <w:t> </w:t>
            </w:r>
            <w:r w:rsidRPr="00305B63">
              <w:t>July</w:t>
            </w:r>
            <w:r w:rsidR="00FE3B3A">
              <w:t> </w:t>
            </w:r>
            <w:r w:rsidRPr="00305B63">
              <w:t>2019</w:t>
            </w:r>
          </w:p>
        </w:tc>
        <w:tc>
          <w:tcPr>
            <w:tcW w:w="2046" w:type="dxa"/>
          </w:tcPr>
          <w:p w14:paraId="780CF480" w14:textId="50EE4947" w:rsidR="005B0EDD" w:rsidRPr="005E0656" w:rsidRDefault="005B0EDD" w:rsidP="000B20B5">
            <w:pPr>
              <w:pStyle w:val="TableText"/>
              <w:cnfStyle w:val="000000100000" w:firstRow="0" w:lastRow="0" w:firstColumn="0" w:lastColumn="0" w:oddVBand="0" w:evenVBand="0" w:oddHBand="1" w:evenHBand="0" w:firstRowFirstColumn="0" w:firstRowLastColumn="0" w:lastRowFirstColumn="0" w:lastRowLastColumn="0"/>
            </w:pPr>
            <w:r>
              <w:t>6</w:t>
            </w:r>
            <w:r w:rsidRPr="005E0656">
              <w:t xml:space="preserve"> of 6</w:t>
            </w:r>
          </w:p>
        </w:tc>
        <w:tc>
          <w:tcPr>
            <w:tcW w:w="1742" w:type="dxa"/>
          </w:tcPr>
          <w:p w14:paraId="355D100F" w14:textId="5EC0864B" w:rsidR="005B0EDD" w:rsidRPr="005B0EDD" w:rsidRDefault="005B0EDD" w:rsidP="000B20B5">
            <w:pPr>
              <w:pStyle w:val="TableText"/>
              <w:cnfStyle w:val="000000100000" w:firstRow="0" w:lastRow="0" w:firstColumn="0" w:lastColumn="0" w:oddVBand="0" w:evenVBand="0" w:oddHBand="1" w:evenHBand="0" w:firstRowFirstColumn="0" w:firstRowLastColumn="0" w:lastRowFirstColumn="0" w:lastRowLastColumn="0"/>
            </w:pPr>
            <w:r w:rsidRPr="006A2366">
              <w:t>3 of 3</w:t>
            </w:r>
          </w:p>
        </w:tc>
      </w:tr>
      <w:tr w:rsidR="005B0EDD" w:rsidRPr="00102B0F" w14:paraId="7AD6BF01" w14:textId="4E3DE9AA" w:rsidTr="003E0090">
        <w:tc>
          <w:tcPr>
            <w:cnfStyle w:val="001000000000" w:firstRow="0" w:lastRow="0" w:firstColumn="1" w:lastColumn="0" w:oddVBand="0" w:evenVBand="0" w:oddHBand="0" w:evenHBand="0" w:firstRowFirstColumn="0" w:firstRowLastColumn="0" w:lastRowFirstColumn="0" w:lastRowLastColumn="0"/>
            <w:tcW w:w="2904" w:type="dxa"/>
          </w:tcPr>
          <w:p w14:paraId="60040455" w14:textId="77777777" w:rsidR="005B0EDD" w:rsidRPr="005E0656" w:rsidRDefault="005B0EDD" w:rsidP="000B20B5">
            <w:pPr>
              <w:pStyle w:val="TableText"/>
            </w:pPr>
            <w:r w:rsidRPr="005E0656">
              <w:t>Timothy Lyons</w:t>
            </w:r>
          </w:p>
        </w:tc>
        <w:tc>
          <w:tcPr>
            <w:tcW w:w="2199" w:type="dxa"/>
          </w:tcPr>
          <w:p w14:paraId="37E880A7" w14:textId="6063C3CF" w:rsidR="005B0EDD" w:rsidRDefault="005B0EDD" w:rsidP="000B20B5">
            <w:pPr>
              <w:pStyle w:val="TableText"/>
              <w:cnfStyle w:val="000000000000" w:firstRow="0" w:lastRow="0" w:firstColumn="0" w:lastColumn="0" w:oddVBand="0" w:evenVBand="0" w:oddHBand="0" w:evenHBand="0" w:firstRowFirstColumn="0" w:firstRowLastColumn="0" w:lastRowFirstColumn="0" w:lastRowLastColumn="0"/>
            </w:pPr>
            <w:r w:rsidRPr="005E0656">
              <w:t>10</w:t>
            </w:r>
            <w:r w:rsidR="00FE3B3A">
              <w:t> </w:t>
            </w:r>
            <w:r w:rsidRPr="005E0656">
              <w:t>October</w:t>
            </w:r>
            <w:r w:rsidR="00FE3B3A">
              <w:t> </w:t>
            </w:r>
            <w:r w:rsidRPr="005E0656">
              <w:t>2015</w:t>
            </w:r>
          </w:p>
        </w:tc>
        <w:tc>
          <w:tcPr>
            <w:tcW w:w="2046" w:type="dxa"/>
          </w:tcPr>
          <w:p w14:paraId="152718A8" w14:textId="5DCA6BED" w:rsidR="005B0EDD" w:rsidRPr="005E0656" w:rsidRDefault="005B0EDD" w:rsidP="000B20B5">
            <w:pPr>
              <w:pStyle w:val="TableText"/>
              <w:cnfStyle w:val="000000000000" w:firstRow="0" w:lastRow="0" w:firstColumn="0" w:lastColumn="0" w:oddVBand="0" w:evenVBand="0" w:oddHBand="0" w:evenHBand="0" w:firstRowFirstColumn="0" w:firstRowLastColumn="0" w:lastRowFirstColumn="0" w:lastRowLastColumn="0"/>
            </w:pPr>
            <w:r>
              <w:t>5</w:t>
            </w:r>
            <w:r w:rsidRPr="005E0656">
              <w:t xml:space="preserve"> of 6</w:t>
            </w:r>
          </w:p>
        </w:tc>
        <w:tc>
          <w:tcPr>
            <w:tcW w:w="1742" w:type="dxa"/>
          </w:tcPr>
          <w:p w14:paraId="3839ECE9" w14:textId="0862EDE4" w:rsidR="005B0EDD" w:rsidRPr="005B0EDD" w:rsidRDefault="005B0EDD" w:rsidP="000B20B5">
            <w:pPr>
              <w:pStyle w:val="TableText"/>
              <w:cnfStyle w:val="000000000000" w:firstRow="0" w:lastRow="0" w:firstColumn="0" w:lastColumn="0" w:oddVBand="0" w:evenVBand="0" w:oddHBand="0" w:evenHBand="0" w:firstRowFirstColumn="0" w:firstRowLastColumn="0" w:lastRowFirstColumn="0" w:lastRowLastColumn="0"/>
            </w:pPr>
            <w:r w:rsidRPr="006A2366">
              <w:t>3 of 3</w:t>
            </w:r>
          </w:p>
        </w:tc>
      </w:tr>
    </w:tbl>
    <w:p w14:paraId="178CDDB8" w14:textId="237C0F9A" w:rsidR="009C63B1" w:rsidRPr="00CD6245" w:rsidRDefault="009C63B1" w:rsidP="009C63B1">
      <w:pPr>
        <w:pStyle w:val="Heading3NoNum"/>
      </w:pPr>
      <w:bookmarkStart w:id="37" w:name="_Hlk521510233"/>
      <w:bookmarkStart w:id="38" w:name="_Toc366693318"/>
      <w:bookmarkEnd w:id="9"/>
      <w:bookmarkEnd w:id="13"/>
      <w:bookmarkEnd w:id="25"/>
      <w:bookmarkEnd w:id="36"/>
      <w:r>
        <w:t>Assessing</w:t>
      </w:r>
      <w:r w:rsidR="004110E7">
        <w:t xml:space="preserve"> the </w:t>
      </w:r>
      <w:r w:rsidR="006A737D">
        <w:t>VGPB</w:t>
      </w:r>
      <w:r w:rsidR="004110E7">
        <w:t>’s</w:t>
      </w:r>
      <w:r>
        <w:t xml:space="preserve"> performance</w:t>
      </w:r>
    </w:p>
    <w:p w14:paraId="12228D00" w14:textId="233959FB" w:rsidR="009C63B1" w:rsidRDefault="009C63B1" w:rsidP="009C63B1">
      <w:pPr>
        <w:pStyle w:val="Normal1"/>
      </w:pPr>
      <w:r>
        <w:t xml:space="preserve">Each year, </w:t>
      </w:r>
      <w:r w:rsidR="006A737D">
        <w:t xml:space="preserve">VGPB </w:t>
      </w:r>
      <w:r>
        <w:t>members assess their individual performance and th</w:t>
      </w:r>
      <w:r w:rsidR="00685F44">
        <w:t>e performance</w:t>
      </w:r>
      <w:r w:rsidR="008443AA">
        <w:t xml:space="preserve"> </w:t>
      </w:r>
      <w:r>
        <w:t>of the VGPB as a whole over the past 12 months, and identify opportunities for improvement.</w:t>
      </w:r>
    </w:p>
    <w:p w14:paraId="4044365D" w14:textId="7F5A6A0F" w:rsidR="006A737D" w:rsidRPr="006A737D" w:rsidRDefault="006A737D" w:rsidP="006A737D">
      <w:pPr>
        <w:pStyle w:val="Normal1"/>
      </w:pPr>
      <w:r>
        <w:t>In 2019–20,</w:t>
      </w:r>
      <w:r w:rsidRPr="006A737D">
        <w:t xml:space="preserve"> VGPB members took a new approach to assess</w:t>
      </w:r>
      <w:r>
        <w:t>ing</w:t>
      </w:r>
      <w:r w:rsidRPr="006A737D">
        <w:t xml:space="preserve"> their performance</w:t>
      </w:r>
      <w:r w:rsidR="00685F44">
        <w:t xml:space="preserve">, </w:t>
      </w:r>
      <w:r w:rsidR="00685F44" w:rsidRPr="006A737D">
        <w:t>conduct</w:t>
      </w:r>
      <w:r w:rsidR="00685F44">
        <w:t>ing</w:t>
      </w:r>
      <w:r w:rsidR="00685F44" w:rsidRPr="006A737D">
        <w:t xml:space="preserve"> </w:t>
      </w:r>
      <w:r w:rsidR="00685F44">
        <w:t xml:space="preserve">a </w:t>
      </w:r>
      <w:r w:rsidR="00685F44" w:rsidRPr="006A737D">
        <w:t xml:space="preserve">critical analysis </w:t>
      </w:r>
      <w:r w:rsidR="00685F44">
        <w:t>d</w:t>
      </w:r>
      <w:r w:rsidR="00685F44" w:rsidRPr="006A737D">
        <w:t>uring the strategic planning sessions</w:t>
      </w:r>
      <w:r w:rsidRPr="006A737D">
        <w:t xml:space="preserve"> to identify areas </w:t>
      </w:r>
      <w:r>
        <w:t xml:space="preserve">where the VGPB is </w:t>
      </w:r>
      <w:r w:rsidRPr="006A737D">
        <w:t>doing well and what they should focus their attention on.</w:t>
      </w:r>
    </w:p>
    <w:p w14:paraId="2EDA2DB6" w14:textId="13F5FD06" w:rsidR="00E36760" w:rsidRDefault="006A737D" w:rsidP="006A737D">
      <w:pPr>
        <w:pStyle w:val="Normal1"/>
      </w:pPr>
      <w:r w:rsidRPr="006A737D">
        <w:t>Overall, members acknowledged that it had been a challenging time</w:t>
      </w:r>
      <w:r w:rsidR="00577B29">
        <w:t>,</w:t>
      </w:r>
      <w:r w:rsidRPr="006A737D">
        <w:t xml:space="preserve"> with COVID</w:t>
      </w:r>
      <w:r>
        <w:t>-1</w:t>
      </w:r>
      <w:r w:rsidRPr="006A737D">
        <w:t>9</w:t>
      </w:r>
      <w:r w:rsidR="006558FB">
        <w:t xml:space="preserve">, </w:t>
      </w:r>
      <w:r w:rsidRPr="006A737D">
        <w:t>bushfires</w:t>
      </w:r>
      <w:r w:rsidR="006558FB">
        <w:t xml:space="preserve"> and</w:t>
      </w:r>
      <w:r w:rsidRPr="006A737D">
        <w:t xml:space="preserve"> cyberattacks leading to unemployment and supplier fragility. </w:t>
      </w:r>
      <w:r w:rsidR="00E36760" w:rsidRPr="006A737D">
        <w:t>COVID</w:t>
      </w:r>
      <w:r w:rsidR="00E36760">
        <w:t>-19</w:t>
      </w:r>
      <w:r w:rsidR="00E36760" w:rsidRPr="006A737D">
        <w:t xml:space="preserve"> has highlighted the need to manage supply chain risk and address capability gaps</w:t>
      </w:r>
      <w:r w:rsidR="00E36760">
        <w:t>.</w:t>
      </w:r>
    </w:p>
    <w:p w14:paraId="23960727" w14:textId="38960975" w:rsidR="006A737D" w:rsidRDefault="006A737D" w:rsidP="006A737D">
      <w:pPr>
        <w:pStyle w:val="Normal1"/>
      </w:pPr>
      <w:r w:rsidRPr="006A737D">
        <w:t>Members assessed the VGPB as operating effectively in its capacity as the steering committee for the procurement reform during this time. Members also acknowledge</w:t>
      </w:r>
      <w:r>
        <w:t xml:space="preserve">d that VGPB membership </w:t>
      </w:r>
      <w:r w:rsidRPr="006A737D">
        <w:t xml:space="preserve">covered a wide range of procurement skills and </w:t>
      </w:r>
      <w:r>
        <w:t xml:space="preserve">a </w:t>
      </w:r>
      <w:r w:rsidRPr="006A737D">
        <w:t>shared commitment to achieving value</w:t>
      </w:r>
      <w:r>
        <w:t>-</w:t>
      </w:r>
      <w:r w:rsidRPr="006A737D">
        <w:t>for</w:t>
      </w:r>
      <w:r>
        <w:t>-</w:t>
      </w:r>
      <w:r w:rsidRPr="006A737D">
        <w:t>money outcomes and streamlining processes for buyers.</w:t>
      </w:r>
    </w:p>
    <w:p w14:paraId="6EF5931C" w14:textId="5EF88115" w:rsidR="00E36760" w:rsidRDefault="00E36760" w:rsidP="006A737D">
      <w:pPr>
        <w:pStyle w:val="Normal1"/>
      </w:pPr>
      <w:r>
        <w:t>In 2020–21, the VGPB will carry out a detailed review of its policy framework with a view to providing more focus on identifying and delivering strategic outcomes including risk reduction.</w:t>
      </w:r>
    </w:p>
    <w:p w14:paraId="4BFB3A34" w14:textId="30999AF7" w:rsidR="00CB6A68" w:rsidRPr="00B3325D" w:rsidRDefault="00B72FA1" w:rsidP="006A737D">
      <w:pPr>
        <w:pStyle w:val="Heading1NoNum"/>
      </w:pPr>
      <w:bookmarkStart w:id="39" w:name="_Toc52187715"/>
      <w:r>
        <w:lastRenderedPageBreak/>
        <w:t>VGPB a</w:t>
      </w:r>
      <w:r w:rsidR="0040259C" w:rsidRPr="00B3325D">
        <w:t>ctivities</w:t>
      </w:r>
      <w:r w:rsidR="00FF5031">
        <w:t xml:space="preserve"> in </w:t>
      </w:r>
      <w:r w:rsidR="008E6D45">
        <w:t>2019–20</w:t>
      </w:r>
      <w:bookmarkEnd w:id="39"/>
    </w:p>
    <w:p w14:paraId="10E44F9B" w14:textId="77777777" w:rsidR="00FF50EE" w:rsidRDefault="00FF50EE" w:rsidP="00FF50EE">
      <w:pPr>
        <w:pStyle w:val="Normal1"/>
      </w:pPr>
      <w:r>
        <w:t>In 2019–20, we continued to work with the Department of Treasury and Finance’s Procurement Policy and Reform team on the five workstreams established in 2017–18 under the procurement reform program.</w:t>
      </w:r>
    </w:p>
    <w:p w14:paraId="21CE9EEA" w14:textId="6DA98DEB" w:rsidR="00FF50EE" w:rsidRDefault="00FF50EE" w:rsidP="00FF50EE">
      <w:pPr>
        <w:pStyle w:val="Normal1"/>
      </w:pPr>
      <w:r>
        <w:t>With most recommendations from the procurement review now complete and the remaining implementation activities to be carried out by</w:t>
      </w:r>
      <w:r w:rsidR="00094A7E">
        <w:t xml:space="preserve"> the</w:t>
      </w:r>
      <w:r>
        <w:t xml:space="preserve"> Strategic Sourcing</w:t>
      </w:r>
      <w:r w:rsidR="00094A7E">
        <w:t xml:space="preserve"> Group</w:t>
      </w:r>
      <w:r>
        <w:t xml:space="preserve"> in the Department of Treasury and Finance, the procurement review program has mostly wrapped up. The VGPB will continue to be updated on the progress of these </w:t>
      </w:r>
      <w:r w:rsidR="0005722E">
        <w:t xml:space="preserve">remaining </w:t>
      </w:r>
      <w:r>
        <w:t>activities.</w:t>
      </w:r>
    </w:p>
    <w:p w14:paraId="0EB333EE" w14:textId="77777777" w:rsidR="00FF50EE" w:rsidRDefault="00FF50EE" w:rsidP="00FF50EE">
      <w:pPr>
        <w:pStyle w:val="Normal1"/>
      </w:pPr>
      <w:r>
        <w:t>The key outcomes completed under the five workstreams in 2019–20 are described here:</w:t>
      </w:r>
    </w:p>
    <w:p w14:paraId="0BDBD86D" w14:textId="77777777" w:rsidR="00FF50EE" w:rsidRPr="00BE641C" w:rsidRDefault="00FF50EE" w:rsidP="00FF50EE">
      <w:pPr>
        <w:pStyle w:val="Heading2NoNum"/>
      </w:pPr>
      <w:bookmarkStart w:id="40" w:name="_Toc52187716"/>
      <w:r w:rsidRPr="00BE641C">
        <w:t>Workstream 1: Victoria’s Social Procurement Framework and reporting</w:t>
      </w:r>
      <w:bookmarkEnd w:id="40"/>
    </w:p>
    <w:p w14:paraId="0C0A9276" w14:textId="43B70651" w:rsidR="00FF50EE" w:rsidRPr="005714E1" w:rsidRDefault="00FF50EE" w:rsidP="00FF50EE">
      <w:pPr>
        <w:pStyle w:val="Normal1"/>
      </w:pPr>
      <w:r>
        <w:t xml:space="preserve">In 2019–20, we continued to support implementation of the Social Procurement Framework. The </w:t>
      </w:r>
      <w:r w:rsidR="0005722E">
        <w:t>P</w:t>
      </w:r>
      <w:r>
        <w:t xml:space="preserve">rocurement </w:t>
      </w:r>
      <w:r w:rsidR="0005722E">
        <w:t>P</w:t>
      </w:r>
      <w:r>
        <w:t xml:space="preserve">olicy </w:t>
      </w:r>
      <w:r w:rsidR="0005722E">
        <w:t xml:space="preserve">and Reform </w:t>
      </w:r>
      <w:r>
        <w:t xml:space="preserve">team reviewed and gave feedback on more than 200 agency strategies. The strategies set out how agencies plan to embed social procurement into their procurement process. This has been a critical step to support implementation across </w:t>
      </w:r>
      <w:r w:rsidR="002E4537">
        <w:t>g</w:t>
      </w:r>
      <w:r>
        <w:t>overnment.</w:t>
      </w:r>
    </w:p>
    <w:p w14:paraId="0CA16993" w14:textId="480845AB" w:rsidR="00FF50EE" w:rsidRDefault="00FF50EE" w:rsidP="00FF50EE">
      <w:pPr>
        <w:pStyle w:val="Normal1"/>
      </w:pPr>
      <w:r>
        <w:t xml:space="preserve">The </w:t>
      </w:r>
      <w:r w:rsidR="0005722E">
        <w:t>Procurement Policy and Reform team</w:t>
      </w:r>
      <w:r>
        <w:t xml:space="preserve"> continued to build and maintain partnerships with social benefit suppliers,</w:t>
      </w:r>
      <w:r w:rsidRPr="000E689B">
        <w:t xml:space="preserve"> Social Traders, Kinaway and Supply Nation</w:t>
      </w:r>
      <w:r>
        <w:t xml:space="preserve">. </w:t>
      </w:r>
      <w:r w:rsidRPr="000B5911">
        <w:t>The</w:t>
      </w:r>
      <w:r>
        <w:t xml:space="preserve">y also continued to promote the framework through newsletters, seminars and workshops, including presenting at the </w:t>
      </w:r>
      <w:r w:rsidRPr="000E689B">
        <w:t>Social Traders Conference</w:t>
      </w:r>
      <w:r>
        <w:t xml:space="preserve"> 2019</w:t>
      </w:r>
      <w:r w:rsidRPr="000E689B">
        <w:t xml:space="preserve">, </w:t>
      </w:r>
      <w:r>
        <w:t xml:space="preserve">the </w:t>
      </w:r>
      <w:r w:rsidR="00A07804">
        <w:t xml:space="preserve">14th </w:t>
      </w:r>
      <w:r w:rsidRPr="000E689B">
        <w:t>Procurement Australasia Annual Conference and the Social Enterprise World Forum 2019</w:t>
      </w:r>
      <w:r>
        <w:t>.</w:t>
      </w:r>
    </w:p>
    <w:p w14:paraId="275BE26D" w14:textId="69239D14" w:rsidR="00FF50EE" w:rsidRPr="005714E1" w:rsidRDefault="00FF50EE" w:rsidP="00FF50EE">
      <w:pPr>
        <w:pStyle w:val="Normal1"/>
      </w:pPr>
      <w:r>
        <w:t xml:space="preserve">In 2020–21, the </w:t>
      </w:r>
      <w:r w:rsidR="0005722E">
        <w:t xml:space="preserve">Procurement Policy and Reform team </w:t>
      </w:r>
      <w:r>
        <w:t>will continue to work with the Department of Jobs, Precincts and Regions to strengthen buyer and supplier engagement.</w:t>
      </w:r>
    </w:p>
    <w:p w14:paraId="0B0A4804" w14:textId="77777777" w:rsidR="00FF50EE" w:rsidRPr="00F356C2" w:rsidRDefault="00FF50EE" w:rsidP="00FF50EE">
      <w:pPr>
        <w:pStyle w:val="Heading3NoNum"/>
      </w:pPr>
      <w:r w:rsidRPr="00BE641C">
        <w:t xml:space="preserve">Social </w:t>
      </w:r>
      <w:r w:rsidRPr="00F356C2">
        <w:t>procurement reporting</w:t>
      </w:r>
    </w:p>
    <w:p w14:paraId="247981D2" w14:textId="21CB004E" w:rsidR="00FF50EE" w:rsidRDefault="00FF50EE" w:rsidP="00FF50EE">
      <w:pPr>
        <w:pStyle w:val="Normal1"/>
      </w:pPr>
      <w:r>
        <w:t xml:space="preserve">The </w:t>
      </w:r>
      <w:r w:rsidR="00577B29">
        <w:t>Procurement Policy and Reform</w:t>
      </w:r>
      <w:r>
        <w:t xml:space="preserve"> and Local Jobs First teams started work on </w:t>
      </w:r>
      <w:r w:rsidRPr="000E689B">
        <w:t xml:space="preserve">a </w:t>
      </w:r>
      <w:r>
        <w:t>joint</w:t>
      </w:r>
      <w:r w:rsidRPr="000E689B">
        <w:t xml:space="preserve"> reporting </w:t>
      </w:r>
      <w:r>
        <w:t xml:space="preserve">system to streamline </w:t>
      </w:r>
      <w:r w:rsidR="00577B29">
        <w:t xml:space="preserve">social procurement </w:t>
      </w:r>
      <w:r>
        <w:t>reporting requirements for agencies. The system will be rolled out in 2020 and further supports the move to simplify procurement through better use of technology.</w:t>
      </w:r>
    </w:p>
    <w:p w14:paraId="647609E3" w14:textId="77777777" w:rsidR="00FF50EE" w:rsidRDefault="00FF50EE" w:rsidP="00FF50EE">
      <w:pPr>
        <w:pStyle w:val="Normal1"/>
      </w:pPr>
      <w:r>
        <w:t>The first social procurement annual report was published</w:t>
      </w:r>
      <w:r w:rsidRPr="006D523D">
        <w:t xml:space="preserve"> </w:t>
      </w:r>
      <w:r>
        <w:t xml:space="preserve">in November 2019. The report highlights the progress made by agencies to date with case studies of the people benefiting from social procurement. </w:t>
      </w:r>
      <w:r w:rsidRPr="00915439">
        <w:t>Th</w:t>
      </w:r>
      <w:r>
        <w:t xml:space="preserve">is </w:t>
      </w:r>
      <w:r w:rsidRPr="00915439">
        <w:t xml:space="preserve">report </w:t>
      </w:r>
      <w:r>
        <w:t xml:space="preserve">has </w:t>
      </w:r>
      <w:r w:rsidRPr="00915439">
        <w:t>set a baseline to measure social procurement achievements in the future</w:t>
      </w:r>
      <w:r>
        <w:t>.</w:t>
      </w:r>
    </w:p>
    <w:p w14:paraId="1F6636F0" w14:textId="0D6C4CAC" w:rsidR="00FF50EE" w:rsidRDefault="00FF50EE" w:rsidP="00FF50EE">
      <w:pPr>
        <w:pStyle w:val="Normal1"/>
      </w:pPr>
      <w:r>
        <w:t xml:space="preserve">The report is available from </w:t>
      </w:r>
      <w:hyperlink r:id="rId15" w:history="1">
        <w:r>
          <w:rPr>
            <w:rStyle w:val="Hyperlink"/>
          </w:rPr>
          <w:t>buyingfor.vic.gov.au/social-procurement-annual-reports</w:t>
        </w:r>
      </w:hyperlink>
    </w:p>
    <w:p w14:paraId="24BCE0CB" w14:textId="77777777" w:rsidR="00DA49D0" w:rsidRPr="00FE3B3A" w:rsidRDefault="00DA49D0" w:rsidP="00DA49D0">
      <w:pPr>
        <w:pStyle w:val="Bullet1"/>
        <w:numPr>
          <w:ilvl w:val="0"/>
          <w:numId w:val="0"/>
        </w:numPr>
        <w:ind w:left="794"/>
        <w:rPr>
          <w:rStyle w:val="Strong"/>
        </w:rPr>
      </w:pPr>
      <w:r w:rsidRPr="00FE3B3A">
        <w:rPr>
          <w:rStyle w:val="Strong"/>
        </w:rPr>
        <w:t>Infographic:</w:t>
      </w:r>
    </w:p>
    <w:p w14:paraId="1E593A79" w14:textId="3F1FE55B" w:rsidR="00FF50EE" w:rsidRPr="00FF50EE" w:rsidRDefault="00923265" w:rsidP="00FF50EE">
      <w:pPr>
        <w:pStyle w:val="Bullet1"/>
      </w:pPr>
      <w:r>
        <w:t>Published f</w:t>
      </w:r>
      <w:r w:rsidR="00FF50EE" w:rsidRPr="00FF50EE">
        <w:t>irst social procurement annual report</w:t>
      </w:r>
    </w:p>
    <w:p w14:paraId="6024F13F" w14:textId="2FEF737E" w:rsidR="00FF50EE" w:rsidRPr="00FF50EE" w:rsidRDefault="00923265" w:rsidP="00FF50EE">
      <w:pPr>
        <w:pStyle w:val="Bullet1"/>
      </w:pPr>
      <w:r>
        <w:t>Three conferences as k</w:t>
      </w:r>
      <w:r w:rsidR="00FF50EE" w:rsidRPr="00FF50EE">
        <w:t>eynote speaker</w:t>
      </w:r>
    </w:p>
    <w:p w14:paraId="0447EE0F" w14:textId="7560E54D" w:rsidR="00FF50EE" w:rsidRPr="00FF50EE" w:rsidRDefault="00FF50EE" w:rsidP="00FF50EE">
      <w:pPr>
        <w:pStyle w:val="Bullet1"/>
      </w:pPr>
      <w:r w:rsidRPr="00FF50EE">
        <w:t>200+ agency social procurement strategies</w:t>
      </w:r>
      <w:r w:rsidR="00923265" w:rsidRPr="00923265">
        <w:t xml:space="preserve"> </w:t>
      </w:r>
      <w:r w:rsidR="00923265">
        <w:t>r</w:t>
      </w:r>
      <w:r w:rsidR="00923265" w:rsidRPr="00FF50EE">
        <w:t>eviewed</w:t>
      </w:r>
    </w:p>
    <w:p w14:paraId="568465B4" w14:textId="05CE26ED" w:rsidR="00FF50EE" w:rsidRPr="00FF50EE" w:rsidRDefault="00967CA3" w:rsidP="00FF50EE">
      <w:pPr>
        <w:pStyle w:val="Bullet1"/>
      </w:pPr>
      <w:r>
        <w:t>Five</w:t>
      </w:r>
      <w:r w:rsidR="00FF50EE" w:rsidRPr="00FF50EE">
        <w:t xml:space="preserve"> social procurement newsletters</w:t>
      </w:r>
    </w:p>
    <w:p w14:paraId="5921987C" w14:textId="44A0BD06" w:rsidR="004D576C" w:rsidRDefault="004D576C">
      <w:pPr>
        <w:rPr>
          <w:rFonts w:ascii="Calibri" w:hAnsi="Calibri" w:cs="Calibri"/>
          <w:sz w:val="22"/>
          <w:szCs w:val="22"/>
        </w:rPr>
      </w:pPr>
    </w:p>
    <w:p w14:paraId="598B9FA4" w14:textId="77777777" w:rsidR="00923265" w:rsidRDefault="00923265">
      <w:pPr>
        <w:rPr>
          <w:rFonts w:ascii="Calibri" w:hAnsi="Calibri" w:cs="Calibri"/>
          <w:b/>
          <w:sz w:val="22"/>
          <w:szCs w:val="22"/>
        </w:rPr>
      </w:pPr>
      <w:r>
        <w:br w:type="page"/>
      </w:r>
    </w:p>
    <w:p w14:paraId="3155CD8F" w14:textId="45AEAF65" w:rsidR="004D576C" w:rsidRPr="005C05E7" w:rsidRDefault="004D576C" w:rsidP="004D576C">
      <w:pPr>
        <w:pStyle w:val="Caption"/>
        <w:pBdr>
          <w:top w:val="single" w:sz="4" w:space="1" w:color="auto"/>
        </w:pBdr>
      </w:pPr>
      <w:r>
        <w:lastRenderedPageBreak/>
        <w:t xml:space="preserve">Case study: </w:t>
      </w:r>
      <w:r w:rsidRPr="005C05E7">
        <w:t>The hunt for hand sanitiser is a win for social procurement</w:t>
      </w:r>
    </w:p>
    <w:p w14:paraId="43BBAE95" w14:textId="77777777" w:rsidR="004D576C" w:rsidRDefault="004D576C" w:rsidP="004D576C">
      <w:pPr>
        <w:pStyle w:val="Normal1"/>
      </w:pPr>
      <w:r>
        <w:t>H</w:t>
      </w:r>
      <w:r w:rsidRPr="0087057C">
        <w:t xml:space="preserve">and sanitiser has become a much </w:t>
      </w:r>
      <w:r w:rsidRPr="00BF3FD0">
        <w:t>sought-after</w:t>
      </w:r>
      <w:r w:rsidRPr="0087057C">
        <w:t xml:space="preserve"> essential</w:t>
      </w:r>
      <w:r>
        <w:t xml:space="preserve"> during COVID-19. When supplies ran low and became difficult to source, the procurement team at the Department of Transport found</w:t>
      </w:r>
      <w:r w:rsidRPr="0087057C">
        <w:t xml:space="preserve"> a solution that supported </w:t>
      </w:r>
      <w:r>
        <w:t xml:space="preserve">an </w:t>
      </w:r>
      <w:r w:rsidRPr="0087057C">
        <w:t>Aboriginal business.</w:t>
      </w:r>
    </w:p>
    <w:p w14:paraId="1225567C" w14:textId="685A4415" w:rsidR="004D576C" w:rsidRPr="0087057C" w:rsidRDefault="004D576C" w:rsidP="004D576C">
      <w:pPr>
        <w:pStyle w:val="Normal1"/>
      </w:pPr>
      <w:r>
        <w:t xml:space="preserve">The department chose to buy </w:t>
      </w:r>
      <w:r w:rsidRPr="0087057C">
        <w:t xml:space="preserve">hand sanitiser supplies from Panku, a Supply Nation Certified </w:t>
      </w:r>
      <w:r>
        <w:t xml:space="preserve">Supplier </w:t>
      </w:r>
      <w:r w:rsidRPr="0087057C">
        <w:t xml:space="preserve">in </w:t>
      </w:r>
      <w:r w:rsidR="004D2268">
        <w:t>s</w:t>
      </w:r>
      <w:r>
        <w:t>outh-</w:t>
      </w:r>
      <w:r w:rsidR="004D2268">
        <w:t>e</w:t>
      </w:r>
      <w:r>
        <w:t xml:space="preserve">ast </w:t>
      </w:r>
      <w:r w:rsidRPr="0087057C">
        <w:t xml:space="preserve">Melbourne, to </w:t>
      </w:r>
      <w:r>
        <w:t xml:space="preserve">keep all its sites </w:t>
      </w:r>
      <w:r w:rsidRPr="0087057C">
        <w:t xml:space="preserve">across Victoria well equipped over the </w:t>
      </w:r>
      <w:r>
        <w:t xml:space="preserve">following </w:t>
      </w:r>
      <w:r w:rsidRPr="0087057C">
        <w:t>few months.</w:t>
      </w:r>
    </w:p>
    <w:p w14:paraId="3D738A0B" w14:textId="77777777" w:rsidR="004D576C" w:rsidRPr="0087057C" w:rsidRDefault="004D576C" w:rsidP="004D576C">
      <w:pPr>
        <w:pStyle w:val="Normal1"/>
      </w:pPr>
      <w:r w:rsidRPr="0087057C">
        <w:t>Panku</w:t>
      </w:r>
      <w:r>
        <w:t xml:space="preserve">, </w:t>
      </w:r>
      <w:r w:rsidRPr="0087057C">
        <w:t>which means 'united, together' in Nyiyaparli language</w:t>
      </w:r>
      <w:r>
        <w:t>,</w:t>
      </w:r>
      <w:r w:rsidRPr="0087057C">
        <w:t xml:space="preserve"> offers a range of goods and services</w:t>
      </w:r>
      <w:r>
        <w:t xml:space="preserve">, </w:t>
      </w:r>
      <w:r w:rsidRPr="0087057C">
        <w:t>from safety equipment and personal hygiene products to first</w:t>
      </w:r>
      <w:r>
        <w:t>-</w:t>
      </w:r>
      <w:r w:rsidRPr="0087057C">
        <w:t>aid training.</w:t>
      </w:r>
    </w:p>
    <w:p w14:paraId="1483AE47" w14:textId="77777777" w:rsidR="004D576C" w:rsidRPr="0087057C" w:rsidRDefault="004D576C" w:rsidP="004D576C">
      <w:pPr>
        <w:pStyle w:val="Normal1"/>
      </w:pPr>
      <w:r w:rsidRPr="0087057C">
        <w:t xml:space="preserve">“The contract provides security and continuity for our business, especially in these uncertain times,” said </w:t>
      </w:r>
      <w:proofErr w:type="spellStart"/>
      <w:r w:rsidRPr="0087057C">
        <w:t>Panku’s</w:t>
      </w:r>
      <w:proofErr w:type="spellEnd"/>
      <w:r w:rsidRPr="0087057C">
        <w:t xml:space="preserve"> Chief Executive Officer </w:t>
      </w:r>
      <w:proofErr w:type="spellStart"/>
      <w:r w:rsidRPr="0087057C">
        <w:t>Jadah</w:t>
      </w:r>
      <w:proofErr w:type="spellEnd"/>
      <w:r w:rsidRPr="0087057C">
        <w:t xml:space="preserve"> </w:t>
      </w:r>
      <w:proofErr w:type="spellStart"/>
      <w:r w:rsidRPr="0087057C">
        <w:t>Pleiter</w:t>
      </w:r>
      <w:proofErr w:type="spellEnd"/>
      <w:r w:rsidRPr="0087057C">
        <w:t>. “It is rewarding for us as a business to support the community in making a difference, especially as an Aboriginal business.”</w:t>
      </w:r>
    </w:p>
    <w:p w14:paraId="1AC18AF3" w14:textId="5E35606B" w:rsidR="004D576C" w:rsidRDefault="004D576C" w:rsidP="004D576C">
      <w:pPr>
        <w:pStyle w:val="Normal1"/>
        <w:pBdr>
          <w:bottom w:val="single" w:sz="4" w:space="1" w:color="auto"/>
        </w:pBdr>
      </w:pPr>
      <w:r w:rsidRPr="0087057C">
        <w:t xml:space="preserve">This win-win </w:t>
      </w:r>
      <w:r>
        <w:t>is a prime example of</w:t>
      </w:r>
      <w:r w:rsidRPr="0087057C">
        <w:t xml:space="preserve"> how social procurement </w:t>
      </w:r>
      <w:r>
        <w:t xml:space="preserve">can </w:t>
      </w:r>
      <w:r w:rsidRPr="0087057C">
        <w:t>deliver for stakeholders and communities</w:t>
      </w:r>
      <w:r>
        <w:t>.</w:t>
      </w:r>
    </w:p>
    <w:p w14:paraId="5AF58526" w14:textId="572EE9C6" w:rsidR="00FF50EE" w:rsidRDefault="00FF50EE" w:rsidP="00FF50EE">
      <w:pPr>
        <w:pStyle w:val="Heading2NoNum"/>
      </w:pPr>
      <w:bookmarkStart w:id="41" w:name="_Toc52187717"/>
      <w:r>
        <w:t>Workstream 2: Governance, extending the reach</w:t>
      </w:r>
      <w:bookmarkEnd w:id="41"/>
    </w:p>
    <w:p w14:paraId="1801EF87" w14:textId="77777777" w:rsidR="00FF50EE" w:rsidRDefault="00FF50EE" w:rsidP="00FF50EE">
      <w:pPr>
        <w:pStyle w:val="Normal1"/>
      </w:pPr>
      <w:r>
        <w:t>We continued to work towards bringing 150 extra organisations under the VGPB umbrella, creating a scalable framework that aligns compliance requirements with an organisation’s procurement risk and complexity profile.</w:t>
      </w:r>
    </w:p>
    <w:p w14:paraId="1D4ED707" w14:textId="18373D95" w:rsidR="00FF50EE" w:rsidRDefault="00FF50EE" w:rsidP="00FF50EE">
      <w:pPr>
        <w:pStyle w:val="Normal1"/>
      </w:pPr>
      <w:r>
        <w:t>Implementation has been deferred to 1</w:t>
      </w:r>
      <w:r w:rsidR="00FE3B3A">
        <w:t> </w:t>
      </w:r>
      <w:r>
        <w:t>July</w:t>
      </w:r>
      <w:r w:rsidR="00FE3B3A">
        <w:t> </w:t>
      </w:r>
      <w:r>
        <w:t>2021, due to the impacts of COVID-19 on agencies and to allow procurement teams to focus on their pandemic response first and foremost. Over the coming year, we will finalise and implement supporting materials to help new organisations transition to our goods and services policy framework and continue to monitor overall delivery of this workstream.</w:t>
      </w:r>
    </w:p>
    <w:p w14:paraId="749BD7DE" w14:textId="77777777" w:rsidR="00FF50EE" w:rsidRDefault="00FF50EE" w:rsidP="00FF50EE">
      <w:pPr>
        <w:pStyle w:val="Heading2NoNum"/>
      </w:pPr>
      <w:bookmarkStart w:id="42" w:name="_Toc52187718"/>
      <w:r>
        <w:t>Workstream 3: Policy and practice</w:t>
      </w:r>
      <w:bookmarkEnd w:id="42"/>
    </w:p>
    <w:p w14:paraId="19B565EC" w14:textId="77777777" w:rsidR="00FF50EE" w:rsidRDefault="00FF50EE" w:rsidP="00FF50EE">
      <w:pPr>
        <w:pStyle w:val="Heading3NoNum"/>
      </w:pPr>
      <w:r>
        <w:t>Aligning and harmonising goods and services and construction procurement</w:t>
      </w:r>
    </w:p>
    <w:p w14:paraId="5F13D564" w14:textId="77777777" w:rsidR="00FF50EE" w:rsidRDefault="00FF50EE" w:rsidP="00FF50EE">
      <w:pPr>
        <w:pStyle w:val="Normal1"/>
      </w:pPr>
      <w:r>
        <w:t>We worked with stakeholders to investigate the risks, costs and benefits of aligning goods and services and construction procurement policies.</w:t>
      </w:r>
    </w:p>
    <w:p w14:paraId="16EE422F" w14:textId="1C2FF2E1" w:rsidR="00FF50EE" w:rsidRDefault="00FF50EE" w:rsidP="00FF50EE">
      <w:pPr>
        <w:pStyle w:val="Normal1"/>
      </w:pPr>
      <w:r>
        <w:t>We found that buyers are adept at applying the two different policy frameworks, and there is little appetite for legislative or policy change at this time</w:t>
      </w:r>
      <w:r w:rsidR="0005722E">
        <w:t>.</w:t>
      </w:r>
    </w:p>
    <w:p w14:paraId="4D6DCB48" w14:textId="16FA7B14" w:rsidR="00FF50EE" w:rsidRDefault="00FF50EE" w:rsidP="00FF50EE">
      <w:pPr>
        <w:pStyle w:val="Normal1"/>
      </w:pPr>
      <w:r>
        <w:t xml:space="preserve">The VGPB </w:t>
      </w:r>
      <w:r w:rsidR="001C779D">
        <w:t xml:space="preserve">has developed a draft </w:t>
      </w:r>
      <w:r w:rsidR="001C779D" w:rsidRPr="007722ED">
        <w:t>integrated procurement framework</w:t>
      </w:r>
      <w:r w:rsidR="001C779D">
        <w:t xml:space="preserve"> </w:t>
      </w:r>
      <w:r>
        <w:t xml:space="preserve">to encourage agencies to harmonise their internal procurement arrangements for goods and services and construction, wherever the two frameworks </w:t>
      </w:r>
      <w:r w:rsidR="00E36760">
        <w:t>overlap</w:t>
      </w:r>
      <w:r w:rsidR="001C779D">
        <w:t>.</w:t>
      </w:r>
    </w:p>
    <w:p w14:paraId="081C6A91" w14:textId="77777777" w:rsidR="00FF50EE" w:rsidRDefault="00FF50EE" w:rsidP="00FF50EE">
      <w:pPr>
        <w:pStyle w:val="Heading3NoNum"/>
      </w:pPr>
      <w:r>
        <w:t>Alternate procurement paths</w:t>
      </w:r>
    </w:p>
    <w:p w14:paraId="4530F53F" w14:textId="616A42CA" w:rsidR="00FF50EE" w:rsidRDefault="00FF50EE" w:rsidP="00FF50EE">
      <w:pPr>
        <w:pStyle w:val="Normal1"/>
      </w:pPr>
      <w:r>
        <w:t xml:space="preserve">Towards the end of 2019–20, we published three new guides on innovative pathways to market. These complement our current range of guides that help buyers with </w:t>
      </w:r>
      <w:r w:rsidR="00685F44">
        <w:t>the principle</w:t>
      </w:r>
      <w:r>
        <w:t xml:space="preserve"> aspects of the procurement process.</w:t>
      </w:r>
    </w:p>
    <w:p w14:paraId="449122D0" w14:textId="45236D92" w:rsidR="008F11D2" w:rsidRDefault="008F11D2" w:rsidP="008F11D2">
      <w:pPr>
        <w:pStyle w:val="Heading4NoNum"/>
      </w:pPr>
      <w:r>
        <w:t>New guides</w:t>
      </w:r>
    </w:p>
    <w:tbl>
      <w:tblPr>
        <w:tblStyle w:val="TableGrid"/>
        <w:tblW w:w="9209" w:type="dxa"/>
        <w:tblInd w:w="704" w:type="dxa"/>
        <w:tblLook w:val="04A0" w:firstRow="1" w:lastRow="0" w:firstColumn="1" w:lastColumn="0" w:noHBand="0" w:noVBand="1"/>
      </w:tblPr>
      <w:tblGrid>
        <w:gridCol w:w="2972"/>
        <w:gridCol w:w="6237"/>
      </w:tblGrid>
      <w:tr w:rsidR="00FF50EE" w14:paraId="2FA1D536" w14:textId="77777777" w:rsidTr="00FF50EE">
        <w:tc>
          <w:tcPr>
            <w:tcW w:w="2972" w:type="dxa"/>
          </w:tcPr>
          <w:p w14:paraId="3CF3316A" w14:textId="77777777" w:rsidR="00FF50EE" w:rsidRPr="00FF50EE" w:rsidRDefault="00FF50EE" w:rsidP="000B20B5">
            <w:pPr>
              <w:pStyle w:val="TableText"/>
              <w:rPr>
                <w:rFonts w:cstheme="minorHAnsi"/>
              </w:rPr>
            </w:pPr>
            <w:r w:rsidRPr="00FF50EE">
              <w:t>Pre-commercial procurement</w:t>
            </w:r>
          </w:p>
        </w:tc>
        <w:tc>
          <w:tcPr>
            <w:tcW w:w="6237" w:type="dxa"/>
          </w:tcPr>
          <w:p w14:paraId="58BB9722" w14:textId="77777777" w:rsidR="00FF50EE" w:rsidRDefault="00FF50EE" w:rsidP="000B20B5">
            <w:pPr>
              <w:pStyle w:val="TableText"/>
              <w:rPr>
                <w:rFonts w:cstheme="minorHAnsi"/>
              </w:rPr>
            </w:pPr>
            <w:r w:rsidRPr="00187BD9">
              <w:t>Pre-commercial procurement</w:t>
            </w:r>
            <w:r w:rsidRPr="00187BD9" w:rsidDel="00A56CD1">
              <w:t xml:space="preserve"> </w:t>
            </w:r>
            <w:r w:rsidRPr="00187BD9">
              <w:t>helps</w:t>
            </w:r>
            <w:r w:rsidRPr="00B50F68">
              <w:t xml:space="preserve"> buyers purchase goods or services when the market does not have an existing or fully developed solution.</w:t>
            </w:r>
          </w:p>
        </w:tc>
      </w:tr>
      <w:tr w:rsidR="00FF50EE" w14:paraId="78ED0B40" w14:textId="77777777" w:rsidTr="00FF50EE">
        <w:tc>
          <w:tcPr>
            <w:tcW w:w="2972" w:type="dxa"/>
          </w:tcPr>
          <w:p w14:paraId="6E7D34A2" w14:textId="77777777" w:rsidR="00FF50EE" w:rsidRPr="00FF50EE" w:rsidRDefault="00FF50EE" w:rsidP="000B20B5">
            <w:pPr>
              <w:pStyle w:val="TableText"/>
              <w:rPr>
                <w:rFonts w:cstheme="minorHAnsi"/>
              </w:rPr>
            </w:pPr>
            <w:r w:rsidRPr="00FF50EE">
              <w:t>Early market engagement</w:t>
            </w:r>
          </w:p>
        </w:tc>
        <w:tc>
          <w:tcPr>
            <w:tcW w:w="6237" w:type="dxa"/>
          </w:tcPr>
          <w:p w14:paraId="545917A6" w14:textId="77777777" w:rsidR="00FF50EE" w:rsidRDefault="00FF50EE" w:rsidP="000B20B5">
            <w:pPr>
              <w:pStyle w:val="TableText"/>
              <w:rPr>
                <w:rFonts w:cstheme="minorHAnsi"/>
              </w:rPr>
            </w:pPr>
            <w:r w:rsidRPr="00187BD9">
              <w:t>Early market engagement</w:t>
            </w:r>
            <w:r w:rsidRPr="00187BD9" w:rsidDel="00A56CD1">
              <w:t xml:space="preserve"> </w:t>
            </w:r>
            <w:r w:rsidRPr="00187BD9">
              <w:t>is the</w:t>
            </w:r>
            <w:r>
              <w:t xml:space="preserve"> strategic exchange of information with the market prior to procurement. This guide helps buyers understand how</w:t>
            </w:r>
            <w:r w:rsidRPr="00B50F68">
              <w:t xml:space="preserve"> to drive </w:t>
            </w:r>
            <w:r>
              <w:t xml:space="preserve">early </w:t>
            </w:r>
            <w:r w:rsidRPr="00B50F68">
              <w:t>participation, innovation and collaboration with the market for upcoming procurement activit</w:t>
            </w:r>
            <w:r>
              <w:t>ies</w:t>
            </w:r>
            <w:r w:rsidRPr="00B50F68">
              <w:t>.</w:t>
            </w:r>
          </w:p>
        </w:tc>
      </w:tr>
      <w:tr w:rsidR="00FF50EE" w14:paraId="617EF24C" w14:textId="77777777" w:rsidTr="00FF50EE">
        <w:tc>
          <w:tcPr>
            <w:tcW w:w="2972" w:type="dxa"/>
          </w:tcPr>
          <w:p w14:paraId="38D58F2F" w14:textId="77777777" w:rsidR="00FF50EE" w:rsidRPr="00FF50EE" w:rsidRDefault="00FF50EE" w:rsidP="000B20B5">
            <w:pPr>
              <w:pStyle w:val="TableText"/>
              <w:rPr>
                <w:rFonts w:cstheme="minorHAnsi"/>
              </w:rPr>
            </w:pPr>
            <w:r w:rsidRPr="00FF50EE">
              <w:lastRenderedPageBreak/>
              <w:t>Procurement auctions</w:t>
            </w:r>
          </w:p>
        </w:tc>
        <w:tc>
          <w:tcPr>
            <w:tcW w:w="6237" w:type="dxa"/>
          </w:tcPr>
          <w:p w14:paraId="73E2DE81" w14:textId="0C0D11E5" w:rsidR="00FF50EE" w:rsidRDefault="00FF50EE" w:rsidP="000B20B5">
            <w:pPr>
              <w:pStyle w:val="TableText"/>
              <w:rPr>
                <w:rFonts w:cstheme="minorHAnsi"/>
              </w:rPr>
            </w:pPr>
            <w:r w:rsidRPr="00187BD9">
              <w:t>Procurement auctions</w:t>
            </w:r>
            <w:r w:rsidRPr="00187BD9" w:rsidDel="00A56CD1">
              <w:t xml:space="preserve"> </w:t>
            </w:r>
            <w:r w:rsidRPr="00187BD9">
              <w:t>and</w:t>
            </w:r>
            <w:r>
              <w:t xml:space="preserve"> reverse auctions are when several sellers compete with one another to win the business of </w:t>
            </w:r>
            <w:r w:rsidR="00685F44">
              <w:t xml:space="preserve">a </w:t>
            </w:r>
            <w:r>
              <w:t xml:space="preserve">buyer. </w:t>
            </w:r>
            <w:r w:rsidRPr="00B50F68">
              <w:t>Auctions</w:t>
            </w:r>
            <w:r>
              <w:t xml:space="preserve"> </w:t>
            </w:r>
            <w:r w:rsidRPr="00B50F68">
              <w:t xml:space="preserve">can </w:t>
            </w:r>
            <w:r>
              <w:t>achieve</w:t>
            </w:r>
            <w:r w:rsidRPr="00B50F68">
              <w:t xml:space="preserve"> greater value for money by </w:t>
            </w:r>
            <w:r>
              <w:t xml:space="preserve">bringing down prices. </w:t>
            </w:r>
          </w:p>
        </w:tc>
      </w:tr>
    </w:tbl>
    <w:p w14:paraId="51015B9F" w14:textId="47D59138" w:rsidR="00FF50EE" w:rsidRDefault="00FF50EE" w:rsidP="00FF50EE">
      <w:pPr>
        <w:pStyle w:val="Heading3NoNum"/>
      </w:pPr>
      <w:r>
        <w:t>Uniforms and personal protective equipment</w:t>
      </w:r>
    </w:p>
    <w:p w14:paraId="3C24CF12" w14:textId="225074A0" w:rsidR="00FF50EE" w:rsidRDefault="00FF50EE" w:rsidP="00FF50EE">
      <w:pPr>
        <w:pStyle w:val="Normal1"/>
      </w:pPr>
      <w:r>
        <w:t>We continued to support the Government’s commitment to buying locally made uniforms and personal protective equipment</w:t>
      </w:r>
      <w:r w:rsidR="006C6057">
        <w:t xml:space="preserve"> (PPE)</w:t>
      </w:r>
      <w:r>
        <w:t>.</w:t>
      </w:r>
    </w:p>
    <w:p w14:paraId="6B28C1B3" w14:textId="59B2C7A5" w:rsidR="00FF50EE" w:rsidRDefault="00FF50EE" w:rsidP="00FF50EE">
      <w:pPr>
        <w:pStyle w:val="Normal1"/>
      </w:pPr>
      <w:r>
        <w:t xml:space="preserve">On the buyer side, the </w:t>
      </w:r>
      <w:r w:rsidR="009754B4">
        <w:t xml:space="preserve">Uniforms </w:t>
      </w:r>
      <w:r w:rsidR="006C6057">
        <w:t>and</w:t>
      </w:r>
      <w:r w:rsidR="009754B4">
        <w:t xml:space="preserve"> PPE Monitor </w:t>
      </w:r>
      <w:r>
        <w:t>ran regular working groups for the major buying agencies, worked closely with Local Jobs First and the Local Jobs First Commissioner, and engaged the Australian Advanced Manufacturing Council on industry support initiatives.</w:t>
      </w:r>
    </w:p>
    <w:p w14:paraId="159BD9E7" w14:textId="77777777" w:rsidR="00FF50EE" w:rsidRDefault="00FF50EE" w:rsidP="00FF50EE">
      <w:pPr>
        <w:pStyle w:val="Normal1"/>
      </w:pPr>
      <w:r>
        <w:t>On the industry side, the Monitor worked with the Textile, Clothing and Footwear Union (part of the Construction, Forestry, Maritime, Mining, and Energy Union), Ethical Clothing Australia, the Industry Capability Network Victoria, and numerous suppliers.</w:t>
      </w:r>
    </w:p>
    <w:p w14:paraId="17033FB9" w14:textId="7F655DFA" w:rsidR="00FF50EE" w:rsidRDefault="00FF50EE" w:rsidP="00FF50EE">
      <w:pPr>
        <w:pStyle w:val="Normal1"/>
      </w:pPr>
      <w:r>
        <w:t>The Monitor set up a strategic partnership with the Australian Fashion Council – the national peak body for the textiles, clothing and footwear sector – to develop the sector’s capability to supply local manufacture</w:t>
      </w:r>
      <w:r w:rsidR="00436BFB">
        <w:t>rs</w:t>
      </w:r>
      <w:r>
        <w:t>, and to build buyer capability.</w:t>
      </w:r>
    </w:p>
    <w:p w14:paraId="72B056A6" w14:textId="77777777" w:rsidR="00FF50EE" w:rsidRDefault="00FF50EE" w:rsidP="00FF50EE">
      <w:pPr>
        <w:pStyle w:val="Normal1"/>
      </w:pPr>
      <w:r>
        <w:t xml:space="preserve">Last year, an ethical supplier register was set up to connect buyers with accredited suppliers and support job creation. The register has been </w:t>
      </w:r>
      <w:proofErr w:type="gramStart"/>
      <w:r>
        <w:t>very successful</w:t>
      </w:r>
      <w:proofErr w:type="gramEnd"/>
      <w:r>
        <w:t xml:space="preserve"> with 24 suppliers registered at the end of the financial year and applications still coming in.</w:t>
      </w:r>
    </w:p>
    <w:p w14:paraId="0543956A" w14:textId="77777777" w:rsidR="00DA49D0" w:rsidRPr="00FE3B3A" w:rsidRDefault="00DA49D0" w:rsidP="00DA49D0">
      <w:pPr>
        <w:pStyle w:val="Bullet1"/>
        <w:numPr>
          <w:ilvl w:val="0"/>
          <w:numId w:val="0"/>
        </w:numPr>
        <w:ind w:left="794"/>
        <w:rPr>
          <w:rStyle w:val="Strong"/>
        </w:rPr>
      </w:pPr>
      <w:r w:rsidRPr="00FE3B3A">
        <w:rPr>
          <w:rStyle w:val="Strong"/>
        </w:rPr>
        <w:t>Infographic:</w:t>
      </w:r>
    </w:p>
    <w:p w14:paraId="7B3CC82E" w14:textId="46CB55CE" w:rsidR="00FF50EE" w:rsidRDefault="006D2032" w:rsidP="00FF50EE">
      <w:pPr>
        <w:pStyle w:val="Bullet1"/>
      </w:pPr>
      <w:r>
        <w:t>T</w:t>
      </w:r>
      <w:r w:rsidR="00FF50EE">
        <w:t>hree guides on innovative pathways to market</w:t>
      </w:r>
    </w:p>
    <w:p w14:paraId="3E6C4CB9" w14:textId="17857F17" w:rsidR="00FF50EE" w:rsidRDefault="006D2032" w:rsidP="00FF50EE">
      <w:pPr>
        <w:pStyle w:val="Bullet1"/>
      </w:pPr>
      <w:r>
        <w:t>S</w:t>
      </w:r>
      <w:r w:rsidR="00FF50EE">
        <w:t>trategic partnership with Australian Fashion Council – the national peak body for the textiles, clothing and footwear sector</w:t>
      </w:r>
    </w:p>
    <w:p w14:paraId="5BC82647" w14:textId="7F7EC95D" w:rsidR="00FF50EE" w:rsidRDefault="00FF50EE" w:rsidP="00FF50EE">
      <w:pPr>
        <w:pStyle w:val="Bullet1"/>
      </w:pPr>
      <w:r>
        <w:t>24 suppliers signed up to the ethical supplier register</w:t>
      </w:r>
    </w:p>
    <w:p w14:paraId="79978354" w14:textId="34EEC1A4" w:rsidR="00881EB0" w:rsidRPr="00664791" w:rsidRDefault="00881B55" w:rsidP="00FF50EE">
      <w:pPr>
        <w:pStyle w:val="Bullet1"/>
        <w:rPr>
          <w:color w:val="4D4D4D"/>
          <w:kern w:val="28"/>
          <w:sz w:val="30"/>
          <w:lang w:eastAsia="en-US"/>
        </w:rPr>
      </w:pPr>
      <w:r>
        <w:t>A d</w:t>
      </w:r>
      <w:r w:rsidR="00FF50EE">
        <w:t xml:space="preserve">raft </w:t>
      </w:r>
      <w:r>
        <w:t>i</w:t>
      </w:r>
      <w:r>
        <w:rPr>
          <w:color w:val="000000"/>
        </w:rPr>
        <w:t>ntegrated procurement framewo</w:t>
      </w:r>
      <w:r w:rsidRPr="007B17A0">
        <w:rPr>
          <w:color w:val="000000"/>
        </w:rPr>
        <w:t>rk </w:t>
      </w:r>
      <w:r w:rsidRPr="00BF3FD0">
        <w:rPr>
          <w:color w:val="000000"/>
        </w:rPr>
        <w:t>to integrate </w:t>
      </w:r>
      <w:r w:rsidRPr="007B17A0">
        <w:rPr>
          <w:color w:val="000000"/>
        </w:rPr>
        <w:t>g</w:t>
      </w:r>
      <w:r>
        <w:rPr>
          <w:color w:val="000000"/>
        </w:rPr>
        <w:t>oods and services and construction procurement</w:t>
      </w:r>
    </w:p>
    <w:p w14:paraId="28525A16" w14:textId="77777777" w:rsidR="00664791" w:rsidRPr="00BE641C" w:rsidRDefault="00664791" w:rsidP="00664791">
      <w:pPr>
        <w:pStyle w:val="Heading2NoNum"/>
      </w:pPr>
      <w:bookmarkStart w:id="43" w:name="_Toc52187719"/>
      <w:r w:rsidRPr="00BE641C">
        <w:t xml:space="preserve">Workstream 4: Procurement </w:t>
      </w:r>
      <w:r>
        <w:t>t</w:t>
      </w:r>
      <w:r w:rsidRPr="006A200F">
        <w:t>echnology</w:t>
      </w:r>
      <w:bookmarkEnd w:id="43"/>
    </w:p>
    <w:p w14:paraId="7A56B609" w14:textId="77777777" w:rsidR="00664791" w:rsidRDefault="00664791" w:rsidP="00664791">
      <w:pPr>
        <w:pStyle w:val="Normal1"/>
      </w:pPr>
      <w:r>
        <w:t xml:space="preserve">Procurement technology provides an opportunity to </w:t>
      </w:r>
      <w:r w:rsidRPr="000E689B">
        <w:t>support better procurement decisions</w:t>
      </w:r>
      <w:r>
        <w:t xml:space="preserve"> and </w:t>
      </w:r>
      <w:r w:rsidRPr="00001D70">
        <w:t>simplify the procurement process for both buyers and suppliers</w:t>
      </w:r>
      <w:r>
        <w:t>. We are seeing considerable momentum in this space.</w:t>
      </w:r>
    </w:p>
    <w:p w14:paraId="6B927260" w14:textId="77777777" w:rsidR="00664791" w:rsidRDefault="00664791" w:rsidP="00664791">
      <w:pPr>
        <w:pStyle w:val="Heading3NoNum"/>
      </w:pPr>
      <w:r>
        <w:t>Buying for Victoria website</w:t>
      </w:r>
    </w:p>
    <w:p w14:paraId="6C3AB77F" w14:textId="6B3E0E35" w:rsidR="00664791" w:rsidRDefault="00664791" w:rsidP="00664791">
      <w:pPr>
        <w:pStyle w:val="Normal1"/>
      </w:pPr>
      <w:r>
        <w:t xml:space="preserve">In early 2020, the Department of Premier and Cabinet delivered the second stage of the </w:t>
      </w:r>
      <w:hyperlink r:id="rId16" w:history="1">
        <w:r w:rsidRPr="005D3363">
          <w:rPr>
            <w:rStyle w:val="Hyperlink"/>
          </w:rPr>
          <w:t>Buying for Victoria</w:t>
        </w:r>
      </w:hyperlink>
      <w:r>
        <w:t xml:space="preserve"> website</w:t>
      </w:r>
      <w:r w:rsidR="005D3363">
        <w:t xml:space="preserve"> (</w:t>
      </w:r>
      <w:r w:rsidR="005D3363">
        <w:fldChar w:fldCharType="begin"/>
      </w:r>
      <w:r w:rsidR="005D3363">
        <w:instrText xml:space="preserve"> REF _Ref49170660 \h </w:instrText>
      </w:r>
      <w:r w:rsidR="005D3363">
        <w:fldChar w:fldCharType="separate"/>
      </w:r>
      <w:r w:rsidR="00152B74">
        <w:t xml:space="preserve">Figure </w:t>
      </w:r>
      <w:r w:rsidR="00152B74">
        <w:rPr>
          <w:noProof/>
        </w:rPr>
        <w:t>3</w:t>
      </w:r>
      <w:r w:rsidR="005D3363">
        <w:fldChar w:fldCharType="end"/>
      </w:r>
      <w:r w:rsidR="005D3363">
        <w:t>)</w:t>
      </w:r>
      <w:r>
        <w:t xml:space="preserve">, converting all PDF guidance to HTML to make content </w:t>
      </w:r>
      <w:r w:rsidR="006C6057">
        <w:t xml:space="preserve">more </w:t>
      </w:r>
      <w:r>
        <w:t>accessible. The website brings together information for government suppliers and buyers on procuring goods and services, and construction works and services.</w:t>
      </w:r>
    </w:p>
    <w:p w14:paraId="239E6F43" w14:textId="25633F0C" w:rsidR="00664791" w:rsidRDefault="00664791" w:rsidP="00664791">
      <w:pPr>
        <w:pStyle w:val="Normal1"/>
      </w:pPr>
      <w:r>
        <w:t xml:space="preserve">The content is being continually improved through a joint effort between the VGPB, </w:t>
      </w:r>
      <w:r w:rsidR="005D3363">
        <w:t xml:space="preserve">the </w:t>
      </w:r>
      <w:r>
        <w:t>Department of Premier and Cabinet and the construction team in the Department of Treasury and Finance.</w:t>
      </w:r>
    </w:p>
    <w:p w14:paraId="6B766376" w14:textId="36C54B18" w:rsidR="005D3363" w:rsidRDefault="005D3363" w:rsidP="00664791">
      <w:pPr>
        <w:pStyle w:val="Normal1"/>
      </w:pPr>
      <w:r>
        <w:rPr>
          <w:noProof/>
        </w:rPr>
        <w:lastRenderedPageBreak/>
        <w:drawing>
          <wp:inline distT="0" distB="0" distL="0" distR="0" wp14:anchorId="49DEA425" wp14:editId="2F675C2E">
            <wp:extent cx="5705475" cy="2767440"/>
            <wp:effectExtent l="0" t="0" r="0" b="0"/>
            <wp:docPr id="10" name="Picture 10" descr="A screenshot of the Buying for Victoria home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the Buying for Victoria homepage&#10;"/>
                    <pic:cNvPicPr/>
                  </pic:nvPicPr>
                  <pic:blipFill>
                    <a:blip r:embed="rId17"/>
                    <a:stretch>
                      <a:fillRect/>
                    </a:stretch>
                  </pic:blipFill>
                  <pic:spPr>
                    <a:xfrm>
                      <a:off x="0" y="0"/>
                      <a:ext cx="5712670" cy="2770930"/>
                    </a:xfrm>
                    <a:prstGeom prst="rect">
                      <a:avLst/>
                    </a:prstGeom>
                  </pic:spPr>
                </pic:pic>
              </a:graphicData>
            </a:graphic>
          </wp:inline>
        </w:drawing>
      </w:r>
    </w:p>
    <w:p w14:paraId="0AC8D24C" w14:textId="644780D4" w:rsidR="005D3363" w:rsidRDefault="005D3363" w:rsidP="005D3363">
      <w:pPr>
        <w:pStyle w:val="Caption"/>
      </w:pPr>
      <w:bookmarkStart w:id="44" w:name="_Ref49170660"/>
      <w:r>
        <w:t xml:space="preserve">Figure </w:t>
      </w:r>
      <w:r w:rsidR="00BE0754">
        <w:fldChar w:fldCharType="begin"/>
      </w:r>
      <w:r w:rsidR="00BE0754">
        <w:instrText xml:space="preserve"> SEQ Figure \* ARABIC </w:instrText>
      </w:r>
      <w:r w:rsidR="00BE0754">
        <w:fldChar w:fldCharType="separate"/>
      </w:r>
      <w:r w:rsidR="00152B74">
        <w:rPr>
          <w:noProof/>
        </w:rPr>
        <w:t>3</w:t>
      </w:r>
      <w:r w:rsidR="00BE0754">
        <w:rPr>
          <w:noProof/>
        </w:rPr>
        <w:fldChar w:fldCharType="end"/>
      </w:r>
      <w:bookmarkEnd w:id="44"/>
      <w:r>
        <w:t>: Homepage of the new Buying for Victoria website</w:t>
      </w:r>
    </w:p>
    <w:p w14:paraId="101F1504" w14:textId="555AE4A2" w:rsidR="00664791" w:rsidRDefault="000B5911" w:rsidP="00664791">
      <w:pPr>
        <w:pStyle w:val="Heading3NoNum"/>
        <w:rPr>
          <w:rFonts w:cstheme="minorHAnsi"/>
        </w:rPr>
      </w:pPr>
      <w:r>
        <w:t>E-p</w:t>
      </w:r>
      <w:r w:rsidR="00664791">
        <w:t>rocurement strategy</w:t>
      </w:r>
    </w:p>
    <w:p w14:paraId="1375EC5C" w14:textId="34290525" w:rsidR="00664791" w:rsidRDefault="00664791" w:rsidP="00664791">
      <w:pPr>
        <w:pStyle w:val="Normal1"/>
      </w:pPr>
      <w:r>
        <w:t xml:space="preserve">The Department of Treasury and Finance ran a successful pilot for the proposed procurement data centre. After the pilot, the department started working with departments and </w:t>
      </w:r>
      <w:r w:rsidR="001C779D">
        <w:t xml:space="preserve">major </w:t>
      </w:r>
      <w:r>
        <w:t>agencies to implement the rollout across government. This will provide visibility of consolidated procurement data, giving important insights into what government is purchasing.</w:t>
      </w:r>
    </w:p>
    <w:p w14:paraId="2DF937DA" w14:textId="4AC3C22D" w:rsidR="00664791" w:rsidRDefault="00664791" w:rsidP="00664791">
      <w:pPr>
        <w:pStyle w:val="Normal1"/>
      </w:pPr>
      <w:r>
        <w:t>A key</w:t>
      </w:r>
      <w:r w:rsidR="006C6057">
        <w:t xml:space="preserve"> part of the</w:t>
      </w:r>
      <w:r>
        <w:t xml:space="preserve"> project is </w:t>
      </w:r>
      <w:proofErr w:type="gramStart"/>
      <w:r>
        <w:t>spend</w:t>
      </w:r>
      <w:proofErr w:type="gramEnd"/>
      <w:r>
        <w:t xml:space="preserve"> data analytics</w:t>
      </w:r>
      <w:r w:rsidR="006C6057">
        <w:t xml:space="preserve"> to </w:t>
      </w:r>
      <w:r>
        <w:t>collect and consolidate accounts payable data from across departments and Victoria Police, and classif</w:t>
      </w:r>
      <w:r w:rsidR="006C6057">
        <w:t>y</w:t>
      </w:r>
      <w:r>
        <w:t xml:space="preserve"> the data against a common procurement taxonomy (the United Nations Standard Products and Services Code).</w:t>
      </w:r>
    </w:p>
    <w:p w14:paraId="4CE06309" w14:textId="7EEAD841" w:rsidR="00664791" w:rsidRDefault="00664791" w:rsidP="00664791">
      <w:pPr>
        <w:pStyle w:val="Normal1"/>
      </w:pPr>
      <w:r>
        <w:t xml:space="preserve">This project will also match spend categories to state purchase contracts to check that </w:t>
      </w:r>
      <w:r w:rsidR="000300BD">
        <w:t>the benefits of these contracts are being maximised</w:t>
      </w:r>
      <w:r>
        <w:t xml:space="preserve">. Much of the work has been completed and we </w:t>
      </w:r>
      <w:r w:rsidR="0005722E">
        <w:t>will</w:t>
      </w:r>
      <w:r>
        <w:t xml:space="preserve"> </w:t>
      </w:r>
      <w:r w:rsidR="001C779D">
        <w:t>implement</w:t>
      </w:r>
      <w:r>
        <w:t xml:space="preserve"> this project </w:t>
      </w:r>
      <w:r w:rsidR="0005722E">
        <w:t xml:space="preserve">at the end of </w:t>
      </w:r>
      <w:r>
        <w:t>August 2020.</w:t>
      </w:r>
    </w:p>
    <w:p w14:paraId="57443CFD" w14:textId="77777777" w:rsidR="00664791" w:rsidRDefault="00664791" w:rsidP="00664791">
      <w:pPr>
        <w:pStyle w:val="Normal1"/>
        <w:rPr>
          <w:rFonts w:cstheme="minorHAnsi"/>
        </w:rPr>
      </w:pPr>
      <w:r w:rsidRPr="000E689B">
        <w:rPr>
          <w:rFonts w:cstheme="minorHAnsi"/>
        </w:rPr>
        <w:t xml:space="preserve">Over the next year, </w:t>
      </w:r>
      <w:r>
        <w:rPr>
          <w:rFonts w:cstheme="minorHAnsi"/>
        </w:rPr>
        <w:t>the department w</w:t>
      </w:r>
      <w:r w:rsidRPr="000E689B">
        <w:rPr>
          <w:rFonts w:cstheme="minorHAnsi"/>
        </w:rPr>
        <w:t>ill roll out two key data projects:</w:t>
      </w:r>
    </w:p>
    <w:p w14:paraId="6FE4A540" w14:textId="77777777" w:rsidR="00664791" w:rsidRDefault="00664791" w:rsidP="00664791">
      <w:pPr>
        <w:pStyle w:val="Heading4NoNum"/>
      </w:pPr>
      <w:r>
        <w:t>Master supplier database pilot</w:t>
      </w:r>
    </w:p>
    <w:p w14:paraId="31A4854E" w14:textId="0396E71C" w:rsidR="00664791" w:rsidRDefault="00664791" w:rsidP="00664791">
      <w:pPr>
        <w:pStyle w:val="Normal1"/>
      </w:pPr>
      <w:r>
        <w:t xml:space="preserve">A master supplier database will provide a single point for suppliers to register and update their details and provide </w:t>
      </w:r>
      <w:r w:rsidR="006C6057">
        <w:t xml:space="preserve">common </w:t>
      </w:r>
      <w:r>
        <w:t xml:space="preserve">required data. </w:t>
      </w:r>
      <w:r w:rsidR="000B374F" w:rsidRPr="000B374F">
        <w:t>It will also give buyers visibility of the whole supplier base</w:t>
      </w:r>
      <w:r w:rsidR="004C5033">
        <w:t xml:space="preserve"> and </w:t>
      </w:r>
      <w:r w:rsidR="004C5033" w:rsidRPr="004C5033">
        <w:t>enhance verification activities</w:t>
      </w:r>
      <w:r w:rsidR="000B374F">
        <w:t xml:space="preserve">. </w:t>
      </w:r>
      <w:r>
        <w:t xml:space="preserve">The database will be piloted in 2020–21. </w:t>
      </w:r>
      <w:r w:rsidR="006C6057">
        <w:t xml:space="preserve">The outcomes of the pilot will be evaluated prior to broader </w:t>
      </w:r>
      <w:r w:rsidR="00007EED">
        <w:t>implementation</w:t>
      </w:r>
      <w:r w:rsidR="006C6057">
        <w:t>.</w:t>
      </w:r>
    </w:p>
    <w:p w14:paraId="0F9AE153" w14:textId="77777777" w:rsidR="00664791" w:rsidRDefault="00664791" w:rsidP="00664791">
      <w:pPr>
        <w:pStyle w:val="Heading4NoNum"/>
      </w:pPr>
      <w:r>
        <w:t>Build data analytics capability</w:t>
      </w:r>
    </w:p>
    <w:p w14:paraId="43C2D46A" w14:textId="03CB5E52" w:rsidR="00664791" w:rsidRDefault="0069656E" w:rsidP="00664791">
      <w:pPr>
        <w:pStyle w:val="Normal1"/>
      </w:pPr>
      <w:r>
        <w:t>W</w:t>
      </w:r>
      <w:r w:rsidR="00664791">
        <w:t>e will a</w:t>
      </w:r>
      <w:r w:rsidR="00664791" w:rsidRPr="00DF6796">
        <w:t xml:space="preserve">nalyse </w:t>
      </w:r>
      <w:r w:rsidR="00664791">
        <w:t>categorised</w:t>
      </w:r>
      <w:r w:rsidR="00664791" w:rsidRPr="00DF6796">
        <w:t xml:space="preserve"> procurement data and establish plans and processes as to how </w:t>
      </w:r>
      <w:r w:rsidR="00664791">
        <w:t>this</w:t>
      </w:r>
      <w:r w:rsidR="00664791" w:rsidRPr="00DF6796">
        <w:t xml:space="preserve"> data will be used, analysed and published</w:t>
      </w:r>
      <w:r w:rsidR="00664791">
        <w:t xml:space="preserve">, so that we can start identifying the </w:t>
      </w:r>
      <w:r w:rsidR="000300BD">
        <w:t xml:space="preserve">activities </w:t>
      </w:r>
      <w:r w:rsidR="00664791">
        <w:t>that will lead to savings</w:t>
      </w:r>
      <w:r w:rsidR="006C6057">
        <w:t xml:space="preserve"> and benefits</w:t>
      </w:r>
      <w:r w:rsidR="00664791">
        <w:t>.</w:t>
      </w:r>
    </w:p>
    <w:p w14:paraId="77C202BB" w14:textId="77777777" w:rsidR="00DA49D0" w:rsidRPr="00FE3B3A" w:rsidRDefault="00DA49D0" w:rsidP="00DA49D0">
      <w:pPr>
        <w:pStyle w:val="Bullet1"/>
        <w:numPr>
          <w:ilvl w:val="0"/>
          <w:numId w:val="0"/>
        </w:numPr>
        <w:ind w:left="794"/>
        <w:rPr>
          <w:rStyle w:val="Strong"/>
        </w:rPr>
      </w:pPr>
      <w:r w:rsidRPr="00FE3B3A">
        <w:rPr>
          <w:rStyle w:val="Strong"/>
        </w:rPr>
        <w:t>Infographic:</w:t>
      </w:r>
    </w:p>
    <w:p w14:paraId="6FF75C1A" w14:textId="3A5B2A90" w:rsidR="00664791" w:rsidRDefault="00664791" w:rsidP="00664791">
      <w:pPr>
        <w:pStyle w:val="Bullet1"/>
      </w:pPr>
      <w:r>
        <w:t>Migra</w:t>
      </w:r>
      <w:r w:rsidR="008028E6">
        <w:t>ted</w:t>
      </w:r>
      <w:r>
        <w:t xml:space="preserve"> all guidance on Buying for Vic</w:t>
      </w:r>
      <w:r w:rsidR="00FE3B3A">
        <w:t>toria</w:t>
      </w:r>
      <w:r>
        <w:t xml:space="preserve"> to HTML </w:t>
      </w:r>
      <w:r w:rsidR="00DA49D0">
        <w:t xml:space="preserve">for better </w:t>
      </w:r>
      <w:r>
        <w:t>accessibility</w:t>
      </w:r>
    </w:p>
    <w:p w14:paraId="7A833490" w14:textId="00D859D2" w:rsidR="008028E6" w:rsidRDefault="008028E6" w:rsidP="00664791">
      <w:pPr>
        <w:pStyle w:val="Bullet1"/>
      </w:pPr>
      <w:r w:rsidRPr="008028E6">
        <w:t xml:space="preserve">Procurement </w:t>
      </w:r>
      <w:r>
        <w:t>d</w:t>
      </w:r>
      <w:r w:rsidRPr="008028E6">
        <w:t xml:space="preserve">ata </w:t>
      </w:r>
      <w:r>
        <w:t>c</w:t>
      </w:r>
      <w:r w:rsidRPr="008028E6">
        <w:t>entre pilot project successfully completed</w:t>
      </w:r>
    </w:p>
    <w:p w14:paraId="5064B0D2" w14:textId="7A1A13EE" w:rsidR="008028E6" w:rsidRDefault="008028E6" w:rsidP="00664791">
      <w:pPr>
        <w:pStyle w:val="Bullet1"/>
      </w:pPr>
      <w:r w:rsidRPr="008028E6">
        <w:t xml:space="preserve">Victorian Procurement Data Centre operations </w:t>
      </w:r>
      <w:r>
        <w:t>began</w:t>
      </w:r>
    </w:p>
    <w:p w14:paraId="7D991AA5" w14:textId="77777777" w:rsidR="008028E6" w:rsidRDefault="008028E6" w:rsidP="00664791">
      <w:pPr>
        <w:pStyle w:val="Bullet1"/>
      </w:pPr>
      <w:r w:rsidRPr="008028E6">
        <w:t>Government spend data collected, consolidated and analysed</w:t>
      </w:r>
    </w:p>
    <w:p w14:paraId="4CDAEF19" w14:textId="492A14BA" w:rsidR="00627A3F" w:rsidRPr="00DA49D0" w:rsidRDefault="008028E6" w:rsidP="00DA49D0">
      <w:pPr>
        <w:pStyle w:val="Bullet1"/>
      </w:pPr>
      <w:r w:rsidRPr="008028E6">
        <w:t xml:space="preserve">Master Supplier Database Pilot </w:t>
      </w:r>
      <w:r>
        <w:t>began</w:t>
      </w:r>
      <w:r w:rsidR="00627A3F">
        <w:br w:type="page"/>
      </w:r>
    </w:p>
    <w:p w14:paraId="441DF21F" w14:textId="6D8CC7D4" w:rsidR="0037160F" w:rsidRDefault="0037160F" w:rsidP="0072704D">
      <w:pPr>
        <w:pStyle w:val="Caption"/>
        <w:pBdr>
          <w:top w:val="single" w:sz="4" w:space="1" w:color="auto"/>
        </w:pBdr>
      </w:pPr>
      <w:r>
        <w:lastRenderedPageBreak/>
        <w:t>Case study</w:t>
      </w:r>
      <w:r w:rsidR="0072704D">
        <w:t xml:space="preserve">: </w:t>
      </w:r>
      <w:r w:rsidR="00876AB0">
        <w:t>Software solutions help take the legwork out of procurement</w:t>
      </w:r>
    </w:p>
    <w:p w14:paraId="49946E8D" w14:textId="6C3C53DD" w:rsidR="0072704D" w:rsidRPr="0072704D" w:rsidRDefault="0072704D" w:rsidP="0072704D">
      <w:pPr>
        <w:pStyle w:val="Normal1"/>
      </w:pPr>
      <w:r>
        <w:t xml:space="preserve">Many organisations are introducing software solutions to help </w:t>
      </w:r>
      <w:r w:rsidR="00695265">
        <w:t xml:space="preserve">run </w:t>
      </w:r>
      <w:r w:rsidR="00093156">
        <w:t xml:space="preserve">their </w:t>
      </w:r>
      <w:r>
        <w:t xml:space="preserve">procurement </w:t>
      </w:r>
      <w:r w:rsidR="00093156">
        <w:t xml:space="preserve">processes </w:t>
      </w:r>
      <w:r>
        <w:t>more efficiently. Victoria Police pilot</w:t>
      </w:r>
      <w:r w:rsidR="00576660">
        <w:t xml:space="preserve">ed </w:t>
      </w:r>
      <w:r>
        <w:t>two software solutions</w:t>
      </w:r>
      <w:r w:rsidR="00576660">
        <w:t xml:space="preserve"> in 2</w:t>
      </w:r>
      <w:r w:rsidR="008F11D2">
        <w:t>019–20</w:t>
      </w:r>
      <w:r>
        <w:t>:</w:t>
      </w:r>
    </w:p>
    <w:p w14:paraId="48C03920" w14:textId="068FF888" w:rsidR="0072704D" w:rsidRDefault="006558FB" w:rsidP="0072704D">
      <w:pPr>
        <w:pStyle w:val="Normal1"/>
      </w:pPr>
      <w:r>
        <w:t xml:space="preserve">A cloud-based source-to-contract tool </w:t>
      </w:r>
      <w:r w:rsidR="0072704D">
        <w:t xml:space="preserve">pilot </w:t>
      </w:r>
      <w:r>
        <w:t>i</w:t>
      </w:r>
      <w:r w:rsidR="0072704D">
        <w:t>s giving Victoria Police significantly more oversight of all procurements and at various stages of the procurement process thanks to online decisions being captured at multiple points and dashboard reporting. It has also been shown to reduce end-to-end processing timeframes.</w:t>
      </w:r>
    </w:p>
    <w:p w14:paraId="79EA17F5" w14:textId="0F90AB6B" w:rsidR="0072704D" w:rsidRDefault="00F85D40" w:rsidP="006D2032">
      <w:pPr>
        <w:pStyle w:val="Normal1"/>
        <w:pBdr>
          <w:bottom w:val="single" w:sz="4" w:space="1" w:color="auto"/>
        </w:pBdr>
      </w:pPr>
      <w:r>
        <w:t>Victoria Police's</w:t>
      </w:r>
      <w:r w:rsidR="0072704D">
        <w:t xml:space="preserve"> </w:t>
      </w:r>
      <w:r w:rsidR="00C27C0C">
        <w:t>P</w:t>
      </w:r>
      <w:r w:rsidR="0072704D">
        <w:t xml:space="preserve">rocurement </w:t>
      </w:r>
      <w:r w:rsidR="00C27C0C">
        <w:t>D</w:t>
      </w:r>
      <w:r w:rsidR="0072704D">
        <w:t>epartment is also piloting DocuSign, a software that enables binding electronic signatures and signoffs, reducing the need to run hardcopy files around the organisation for approvals.</w:t>
      </w:r>
    </w:p>
    <w:p w14:paraId="2B106C41" w14:textId="77777777" w:rsidR="00664791" w:rsidRPr="00BE641C" w:rsidRDefault="00664791" w:rsidP="00664791">
      <w:pPr>
        <w:pStyle w:val="Heading2NoNum"/>
      </w:pPr>
      <w:bookmarkStart w:id="45" w:name="_Toc52187720"/>
      <w:r w:rsidRPr="00BE641C">
        <w:t>Workstream 5: Capability, process streamline and change management</w:t>
      </w:r>
      <w:bookmarkEnd w:id="45"/>
    </w:p>
    <w:p w14:paraId="3015B88E" w14:textId="77777777" w:rsidR="00664791" w:rsidRDefault="00664791" w:rsidP="00664791">
      <w:pPr>
        <w:pStyle w:val="Normal1"/>
      </w:pPr>
      <w:r>
        <w:t>We released a goods and services buyer capability framework in June 2020, setting out standardised skill sets for buying goods and services based on the complexity of the procurement. Organisations and individuals can use the framework to assess the skills and behaviours that procurement practitioners need to carry out procurement. In 2020–21, we will release:</w:t>
      </w:r>
    </w:p>
    <w:p w14:paraId="4C55E93D" w14:textId="77777777" w:rsidR="00664791" w:rsidRDefault="00664791" w:rsidP="00664791">
      <w:pPr>
        <w:pStyle w:val="Bullet1"/>
      </w:pPr>
      <w:r>
        <w:t xml:space="preserve">a </w:t>
      </w:r>
      <w:r w:rsidRPr="00977E22">
        <w:t xml:space="preserve">modified </w:t>
      </w:r>
      <w:r>
        <w:t>web version of the framework;</w:t>
      </w:r>
    </w:p>
    <w:p w14:paraId="16E1B835" w14:textId="77777777" w:rsidR="00664791" w:rsidRDefault="00664791" w:rsidP="00664791">
      <w:pPr>
        <w:pStyle w:val="Bullet1"/>
      </w:pPr>
      <w:r>
        <w:t>a revised capability guide and tools that align with the new framework; and</w:t>
      </w:r>
    </w:p>
    <w:p w14:paraId="6C648412" w14:textId="77777777" w:rsidR="00664791" w:rsidRDefault="00664791" w:rsidP="00664791">
      <w:pPr>
        <w:pStyle w:val="Bullet1"/>
      </w:pPr>
      <w:r>
        <w:t xml:space="preserve">a </w:t>
      </w:r>
      <w:r w:rsidRPr="00977E22">
        <w:t>skills matrix</w:t>
      </w:r>
      <w:r>
        <w:t>.</w:t>
      </w:r>
    </w:p>
    <w:p w14:paraId="672B96EE" w14:textId="77777777" w:rsidR="00664791" w:rsidRDefault="00664791" w:rsidP="00664791">
      <w:pPr>
        <w:pStyle w:val="Normal1"/>
      </w:pPr>
      <w:r>
        <w:t xml:space="preserve">The </w:t>
      </w:r>
      <w:r w:rsidRPr="00D12475">
        <w:t>online module</w:t>
      </w:r>
      <w:r>
        <w:t xml:space="preserve"> to support professional procurement </w:t>
      </w:r>
      <w:r w:rsidRPr="00C610D6">
        <w:t>development was tested during the</w:t>
      </w:r>
      <w:r>
        <w:t xml:space="preserve"> year and was very well received. The model was a </w:t>
      </w:r>
      <w:r w:rsidRPr="00D12475">
        <w:t>collaboration with the Department of Premier and Cabinet, the Public Sector Innovation Fund and RMIT.</w:t>
      </w:r>
      <w:r>
        <w:t xml:space="preserve"> The project rollout date is currently being considered.</w:t>
      </w:r>
    </w:p>
    <w:p w14:paraId="0E4A13FD" w14:textId="77777777" w:rsidR="00664791" w:rsidRPr="00603361" w:rsidRDefault="00664791" w:rsidP="00664791">
      <w:pPr>
        <w:pStyle w:val="Normal1"/>
      </w:pPr>
      <w:r>
        <w:t xml:space="preserve">We started working with the </w:t>
      </w:r>
      <w:r w:rsidRPr="000E689B">
        <w:t>Austral</w:t>
      </w:r>
      <w:r>
        <w:t>asian</w:t>
      </w:r>
      <w:r w:rsidRPr="000E689B">
        <w:t xml:space="preserve"> Procurement and Construction Council</w:t>
      </w:r>
      <w:r>
        <w:t xml:space="preserve"> to develop t</w:t>
      </w:r>
      <w:r w:rsidRPr="000E689B">
        <w:t>raining and education pathways for procurement</w:t>
      </w:r>
      <w:r>
        <w:t>.</w:t>
      </w:r>
    </w:p>
    <w:p w14:paraId="4AED7720" w14:textId="77777777" w:rsidR="00664791" w:rsidRDefault="00664791" w:rsidP="00664791">
      <w:pPr>
        <w:pStyle w:val="Normal1"/>
      </w:pPr>
      <w:r>
        <w:t>To help buyers implement the procurement reform, we set up a procurement practitioners’ network to discuss procurement-related matters.</w:t>
      </w:r>
    </w:p>
    <w:p w14:paraId="12FFD288" w14:textId="1B01FFC8" w:rsidR="00664791" w:rsidRDefault="00664791" w:rsidP="00664791">
      <w:pPr>
        <w:pStyle w:val="Normal1"/>
      </w:pPr>
      <w:r>
        <w:t xml:space="preserve">We also have a </w:t>
      </w:r>
      <w:r w:rsidRPr="000E689B">
        <w:t xml:space="preserve">Government Buyers Community of Practice on the </w:t>
      </w:r>
      <w:r>
        <w:t>government intranet. This is a great resource and has grown to include more than 600 members.</w:t>
      </w:r>
    </w:p>
    <w:p w14:paraId="0AFB183B" w14:textId="77777777" w:rsidR="00DA49D0" w:rsidRPr="00FE3B3A" w:rsidRDefault="00DA49D0" w:rsidP="00DA49D0">
      <w:pPr>
        <w:pStyle w:val="Bullet1"/>
        <w:numPr>
          <w:ilvl w:val="0"/>
          <w:numId w:val="0"/>
        </w:numPr>
        <w:ind w:left="794"/>
        <w:rPr>
          <w:rStyle w:val="Strong"/>
        </w:rPr>
      </w:pPr>
      <w:r w:rsidRPr="00FE3B3A">
        <w:rPr>
          <w:rStyle w:val="Strong"/>
        </w:rPr>
        <w:t>Infographic:</w:t>
      </w:r>
    </w:p>
    <w:p w14:paraId="5613B5A5" w14:textId="6E69F3E4" w:rsidR="00664791" w:rsidRPr="007D2046" w:rsidRDefault="00664791" w:rsidP="00664791">
      <w:pPr>
        <w:pStyle w:val="Bullet1"/>
      </w:pPr>
      <w:r w:rsidRPr="007D2046">
        <w:t xml:space="preserve">Released </w:t>
      </w:r>
      <w:r w:rsidR="00605CA8">
        <w:t xml:space="preserve">a new </w:t>
      </w:r>
      <w:r w:rsidRPr="007D2046">
        <w:t>goods and services buyer capability framework</w:t>
      </w:r>
    </w:p>
    <w:p w14:paraId="4D2C5049" w14:textId="50B8123C" w:rsidR="00664791" w:rsidRPr="007D2046" w:rsidRDefault="00967CA3" w:rsidP="00664791">
      <w:pPr>
        <w:pStyle w:val="Bullet1"/>
      </w:pPr>
      <w:r>
        <w:t>Two</w:t>
      </w:r>
      <w:r w:rsidR="00664791" w:rsidRPr="007D2046">
        <w:t xml:space="preserve"> community of practice forums</w:t>
      </w:r>
      <w:r w:rsidR="00DA49D0">
        <w:t xml:space="preserve"> with</w:t>
      </w:r>
      <w:r w:rsidR="001C779D">
        <w:t xml:space="preserve"> 200+ attendees</w:t>
      </w:r>
    </w:p>
    <w:p w14:paraId="3810D617" w14:textId="72EB4CD8" w:rsidR="00664791" w:rsidRPr="007D2046" w:rsidRDefault="00605CA8" w:rsidP="00664791">
      <w:pPr>
        <w:pStyle w:val="Bullet1"/>
      </w:pPr>
      <w:r>
        <w:t>Developed and t</w:t>
      </w:r>
      <w:r w:rsidR="00664791" w:rsidRPr="007D2046">
        <w:t xml:space="preserve">ested </w:t>
      </w:r>
      <w:r>
        <w:t xml:space="preserve">an introductory </w:t>
      </w:r>
      <w:r w:rsidR="00664791" w:rsidRPr="007D2046">
        <w:t>online</w:t>
      </w:r>
      <w:r>
        <w:t xml:space="preserve"> procurement</w:t>
      </w:r>
      <w:r w:rsidR="00664791" w:rsidRPr="007D2046">
        <w:t xml:space="preserve"> </w:t>
      </w:r>
      <w:r>
        <w:t xml:space="preserve">training </w:t>
      </w:r>
      <w:r w:rsidR="00664791" w:rsidRPr="007D2046">
        <w:t>module</w:t>
      </w:r>
    </w:p>
    <w:p w14:paraId="78F1F476" w14:textId="294D7F89" w:rsidR="00664791" w:rsidRPr="007D2046" w:rsidRDefault="006D2032" w:rsidP="00664791">
      <w:pPr>
        <w:pStyle w:val="Bullet1"/>
      </w:pPr>
      <w:r>
        <w:t>S</w:t>
      </w:r>
      <w:r w:rsidR="00664791" w:rsidRPr="007D2046">
        <w:t>et up a procurement practitioners’ network</w:t>
      </w:r>
    </w:p>
    <w:p w14:paraId="753C5756" w14:textId="43E5BE1E" w:rsidR="00664791" w:rsidRDefault="00664791" w:rsidP="00664791">
      <w:pPr>
        <w:pStyle w:val="Bullet1"/>
      </w:pPr>
      <w:r w:rsidRPr="007D2046">
        <w:t>Online Buyers Community of Practice grew to 600+ members</w:t>
      </w:r>
    </w:p>
    <w:p w14:paraId="2023A078" w14:textId="77777777" w:rsidR="00152B74" w:rsidRDefault="00152B74">
      <w:pPr>
        <w:rPr>
          <w:rFonts w:ascii="Calibri" w:hAnsi="Calibri" w:cs="Calibri"/>
          <w:color w:val="4D4D4D"/>
          <w:kern w:val="28"/>
          <w:sz w:val="30"/>
          <w:szCs w:val="22"/>
          <w:lang w:eastAsia="en-US"/>
        </w:rPr>
      </w:pPr>
      <w:r>
        <w:br w:type="page"/>
      </w:r>
    </w:p>
    <w:p w14:paraId="7CE10381" w14:textId="0E2442CE" w:rsidR="00664791" w:rsidRPr="00BE641C" w:rsidRDefault="00664791" w:rsidP="00664791">
      <w:pPr>
        <w:pStyle w:val="Heading2NoNum"/>
      </w:pPr>
      <w:bookmarkStart w:id="46" w:name="_Toc52187721"/>
      <w:r w:rsidRPr="00BE641C">
        <w:lastRenderedPageBreak/>
        <w:t>Other VGPB activities in 2019</w:t>
      </w:r>
      <w:r>
        <w:t>–</w:t>
      </w:r>
      <w:r w:rsidRPr="00BE641C">
        <w:t>20</w:t>
      </w:r>
      <w:bookmarkEnd w:id="46"/>
    </w:p>
    <w:p w14:paraId="5F506193" w14:textId="77777777" w:rsidR="00664791" w:rsidRPr="00BE641C" w:rsidRDefault="00664791" w:rsidP="00664791">
      <w:pPr>
        <w:pStyle w:val="Heading3NoNum"/>
      </w:pPr>
      <w:r w:rsidRPr="00BE641C">
        <w:t>Policy changes</w:t>
      </w:r>
    </w:p>
    <w:p w14:paraId="29BC2C08" w14:textId="04D4876A" w:rsidR="00664791" w:rsidRPr="00AD1FC5" w:rsidRDefault="00664791" w:rsidP="00664791">
      <w:pPr>
        <w:pStyle w:val="Normal1"/>
      </w:pPr>
      <w:r w:rsidRPr="00AD1FC5">
        <w:t xml:space="preserve">Cybersecurity is a growing issue for </w:t>
      </w:r>
      <w:r>
        <w:t xml:space="preserve">both </w:t>
      </w:r>
      <w:r w:rsidRPr="00AD1FC5">
        <w:t xml:space="preserve">public </w:t>
      </w:r>
      <w:r>
        <w:t xml:space="preserve">and private </w:t>
      </w:r>
      <w:r w:rsidRPr="00AD1FC5">
        <w:t>sector</w:t>
      </w:r>
      <w:r>
        <w:t xml:space="preserve">s. In June 2020, we added </w:t>
      </w:r>
      <w:r w:rsidRPr="00A53CF4">
        <w:t xml:space="preserve">new procurement requirements for </w:t>
      </w:r>
      <w:r>
        <w:t xml:space="preserve">cyber and </w:t>
      </w:r>
      <w:r w:rsidRPr="00A53CF4">
        <w:t>information security</w:t>
      </w:r>
      <w:r>
        <w:t xml:space="preserve"> to the relevant VGPB supply policies to ensure organisations apply best practice cyber risk management in their </w:t>
      </w:r>
      <w:r w:rsidR="006C6057">
        <w:t xml:space="preserve">procurement of </w:t>
      </w:r>
      <w:r>
        <w:t>goods and services</w:t>
      </w:r>
      <w:r w:rsidR="006C6057">
        <w:t>.</w:t>
      </w:r>
    </w:p>
    <w:p w14:paraId="32F1EA67" w14:textId="633D82ED" w:rsidR="00664791" w:rsidRDefault="00664791" w:rsidP="00664791">
      <w:pPr>
        <w:pStyle w:val="Normal1"/>
        <w:rPr>
          <w:rStyle w:val="Hyperlink"/>
        </w:rPr>
      </w:pPr>
      <w:r>
        <w:t xml:space="preserve">These </w:t>
      </w:r>
      <w:r w:rsidRPr="00A53CF4">
        <w:t xml:space="preserve">new policy requirements </w:t>
      </w:r>
      <w:r>
        <w:t xml:space="preserve">apply to all </w:t>
      </w:r>
      <w:r w:rsidRPr="00A53CF4">
        <w:t xml:space="preserve">goods and services </w:t>
      </w:r>
      <w:r w:rsidR="006C6057">
        <w:t xml:space="preserve">procured by </w:t>
      </w:r>
      <w:r w:rsidRPr="00A53CF4">
        <w:t>mandated agencies.</w:t>
      </w:r>
      <w:r>
        <w:t xml:space="preserve"> For more on how goods and services policies have changed to manage information security, visit </w:t>
      </w:r>
      <w:hyperlink r:id="rId18" w:history="1">
        <w:r>
          <w:rPr>
            <w:rStyle w:val="Hyperlink"/>
          </w:rPr>
          <w:t>buyingfor.vic.gov.au/procurement-policy-changes-goods-and-services</w:t>
        </w:r>
      </w:hyperlink>
    </w:p>
    <w:p w14:paraId="168D38B1" w14:textId="3B1C5115" w:rsidR="00FE3B3A" w:rsidRPr="00FE3B3A" w:rsidRDefault="00664791" w:rsidP="00FE3B3A">
      <w:pPr>
        <w:pStyle w:val="Normal1"/>
        <w:rPr>
          <w:rStyle w:val="Strong"/>
        </w:rPr>
      </w:pPr>
      <w:r w:rsidRPr="00FE3B3A">
        <w:rPr>
          <w:rStyle w:val="Strong"/>
        </w:rPr>
        <w:t>Infographic:</w:t>
      </w:r>
    </w:p>
    <w:p w14:paraId="05BA2D70" w14:textId="40A07438" w:rsidR="00664791" w:rsidRDefault="00783F0A" w:rsidP="00FE3B3A">
      <w:pPr>
        <w:pStyle w:val="Bullet1"/>
      </w:pPr>
      <w:r>
        <w:t xml:space="preserve">Three </w:t>
      </w:r>
      <w:r w:rsidR="00664791">
        <w:t>policies updated to strengthen cybersecurity</w:t>
      </w:r>
    </w:p>
    <w:p w14:paraId="28CFAF94" w14:textId="57AA21BD" w:rsidR="00576660" w:rsidRDefault="00783F0A" w:rsidP="00FE3B3A">
      <w:pPr>
        <w:pStyle w:val="Bullet1"/>
        <w:rPr>
          <w:sz w:val="24"/>
          <w:szCs w:val="24"/>
        </w:rPr>
      </w:pPr>
      <w:r>
        <w:t xml:space="preserve">One </w:t>
      </w:r>
      <w:r w:rsidR="00576660">
        <w:t xml:space="preserve">information security guide and </w:t>
      </w:r>
      <w:r>
        <w:t>three</w:t>
      </w:r>
      <w:r w:rsidR="00576660">
        <w:t xml:space="preserve"> tools collaborated with </w:t>
      </w:r>
      <w:r w:rsidR="00842726">
        <w:t>the Department of Premier and Cabinet</w:t>
      </w:r>
    </w:p>
    <w:p w14:paraId="526DE81F" w14:textId="77777777" w:rsidR="00664791" w:rsidRPr="00BE641C" w:rsidRDefault="00664791" w:rsidP="00664791">
      <w:pPr>
        <w:pStyle w:val="Heading3NoNum"/>
      </w:pPr>
      <w:r w:rsidRPr="00BE641C">
        <w:t xml:space="preserve">VGPB </w:t>
      </w:r>
      <w:r>
        <w:t>a</w:t>
      </w:r>
      <w:r w:rsidRPr="000C3C70">
        <w:t>ccreditation</w:t>
      </w:r>
    </w:p>
    <w:p w14:paraId="5D6EBD35" w14:textId="243D3D49" w:rsidR="00664791" w:rsidRDefault="00664791" w:rsidP="00664791">
      <w:pPr>
        <w:pStyle w:val="Normal1"/>
      </w:pPr>
      <w:r>
        <w:t>On 1</w:t>
      </w:r>
      <w:r w:rsidR="00783F0A">
        <w:t> </w:t>
      </w:r>
      <w:r>
        <w:t>January</w:t>
      </w:r>
      <w:r w:rsidR="00783F0A">
        <w:t> </w:t>
      </w:r>
      <w:r>
        <w:t>2019, the Department of Transport and the Department of Jobs, Precincts and Regions were formed from a machinery of government change in the former Department of Economic Development, Jobs, Transport and Resources.</w:t>
      </w:r>
    </w:p>
    <w:p w14:paraId="7C5D932F" w14:textId="77777777" w:rsidR="00664791" w:rsidRDefault="00664791" w:rsidP="00664791">
      <w:pPr>
        <w:pStyle w:val="Normal1"/>
      </w:pPr>
      <w:r>
        <w:t>All transport-related procurement now sits under the Department of Transport, including VicRoads and Public Transport Victoria from 1 July 2019.</w:t>
      </w:r>
    </w:p>
    <w:p w14:paraId="2CE478B9" w14:textId="77777777" w:rsidR="00664791" w:rsidRPr="00672390" w:rsidRDefault="00664791" w:rsidP="00664791">
      <w:pPr>
        <w:pStyle w:val="Normal1"/>
      </w:pPr>
      <w:r>
        <w:t>Both new departments needed to apply for VGPB accreditation, given the substantial changes to their procurement profiles. We are currently reviewing the Department of Transport’s application and are working with the Department of Jobs, Precincts and Regions. Both are expected to gain accreditation during the next financial year.</w:t>
      </w:r>
    </w:p>
    <w:p w14:paraId="53F8146B" w14:textId="77777777" w:rsidR="00664791" w:rsidRPr="00BE641C" w:rsidRDefault="00664791" w:rsidP="00664791">
      <w:pPr>
        <w:pStyle w:val="Heading3NoNum"/>
      </w:pPr>
      <w:r w:rsidRPr="00BE641C">
        <w:t>Supplier Code of Conduct</w:t>
      </w:r>
    </w:p>
    <w:p w14:paraId="6F342416" w14:textId="086F8B23" w:rsidR="00664791" w:rsidRPr="003A0A70" w:rsidRDefault="00664791" w:rsidP="00664791">
      <w:pPr>
        <w:pStyle w:val="Normal1"/>
      </w:pPr>
      <w:r w:rsidRPr="003A0A70">
        <w:t xml:space="preserve">Following last year’s review of the Supplier Code of Conduct to address the issue of modern slavery, we started another review in </w:t>
      </w:r>
      <w:r>
        <w:t xml:space="preserve">2019–20 </w:t>
      </w:r>
      <w:r w:rsidRPr="003A0A70">
        <w:t>to strengthen ethical procurement practices and develop options for enhancing the application and operation of the Code. The outcomes of this review will be considered in late 2020.</w:t>
      </w:r>
    </w:p>
    <w:p w14:paraId="3E594A51" w14:textId="77777777" w:rsidR="00664791" w:rsidRPr="00BE641C" w:rsidRDefault="00664791" w:rsidP="00664791">
      <w:pPr>
        <w:pStyle w:val="Heading3NoNum"/>
      </w:pPr>
      <w:r w:rsidRPr="003A0A70">
        <w:t>Supplier satisfaction survey</w:t>
      </w:r>
    </w:p>
    <w:p w14:paraId="0284D5AE" w14:textId="77777777" w:rsidR="00664791" w:rsidRDefault="00664791" w:rsidP="00664791">
      <w:pPr>
        <w:pStyle w:val="Normal1"/>
      </w:pPr>
      <w:r>
        <w:t>Every year, the VGPB surveys suppliers to gauge their satisfaction with each organisation’s market approach. Up until 2019–20, the survey was sent out by the market research company contracted to conduct the survey.</w:t>
      </w:r>
    </w:p>
    <w:p w14:paraId="3D0615EE" w14:textId="7A64BB6A" w:rsidR="00664791" w:rsidRDefault="006C6057" w:rsidP="00664791">
      <w:pPr>
        <w:pStyle w:val="Normal1"/>
      </w:pPr>
      <w:r>
        <w:t>To improve</w:t>
      </w:r>
      <w:r w:rsidR="00664791">
        <w:t xml:space="preserve"> response rate</w:t>
      </w:r>
      <w:r>
        <w:t>s</w:t>
      </w:r>
      <w:r w:rsidR="00664791">
        <w:t xml:space="preserve">, we moved to an </w:t>
      </w:r>
      <w:r w:rsidR="00664791" w:rsidRPr="00BF3FD0">
        <w:t>event-based</w:t>
      </w:r>
      <w:r w:rsidR="00664791">
        <w:t xml:space="preserve"> survey which is distributed directly by departments after completion of the procurement process. This resulted in our highest response rate to date (15 per cent). Given the success of this new approach, we will continue to send the event-based survey for the next two years.</w:t>
      </w:r>
    </w:p>
    <w:p w14:paraId="70020C46" w14:textId="77777777" w:rsidR="00152B74" w:rsidRDefault="00152B74">
      <w:pPr>
        <w:rPr>
          <w:rFonts w:ascii="Calibri" w:hAnsi="Calibri" w:cs="Calibri"/>
          <w:color w:val="4D4D4D"/>
          <w:kern w:val="28"/>
          <w:sz w:val="30"/>
          <w:szCs w:val="22"/>
          <w:lang w:eastAsia="en-US"/>
        </w:rPr>
      </w:pPr>
      <w:r>
        <w:br w:type="page"/>
      </w:r>
    </w:p>
    <w:p w14:paraId="4016B4FA" w14:textId="11CFE7F3" w:rsidR="00664791" w:rsidRPr="00BE641C" w:rsidRDefault="00664791" w:rsidP="00664791">
      <w:pPr>
        <w:pStyle w:val="Heading2NoNum"/>
      </w:pPr>
      <w:bookmarkStart w:id="47" w:name="_Toc52187722"/>
      <w:r>
        <w:lastRenderedPageBreak/>
        <w:t>S</w:t>
      </w:r>
      <w:r w:rsidRPr="00B2750A">
        <w:t xml:space="preserve">trategic </w:t>
      </w:r>
      <w:r>
        <w:t>p</w:t>
      </w:r>
      <w:r w:rsidRPr="00B2750A">
        <w:t xml:space="preserve">riorities </w:t>
      </w:r>
      <w:r>
        <w:t xml:space="preserve">for </w:t>
      </w:r>
      <w:r w:rsidRPr="00BE641C">
        <w:t>2020</w:t>
      </w:r>
      <w:r>
        <w:t>–</w:t>
      </w:r>
      <w:r w:rsidRPr="00BE641C">
        <w:t>23</w:t>
      </w:r>
      <w:bookmarkEnd w:id="47"/>
    </w:p>
    <w:p w14:paraId="4229BA47" w14:textId="1938E0A7" w:rsidR="00664791" w:rsidRDefault="00664791" w:rsidP="00664791">
      <w:pPr>
        <w:pStyle w:val="Normal1"/>
      </w:pPr>
      <w:r>
        <w:t>Now that the VGPB has finished overseeing the 2017–18 procurement reform, it will begin working on four new strategic priorities de</w:t>
      </w:r>
      <w:r w:rsidR="006C6057">
        <w:t>veloped</w:t>
      </w:r>
      <w:r>
        <w:t xml:space="preserve"> at a series of </w:t>
      </w:r>
      <w:r w:rsidR="00002D19">
        <w:t xml:space="preserve">planning </w:t>
      </w:r>
      <w:r>
        <w:t xml:space="preserve">workshops during the first half </w:t>
      </w:r>
      <w:r w:rsidR="00345B70">
        <w:t xml:space="preserve">of </w:t>
      </w:r>
      <w:r>
        <w:t>2020. The VGPB will also continue to oversee the ongoing work to develop and implement a procurement data</w:t>
      </w:r>
      <w:r w:rsidR="00695265">
        <w:t xml:space="preserve"> </w:t>
      </w:r>
      <w:r>
        <w:t>centre and expand the VGPB supply policy framework to an additional 150 agencies.</w:t>
      </w:r>
    </w:p>
    <w:tbl>
      <w:tblPr>
        <w:tblStyle w:val="TableGrid"/>
        <w:tblW w:w="9209" w:type="dxa"/>
        <w:tblInd w:w="704" w:type="dxa"/>
        <w:tblLook w:val="04A0" w:firstRow="1" w:lastRow="0" w:firstColumn="1" w:lastColumn="0" w:noHBand="0" w:noVBand="1"/>
      </w:tblPr>
      <w:tblGrid>
        <w:gridCol w:w="2972"/>
        <w:gridCol w:w="6237"/>
      </w:tblGrid>
      <w:tr w:rsidR="00664791" w:rsidRPr="007D2046" w14:paraId="00C84A1D" w14:textId="77777777" w:rsidTr="00664791">
        <w:tc>
          <w:tcPr>
            <w:tcW w:w="2972" w:type="dxa"/>
          </w:tcPr>
          <w:p w14:paraId="55DC1F5E" w14:textId="77777777" w:rsidR="00664791" w:rsidRPr="007D2046" w:rsidRDefault="00664791" w:rsidP="00ED447C">
            <w:pPr>
              <w:pStyle w:val="TableHeader"/>
            </w:pPr>
            <w:r w:rsidRPr="007D2046">
              <w:t>Strategic priority</w:t>
            </w:r>
          </w:p>
        </w:tc>
        <w:tc>
          <w:tcPr>
            <w:tcW w:w="6237" w:type="dxa"/>
          </w:tcPr>
          <w:p w14:paraId="78AC305D" w14:textId="77777777" w:rsidR="00664791" w:rsidRPr="007D2046" w:rsidRDefault="00664791" w:rsidP="00ED447C">
            <w:pPr>
              <w:pStyle w:val="TableHeader"/>
            </w:pPr>
            <w:r w:rsidRPr="007D2046">
              <w:t xml:space="preserve">We will: </w:t>
            </w:r>
          </w:p>
        </w:tc>
      </w:tr>
      <w:tr w:rsidR="00664791" w14:paraId="0E395BDB" w14:textId="77777777" w:rsidTr="00664791">
        <w:tc>
          <w:tcPr>
            <w:tcW w:w="2972" w:type="dxa"/>
          </w:tcPr>
          <w:p w14:paraId="1ECFE46C" w14:textId="77777777" w:rsidR="00664791" w:rsidRPr="00ED447C" w:rsidRDefault="00664791" w:rsidP="00ED447C">
            <w:pPr>
              <w:pStyle w:val="Tabletext1"/>
            </w:pPr>
            <w:r w:rsidRPr="00ED447C">
              <w:t>Drive savings and manage risks via data reporting and analysis</w:t>
            </w:r>
          </w:p>
          <w:p w14:paraId="287ACB51" w14:textId="77777777" w:rsidR="00664791" w:rsidRPr="00ED447C" w:rsidRDefault="00664791" w:rsidP="00ED447C">
            <w:pPr>
              <w:pStyle w:val="Tabletext1"/>
            </w:pPr>
          </w:p>
        </w:tc>
        <w:tc>
          <w:tcPr>
            <w:tcW w:w="6237" w:type="dxa"/>
          </w:tcPr>
          <w:p w14:paraId="09D6BDBB" w14:textId="77777777" w:rsidR="00664791" w:rsidRPr="000B20B5" w:rsidRDefault="00664791" w:rsidP="005C4F4A">
            <w:pPr>
              <w:pStyle w:val="tasblebullet"/>
            </w:pPr>
            <w:r w:rsidRPr="000B20B5">
              <w:t>support Strategic Sourcing to implement the data reporting and analytics project. This project will give us detailed analytics on government spend, which will help us look for new ways to deliver value for money.</w:t>
            </w:r>
          </w:p>
        </w:tc>
      </w:tr>
      <w:tr w:rsidR="00664791" w14:paraId="28B21EE3" w14:textId="77777777" w:rsidTr="00664791">
        <w:tc>
          <w:tcPr>
            <w:tcW w:w="2972" w:type="dxa"/>
          </w:tcPr>
          <w:p w14:paraId="4985A322" w14:textId="77777777" w:rsidR="00664791" w:rsidRPr="00ED447C" w:rsidRDefault="00664791" w:rsidP="00ED447C">
            <w:pPr>
              <w:pStyle w:val="Tabletext1"/>
            </w:pPr>
            <w:r w:rsidRPr="00ED447C">
              <w:t>Deliver a more outcome‐oriented procurement policy framework</w:t>
            </w:r>
          </w:p>
          <w:p w14:paraId="26D024E2" w14:textId="77777777" w:rsidR="00664791" w:rsidRPr="00ED447C" w:rsidRDefault="00664791" w:rsidP="00ED447C">
            <w:pPr>
              <w:pStyle w:val="Tabletext1"/>
            </w:pPr>
          </w:p>
        </w:tc>
        <w:tc>
          <w:tcPr>
            <w:tcW w:w="6237" w:type="dxa"/>
          </w:tcPr>
          <w:p w14:paraId="1A23C5E0" w14:textId="3744684D" w:rsidR="00664791" w:rsidRPr="000B20B5" w:rsidRDefault="00664791" w:rsidP="005C4F4A">
            <w:pPr>
              <w:pStyle w:val="tasblebullet"/>
            </w:pPr>
            <w:r w:rsidRPr="000B20B5">
              <w:t>review departments</w:t>
            </w:r>
            <w:r w:rsidR="000300BD" w:rsidRPr="000B20B5">
              <w:t>’</w:t>
            </w:r>
            <w:r w:rsidRPr="000B20B5">
              <w:t xml:space="preserve"> procurement models to understand pain points to inform future goods and services policy reform;</w:t>
            </w:r>
          </w:p>
          <w:p w14:paraId="16410E3F" w14:textId="6AD64598" w:rsidR="007A24F8" w:rsidRPr="000B20B5" w:rsidRDefault="007A24F8" w:rsidP="005C4F4A">
            <w:pPr>
              <w:pStyle w:val="tasblebullet"/>
            </w:pPr>
            <w:r w:rsidRPr="000B20B5">
              <w:t>review and update policies to emphasis</w:t>
            </w:r>
            <w:r w:rsidR="001C779D" w:rsidRPr="000B20B5">
              <w:t>e</w:t>
            </w:r>
            <w:r w:rsidRPr="000B20B5">
              <w:t xml:space="preserve"> </w:t>
            </w:r>
            <w:r w:rsidR="007D1D6D" w:rsidRPr="000B20B5">
              <w:t>benefit realisation and risk management;</w:t>
            </w:r>
          </w:p>
          <w:p w14:paraId="696AD8B2" w14:textId="632005B8" w:rsidR="00664791" w:rsidRPr="000B20B5" w:rsidRDefault="006558FB" w:rsidP="005C4F4A">
            <w:pPr>
              <w:pStyle w:val="tasblebullet"/>
            </w:pPr>
            <w:r w:rsidRPr="000B20B5">
              <w:t xml:space="preserve">review </w:t>
            </w:r>
            <w:r w:rsidR="00664791" w:rsidRPr="000B20B5">
              <w:t>VGPB guides to ensure they are relevant and scalable, particularly as more organisations come under the VGPB umbrella; and</w:t>
            </w:r>
          </w:p>
          <w:p w14:paraId="430818F4" w14:textId="77777777" w:rsidR="00664791" w:rsidRPr="000B20B5" w:rsidRDefault="00664791" w:rsidP="005C4F4A">
            <w:pPr>
              <w:pStyle w:val="tasblebullet"/>
            </w:pPr>
            <w:r w:rsidRPr="000B20B5">
              <w:t>continue to refine and streamline the Buying for Victoria website to make it easy for suppliers and buyers to find information.</w:t>
            </w:r>
          </w:p>
        </w:tc>
      </w:tr>
      <w:tr w:rsidR="00664791" w14:paraId="7305A95D" w14:textId="77777777" w:rsidTr="00664791">
        <w:tc>
          <w:tcPr>
            <w:tcW w:w="2972" w:type="dxa"/>
          </w:tcPr>
          <w:p w14:paraId="5457A090" w14:textId="77777777" w:rsidR="00664791" w:rsidRPr="00ED447C" w:rsidRDefault="00664791" w:rsidP="00ED447C">
            <w:pPr>
              <w:pStyle w:val="Tabletext1"/>
            </w:pPr>
            <w:r w:rsidRPr="00ED447C">
              <w:t>Deliver value creation across the procurement lifecycle</w:t>
            </w:r>
          </w:p>
          <w:p w14:paraId="40B793B2" w14:textId="77777777" w:rsidR="00664791" w:rsidRPr="00ED447C" w:rsidRDefault="00664791" w:rsidP="00ED447C">
            <w:pPr>
              <w:pStyle w:val="Tabletext1"/>
            </w:pPr>
          </w:p>
        </w:tc>
        <w:tc>
          <w:tcPr>
            <w:tcW w:w="6237" w:type="dxa"/>
          </w:tcPr>
          <w:p w14:paraId="5DA9F645" w14:textId="77777777" w:rsidR="00664791" w:rsidRPr="000B20B5" w:rsidRDefault="00664791" w:rsidP="005C4F4A">
            <w:pPr>
              <w:pStyle w:val="tasblebullet"/>
            </w:pPr>
            <w:r w:rsidRPr="000B20B5">
              <w:t>research opportunities to pilot alternative procurement models to show how different procurement approaches can drive value-for-money outcomes; and</w:t>
            </w:r>
          </w:p>
          <w:p w14:paraId="5C599067" w14:textId="5083AAA4" w:rsidR="00664791" w:rsidRPr="000B20B5" w:rsidRDefault="00664791" w:rsidP="005C4F4A">
            <w:pPr>
              <w:pStyle w:val="tasblebullet"/>
            </w:pPr>
            <w:r w:rsidRPr="000B20B5">
              <w:t xml:space="preserve">work with </w:t>
            </w:r>
            <w:r w:rsidR="006C6057" w:rsidRPr="000B20B5">
              <w:t>lead agencies</w:t>
            </w:r>
            <w:r w:rsidRPr="000B20B5">
              <w:t xml:space="preserve"> to strengthen tracking of saving and benefits reporting to ensure contracts continue to deliver benefits throughout their contract life.</w:t>
            </w:r>
          </w:p>
        </w:tc>
      </w:tr>
      <w:tr w:rsidR="00664791" w14:paraId="3421D032" w14:textId="77777777" w:rsidTr="00664791">
        <w:tc>
          <w:tcPr>
            <w:tcW w:w="2972" w:type="dxa"/>
          </w:tcPr>
          <w:p w14:paraId="3B3F4ED8" w14:textId="77777777" w:rsidR="00664791" w:rsidRPr="00ED447C" w:rsidRDefault="00664791" w:rsidP="00ED447C">
            <w:pPr>
              <w:pStyle w:val="Tabletext1"/>
            </w:pPr>
            <w:r w:rsidRPr="00ED447C">
              <w:t>Uplift procurement capability</w:t>
            </w:r>
          </w:p>
          <w:p w14:paraId="06C08A44" w14:textId="77777777" w:rsidR="00664791" w:rsidRPr="00ED447C" w:rsidRDefault="00664791" w:rsidP="00ED447C">
            <w:pPr>
              <w:pStyle w:val="Tabletext1"/>
            </w:pPr>
          </w:p>
        </w:tc>
        <w:tc>
          <w:tcPr>
            <w:tcW w:w="6237" w:type="dxa"/>
          </w:tcPr>
          <w:p w14:paraId="2385055B" w14:textId="77777777" w:rsidR="00664791" w:rsidRPr="000B20B5" w:rsidRDefault="00664791" w:rsidP="005C4F4A">
            <w:pPr>
              <w:pStyle w:val="tasblebullet"/>
            </w:pPr>
            <w:r w:rsidRPr="000B20B5">
              <w:t>elevate procurement capability through stronger engagement, concentrating on contract management, alternative paths to market, supplier performance management and category management including supply chain risk assessments; and</w:t>
            </w:r>
          </w:p>
          <w:p w14:paraId="412B45CE" w14:textId="77777777" w:rsidR="00664791" w:rsidRPr="000B20B5" w:rsidRDefault="00664791" w:rsidP="005C4F4A">
            <w:pPr>
              <w:pStyle w:val="tasblebullet"/>
            </w:pPr>
            <w:r w:rsidRPr="000B20B5">
              <w:t>continue to engage broadly across government and hold workshops and forums to increase procurement capability.</w:t>
            </w:r>
          </w:p>
        </w:tc>
      </w:tr>
    </w:tbl>
    <w:p w14:paraId="60B7EF9E" w14:textId="22B3EE81" w:rsidR="00AF5138" w:rsidRDefault="00AF5138">
      <w:pPr>
        <w:rPr>
          <w:rFonts w:ascii="Calibri" w:hAnsi="Calibri" w:cs="Calibri"/>
          <w:color w:val="4D4D4D"/>
          <w:kern w:val="28"/>
          <w:sz w:val="30"/>
          <w:szCs w:val="22"/>
          <w:lang w:eastAsia="en-US"/>
        </w:rPr>
      </w:pPr>
    </w:p>
    <w:p w14:paraId="68D28456" w14:textId="77777777" w:rsidR="009353F3" w:rsidRPr="00CD6245" w:rsidRDefault="00D56DF0" w:rsidP="009353F3">
      <w:pPr>
        <w:pStyle w:val="Heading1NoNum"/>
      </w:pPr>
      <w:bookmarkStart w:id="48" w:name="_Toc52187723"/>
      <w:r>
        <w:lastRenderedPageBreak/>
        <w:t>C</w:t>
      </w:r>
      <w:r w:rsidR="009353F3">
        <w:t>ompliance</w:t>
      </w:r>
      <w:bookmarkEnd w:id="48"/>
    </w:p>
    <w:p w14:paraId="3562FB05" w14:textId="76CA150A" w:rsidR="000534AF" w:rsidRPr="000534AF" w:rsidRDefault="000534AF" w:rsidP="000534AF">
      <w:pPr>
        <w:pStyle w:val="Heading2NoNum"/>
        <w:rPr>
          <w:rStyle w:val="NormalChar"/>
          <w:sz w:val="30"/>
        </w:rPr>
      </w:pPr>
      <w:bookmarkStart w:id="49" w:name="_Toc52187724"/>
      <w:r w:rsidRPr="000534AF">
        <w:rPr>
          <w:rStyle w:val="NormalChar"/>
          <w:sz w:val="30"/>
        </w:rPr>
        <w:t>Monitoring compliance with VGPB policies</w:t>
      </w:r>
      <w:bookmarkEnd w:id="49"/>
    </w:p>
    <w:p w14:paraId="7C040F7A" w14:textId="754D6685" w:rsidR="00C17101" w:rsidRDefault="001F2593" w:rsidP="001F2593">
      <w:pPr>
        <w:pStyle w:val="Normal1"/>
        <w:rPr>
          <w:rStyle w:val="NormalChar"/>
        </w:rPr>
      </w:pPr>
      <w:r w:rsidRPr="00FA6B06">
        <w:rPr>
          <w:rStyle w:val="NormalChar"/>
        </w:rPr>
        <w:t xml:space="preserve">Under the </w:t>
      </w:r>
      <w:r w:rsidR="00FA6B06" w:rsidRPr="00FA6B06">
        <w:rPr>
          <w:i/>
        </w:rPr>
        <w:t>Financial Management Act 1994</w:t>
      </w:r>
      <w:r w:rsidRPr="00FA6B06">
        <w:rPr>
          <w:rStyle w:val="NormalChar"/>
        </w:rPr>
        <w:t>, mandated</w:t>
      </w:r>
      <w:r w:rsidR="00C17101">
        <w:rPr>
          <w:rStyle w:val="NormalChar"/>
        </w:rPr>
        <w:t xml:space="preserve"> </w:t>
      </w:r>
      <w:r w:rsidRPr="00FA6B06">
        <w:rPr>
          <w:rStyle w:val="NormalChar"/>
        </w:rPr>
        <w:t>organisations must comply with VGPB supply policies when procuring goods and services.</w:t>
      </w:r>
    </w:p>
    <w:p w14:paraId="504CAF64" w14:textId="7ABC7BB4" w:rsidR="00371FD3" w:rsidRDefault="00C17101" w:rsidP="00C17101">
      <w:pPr>
        <w:pStyle w:val="Normal1"/>
        <w:rPr>
          <w:rStyle w:val="NormalChar"/>
        </w:rPr>
      </w:pPr>
      <w:r>
        <w:rPr>
          <w:rStyle w:val="NormalChar"/>
        </w:rPr>
        <w:t xml:space="preserve">The VGPB monitors </w:t>
      </w:r>
      <w:r w:rsidRPr="00FA6B06">
        <w:rPr>
          <w:rStyle w:val="NormalChar"/>
        </w:rPr>
        <w:t>compliance</w:t>
      </w:r>
      <w:r>
        <w:rPr>
          <w:rStyle w:val="NormalChar"/>
        </w:rPr>
        <w:t xml:space="preserve"> of mandated and accredited organisations </w:t>
      </w:r>
      <w:r w:rsidRPr="00FA6B06">
        <w:rPr>
          <w:rStyle w:val="NormalChar"/>
        </w:rPr>
        <w:t>through six</w:t>
      </w:r>
      <w:r>
        <w:rPr>
          <w:rStyle w:val="NormalChar"/>
        </w:rPr>
        <w:t> </w:t>
      </w:r>
      <w:r w:rsidRPr="00FA6B06">
        <w:rPr>
          <w:rStyle w:val="NormalChar"/>
        </w:rPr>
        <w:t xml:space="preserve">mechanisms as shown in </w:t>
      </w:r>
      <w:r w:rsidR="00371FD3">
        <w:rPr>
          <w:rStyle w:val="NormalChar"/>
        </w:rPr>
        <w:fldChar w:fldCharType="begin"/>
      </w:r>
      <w:r w:rsidR="00371FD3">
        <w:rPr>
          <w:rStyle w:val="NormalChar"/>
        </w:rPr>
        <w:instrText xml:space="preserve"> REF _Ref34735301 \h </w:instrText>
      </w:r>
      <w:r w:rsidR="00371FD3">
        <w:rPr>
          <w:rStyle w:val="NormalChar"/>
        </w:rPr>
      </w:r>
      <w:r w:rsidR="00371FD3">
        <w:rPr>
          <w:rStyle w:val="NormalChar"/>
        </w:rPr>
        <w:fldChar w:fldCharType="separate"/>
      </w:r>
      <w:r w:rsidR="00152B74">
        <w:t xml:space="preserve">Figure </w:t>
      </w:r>
      <w:r w:rsidR="00152B74">
        <w:rPr>
          <w:noProof/>
        </w:rPr>
        <w:t>4</w:t>
      </w:r>
      <w:r w:rsidR="00371FD3">
        <w:rPr>
          <w:rStyle w:val="NormalChar"/>
        </w:rPr>
        <w:fldChar w:fldCharType="end"/>
      </w:r>
      <w:r w:rsidR="00371FD3">
        <w:rPr>
          <w:rStyle w:val="NormalChar"/>
        </w:rPr>
        <w:t xml:space="preserve"> and explained in </w:t>
      </w:r>
      <w:r w:rsidR="00371FD3">
        <w:rPr>
          <w:rStyle w:val="NormalChar"/>
        </w:rPr>
        <w:fldChar w:fldCharType="begin"/>
      </w:r>
      <w:r w:rsidR="00371FD3">
        <w:rPr>
          <w:rStyle w:val="NormalChar"/>
        </w:rPr>
        <w:instrText xml:space="preserve"> REF _Ref14774242 \h </w:instrText>
      </w:r>
      <w:r w:rsidR="00371FD3">
        <w:rPr>
          <w:rStyle w:val="NormalChar"/>
        </w:rPr>
      </w:r>
      <w:r w:rsidR="00371FD3">
        <w:rPr>
          <w:rStyle w:val="NormalChar"/>
        </w:rPr>
        <w:fldChar w:fldCharType="separate"/>
      </w:r>
      <w:r w:rsidR="00152B74">
        <w:t xml:space="preserve">Table </w:t>
      </w:r>
      <w:r w:rsidR="00152B74">
        <w:rPr>
          <w:noProof/>
        </w:rPr>
        <w:t>2</w:t>
      </w:r>
      <w:r w:rsidR="00371FD3">
        <w:rPr>
          <w:rStyle w:val="NormalChar"/>
        </w:rPr>
        <w:fldChar w:fldCharType="end"/>
      </w:r>
      <w:r w:rsidR="00371FD3">
        <w:rPr>
          <w:rStyle w:val="NormalChar"/>
        </w:rPr>
        <w:t xml:space="preserve">. These organisations include the </w:t>
      </w:r>
      <w:r w:rsidR="00371FD3">
        <w:t>eight</w:t>
      </w:r>
      <w:r w:rsidR="00371FD3" w:rsidRPr="003808BB">
        <w:t xml:space="preserve"> </w:t>
      </w:r>
      <w:r w:rsidR="00371FD3">
        <w:t>Victorian G</w:t>
      </w:r>
      <w:r w:rsidR="00371FD3" w:rsidRPr="003808BB">
        <w:t>overnment departments</w:t>
      </w:r>
      <w:r w:rsidR="00371FD3">
        <w:t>,</w:t>
      </w:r>
      <w:r w:rsidR="00371FD3" w:rsidRPr="003808BB">
        <w:t xml:space="preserve"> Cen</w:t>
      </w:r>
      <w:r w:rsidR="00371FD3">
        <w:t>it</w:t>
      </w:r>
      <w:r w:rsidR="00371FD3" w:rsidRPr="003808BB">
        <w:t>ex</w:t>
      </w:r>
      <w:r w:rsidR="00371FD3">
        <w:t xml:space="preserve"> </w:t>
      </w:r>
      <w:r w:rsidR="00371FD3" w:rsidRPr="003808BB">
        <w:t>and Victoria Police.</w:t>
      </w:r>
    </w:p>
    <w:p w14:paraId="2785020F" w14:textId="203B2199" w:rsidR="000B585B" w:rsidRDefault="000B585B" w:rsidP="000B585B">
      <w:pPr>
        <w:pStyle w:val="Caption"/>
      </w:pPr>
      <w:bookmarkStart w:id="50" w:name="_Ref515442779"/>
      <w:bookmarkStart w:id="51" w:name="_Ref34735301"/>
      <w:bookmarkStart w:id="52" w:name="_Toc17130227"/>
      <w:bookmarkStart w:id="53" w:name="_Ref477181363"/>
      <w:r>
        <w:t xml:space="preserve">Figure </w:t>
      </w:r>
      <w:r>
        <w:rPr>
          <w:noProof/>
        </w:rPr>
        <w:fldChar w:fldCharType="begin"/>
      </w:r>
      <w:r>
        <w:rPr>
          <w:noProof/>
        </w:rPr>
        <w:instrText xml:space="preserve"> SEQ Figure \* ARABIC </w:instrText>
      </w:r>
      <w:r>
        <w:rPr>
          <w:noProof/>
        </w:rPr>
        <w:fldChar w:fldCharType="separate"/>
      </w:r>
      <w:r w:rsidR="00152B74">
        <w:rPr>
          <w:noProof/>
        </w:rPr>
        <w:t>4</w:t>
      </w:r>
      <w:r>
        <w:rPr>
          <w:noProof/>
        </w:rPr>
        <w:fldChar w:fldCharType="end"/>
      </w:r>
      <w:bookmarkEnd w:id="50"/>
      <w:bookmarkEnd w:id="51"/>
      <w:r>
        <w:t>: Compliance mechanisms</w:t>
      </w:r>
      <w:bookmarkEnd w:id="52"/>
    </w:p>
    <w:p w14:paraId="0A031F7B" w14:textId="77777777" w:rsidR="001F2593" w:rsidRDefault="001F2593" w:rsidP="003D31F5">
      <w:pPr>
        <w:pStyle w:val="Caption"/>
      </w:pPr>
      <w:r>
        <w:rPr>
          <w:noProof/>
          <w:lang w:val="en-US" w:eastAsia="en-US"/>
        </w:rPr>
        <w:drawing>
          <wp:inline distT="0" distB="0" distL="0" distR="0" wp14:anchorId="7F233030" wp14:editId="68BB25D0">
            <wp:extent cx="5419344" cy="2426970"/>
            <wp:effectExtent l="0" t="190500" r="0" b="259080"/>
            <wp:docPr id="11" name="Diagram 11" descr="The six VGPB compliance mechanisms which are explained in Table 2.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4DB63BD" w14:textId="1069A4A5" w:rsidR="006C5C27" w:rsidRDefault="006C5C27" w:rsidP="003D31F5">
      <w:pPr>
        <w:pStyle w:val="Caption"/>
      </w:pPr>
      <w:bookmarkStart w:id="54" w:name="_Ref14774242"/>
      <w:bookmarkStart w:id="55" w:name="_Toc17130189"/>
      <w:bookmarkStart w:id="56" w:name="_Toc48837135"/>
      <w:bookmarkStart w:id="57" w:name="_Toc49185525"/>
      <w:bookmarkEnd w:id="53"/>
      <w:r>
        <w:t xml:space="preserve">Table </w:t>
      </w:r>
      <w:r>
        <w:rPr>
          <w:noProof/>
        </w:rPr>
        <w:fldChar w:fldCharType="begin"/>
      </w:r>
      <w:r>
        <w:rPr>
          <w:noProof/>
        </w:rPr>
        <w:instrText xml:space="preserve"> SEQ Table \* ARABIC </w:instrText>
      </w:r>
      <w:r>
        <w:rPr>
          <w:noProof/>
        </w:rPr>
        <w:fldChar w:fldCharType="separate"/>
      </w:r>
      <w:r w:rsidR="00152B74">
        <w:rPr>
          <w:noProof/>
        </w:rPr>
        <w:t>2</w:t>
      </w:r>
      <w:r>
        <w:rPr>
          <w:noProof/>
        </w:rPr>
        <w:fldChar w:fldCharType="end"/>
      </w:r>
      <w:bookmarkEnd w:id="54"/>
      <w:r>
        <w:t>: Monitoring compliance with VGPB policies</w:t>
      </w:r>
      <w:bookmarkEnd w:id="55"/>
      <w:bookmarkEnd w:id="56"/>
      <w:bookmarkEnd w:id="57"/>
    </w:p>
    <w:tbl>
      <w:tblPr>
        <w:tblStyle w:val="ListTable31"/>
        <w:tblW w:w="8930" w:type="dxa"/>
        <w:tblInd w:w="704" w:type="dxa"/>
        <w:tblLook w:val="04A0" w:firstRow="1" w:lastRow="0" w:firstColumn="1" w:lastColumn="0" w:noHBand="0" w:noVBand="1"/>
      </w:tblPr>
      <w:tblGrid>
        <w:gridCol w:w="2268"/>
        <w:gridCol w:w="6662"/>
      </w:tblGrid>
      <w:tr w:rsidR="006C5C27" w:rsidRPr="00603BC0" w14:paraId="539F498C" w14:textId="77777777" w:rsidTr="006C5C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5F8E0A06" w14:textId="77777777" w:rsidR="006C5C27" w:rsidRPr="00603BC0" w:rsidRDefault="006C5C27" w:rsidP="000B20B5">
            <w:pPr>
              <w:pStyle w:val="TableHeader"/>
            </w:pPr>
            <w:r w:rsidRPr="00603BC0">
              <w:t>Compliance mechanism</w:t>
            </w:r>
          </w:p>
        </w:tc>
        <w:tc>
          <w:tcPr>
            <w:tcW w:w="6662" w:type="dxa"/>
          </w:tcPr>
          <w:p w14:paraId="67236324" w14:textId="77777777" w:rsidR="006C5C27" w:rsidRPr="00603BC0" w:rsidRDefault="006C5C27" w:rsidP="000B20B5">
            <w:pPr>
              <w:pStyle w:val="TableHeader"/>
              <w:cnfStyle w:val="100000000000" w:firstRow="1" w:lastRow="0" w:firstColumn="0" w:lastColumn="0" w:oddVBand="0" w:evenVBand="0" w:oddHBand="0" w:evenHBand="0" w:firstRowFirstColumn="0" w:firstRowLastColumn="0" w:lastRowFirstColumn="0" w:lastRowLastColumn="0"/>
            </w:pPr>
            <w:r w:rsidRPr="00603BC0">
              <w:t xml:space="preserve">Details </w:t>
            </w:r>
          </w:p>
        </w:tc>
      </w:tr>
      <w:tr w:rsidR="006C5C27" w14:paraId="2F33F651" w14:textId="77777777" w:rsidTr="006C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0D56829" w14:textId="77777777" w:rsidR="006C5C27" w:rsidRPr="00955AF3" w:rsidRDefault="006C5C27" w:rsidP="00ED447C">
            <w:pPr>
              <w:pStyle w:val="TableText"/>
            </w:pPr>
            <w:r w:rsidRPr="00955AF3">
              <w:t>Annual supply report (ASR)</w:t>
            </w:r>
          </w:p>
        </w:tc>
        <w:tc>
          <w:tcPr>
            <w:tcW w:w="6662" w:type="dxa"/>
          </w:tcPr>
          <w:p w14:paraId="3609C0BD" w14:textId="77777777" w:rsidR="006C5C27" w:rsidRPr="00955AF3" w:rsidRDefault="006C5C27" w:rsidP="00ED447C">
            <w:pPr>
              <w:pStyle w:val="TableText"/>
              <w:cnfStyle w:val="000000100000" w:firstRow="0" w:lastRow="0" w:firstColumn="0" w:lastColumn="0" w:oddVBand="0" w:evenVBand="0" w:oddHBand="1" w:evenHBand="0" w:firstRowFirstColumn="0" w:firstRowLastColumn="0" w:lastRowFirstColumn="0" w:lastRowLastColumn="0"/>
            </w:pPr>
            <w:r w:rsidRPr="00955AF3">
              <w:t>Organisations submit an ASR to the VGPB at the end of each financial year summarising their procur</w:t>
            </w:r>
            <w:r>
              <w:t>ement activity, performance measure results</w:t>
            </w:r>
            <w:r w:rsidR="00FA6B06">
              <w:t xml:space="preserve"> and </w:t>
            </w:r>
            <w:r w:rsidRPr="00955AF3">
              <w:t xml:space="preserve">compliance </w:t>
            </w:r>
            <w:r w:rsidR="00FA6B06">
              <w:t>with the VGPB supply policy framework</w:t>
            </w:r>
            <w:r w:rsidRPr="00955AF3">
              <w:t>.</w:t>
            </w:r>
            <w:r w:rsidR="00465430">
              <w:t xml:space="preserve"> </w:t>
            </w:r>
          </w:p>
        </w:tc>
      </w:tr>
      <w:tr w:rsidR="005B598F" w14:paraId="7081E4A9" w14:textId="77777777" w:rsidTr="00544B40">
        <w:tc>
          <w:tcPr>
            <w:cnfStyle w:val="001000000000" w:firstRow="0" w:lastRow="0" w:firstColumn="1" w:lastColumn="0" w:oddVBand="0" w:evenVBand="0" w:oddHBand="0" w:evenHBand="0" w:firstRowFirstColumn="0" w:firstRowLastColumn="0" w:lastRowFirstColumn="0" w:lastRowLastColumn="0"/>
            <w:tcW w:w="2268" w:type="dxa"/>
          </w:tcPr>
          <w:p w14:paraId="777D4B3A" w14:textId="77777777" w:rsidR="005B598F" w:rsidRPr="00955AF3" w:rsidRDefault="005B598F" w:rsidP="00ED447C">
            <w:pPr>
              <w:pStyle w:val="TableText"/>
            </w:pPr>
            <w:r w:rsidRPr="00955AF3">
              <w:t>Audit program</w:t>
            </w:r>
          </w:p>
        </w:tc>
        <w:tc>
          <w:tcPr>
            <w:tcW w:w="6662" w:type="dxa"/>
          </w:tcPr>
          <w:p w14:paraId="1CBBED0E" w14:textId="1507CEF5" w:rsidR="005B598F" w:rsidRPr="00955AF3" w:rsidRDefault="005B598F" w:rsidP="00ED447C">
            <w:pPr>
              <w:pStyle w:val="TableText"/>
              <w:cnfStyle w:val="000000000000" w:firstRow="0" w:lastRow="0" w:firstColumn="0" w:lastColumn="0" w:oddVBand="0" w:evenVBand="0" w:oddHBand="0" w:evenHBand="0" w:firstRowFirstColumn="0" w:firstRowLastColumn="0" w:lastRowFirstColumn="0" w:lastRowLastColumn="0"/>
            </w:pPr>
            <w:r w:rsidRPr="00955AF3">
              <w:t>Organisations audit compliance with VGPB policies and submit an audit report to the VGPB every three years.</w:t>
            </w:r>
          </w:p>
        </w:tc>
      </w:tr>
      <w:tr w:rsidR="006C5C27" w14:paraId="523134B8" w14:textId="77777777" w:rsidTr="006C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22E1889" w14:textId="77777777" w:rsidR="006C5C27" w:rsidRPr="00955AF3" w:rsidRDefault="006C5C27" w:rsidP="00ED447C">
            <w:pPr>
              <w:pStyle w:val="TableText"/>
            </w:pPr>
            <w:r w:rsidRPr="00955AF3">
              <w:t>Performance measures</w:t>
            </w:r>
          </w:p>
        </w:tc>
        <w:tc>
          <w:tcPr>
            <w:tcW w:w="6662" w:type="dxa"/>
          </w:tcPr>
          <w:p w14:paraId="7D702465" w14:textId="7E3ECE1A" w:rsidR="006C5C27" w:rsidRPr="00955AF3" w:rsidRDefault="006C5C27" w:rsidP="00ED447C">
            <w:pPr>
              <w:pStyle w:val="TableText"/>
              <w:cnfStyle w:val="000000100000" w:firstRow="0" w:lastRow="0" w:firstColumn="0" w:lastColumn="0" w:oddVBand="0" w:evenVBand="0" w:oddHBand="1" w:evenHBand="0" w:firstRowFirstColumn="0" w:firstRowLastColumn="0" w:lastRowFirstColumn="0" w:lastRowLastColumn="0"/>
            </w:pPr>
            <w:r w:rsidRPr="00955AF3">
              <w:t xml:space="preserve">Organisations monitor performance against </w:t>
            </w:r>
            <w:r w:rsidR="00A72CBA">
              <w:t>five</w:t>
            </w:r>
            <w:r w:rsidRPr="00955AF3">
              <w:t xml:space="preserve"> performance measures and report results in their </w:t>
            </w:r>
            <w:r>
              <w:t>ASR</w:t>
            </w:r>
            <w:r w:rsidRPr="00955AF3">
              <w:t>.</w:t>
            </w:r>
          </w:p>
        </w:tc>
      </w:tr>
      <w:tr w:rsidR="006C5C27" w14:paraId="5BACF3F9" w14:textId="77777777" w:rsidTr="006C5C27">
        <w:tc>
          <w:tcPr>
            <w:cnfStyle w:val="001000000000" w:firstRow="0" w:lastRow="0" w:firstColumn="1" w:lastColumn="0" w:oddVBand="0" w:evenVBand="0" w:oddHBand="0" w:evenHBand="0" w:firstRowFirstColumn="0" w:firstRowLastColumn="0" w:lastRowFirstColumn="0" w:lastRowLastColumn="0"/>
            <w:tcW w:w="2268" w:type="dxa"/>
          </w:tcPr>
          <w:p w14:paraId="44C064C3" w14:textId="77777777" w:rsidR="006C5C27" w:rsidRPr="00955AF3" w:rsidRDefault="006C5C27" w:rsidP="00ED447C">
            <w:pPr>
              <w:pStyle w:val="TableText"/>
            </w:pPr>
            <w:r>
              <w:t xml:space="preserve">Engagement </w:t>
            </w:r>
          </w:p>
        </w:tc>
        <w:tc>
          <w:tcPr>
            <w:tcW w:w="6662" w:type="dxa"/>
          </w:tcPr>
          <w:p w14:paraId="23E67897" w14:textId="14AB3DA9" w:rsidR="006C5C27" w:rsidRPr="00955AF3" w:rsidRDefault="006C5C27" w:rsidP="00ED447C">
            <w:pPr>
              <w:pStyle w:val="TableText"/>
              <w:cnfStyle w:val="000000000000" w:firstRow="0" w:lastRow="0" w:firstColumn="0" w:lastColumn="0" w:oddVBand="0" w:evenVBand="0" w:oddHBand="0" w:evenHBand="0" w:firstRowFirstColumn="0" w:firstRowLastColumn="0" w:lastRowFirstColumn="0" w:lastRowLastColumn="0"/>
            </w:pPr>
            <w:r w:rsidRPr="00012F2B">
              <w:t>The VGPB</w:t>
            </w:r>
            <w:r>
              <w:t xml:space="preserve">’s </w:t>
            </w:r>
            <w:r w:rsidRPr="00012F2B">
              <w:t>engagement model</w:t>
            </w:r>
            <w:r>
              <w:t xml:space="preserve"> has replaced the former oversight process.</w:t>
            </w:r>
            <w:r w:rsidR="00465430">
              <w:t xml:space="preserve"> </w:t>
            </w:r>
            <w:r w:rsidR="00FA6B06">
              <w:t>C</w:t>
            </w:r>
            <w:r w:rsidR="00842726">
              <w:t>hief procurement officers</w:t>
            </w:r>
            <w:r w:rsidR="00FA6B06">
              <w:t xml:space="preserve"> are encouraged to meet with the VGPB every year to discuss their procurement strategy, individual strategic procurements or any</w:t>
            </w:r>
            <w:r w:rsidR="005650FF">
              <w:t xml:space="preserve"> other</w:t>
            </w:r>
            <w:r w:rsidR="00393EE1">
              <w:t xml:space="preserve"> </w:t>
            </w:r>
            <w:r w:rsidR="00FA6B06">
              <w:t>procurement</w:t>
            </w:r>
            <w:r w:rsidR="008110A2">
              <w:t xml:space="preserve"> </w:t>
            </w:r>
            <w:r w:rsidR="005650FF">
              <w:t>matters</w:t>
            </w:r>
            <w:r w:rsidR="00FA6B06">
              <w:t>.</w:t>
            </w:r>
          </w:p>
        </w:tc>
      </w:tr>
      <w:tr w:rsidR="006C5C27" w14:paraId="4FA735F1" w14:textId="77777777" w:rsidTr="006C5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5187D5D" w14:textId="77777777" w:rsidR="006C5C27" w:rsidRPr="00955AF3" w:rsidRDefault="006C5C27" w:rsidP="00ED447C">
            <w:pPr>
              <w:pStyle w:val="TableText"/>
            </w:pPr>
            <w:r w:rsidRPr="00955AF3">
              <w:t>Complaints management</w:t>
            </w:r>
          </w:p>
        </w:tc>
        <w:tc>
          <w:tcPr>
            <w:tcW w:w="6662" w:type="dxa"/>
          </w:tcPr>
          <w:p w14:paraId="678E0D75" w14:textId="77777777" w:rsidR="006C5C27" w:rsidRPr="00955AF3" w:rsidRDefault="006C5C27" w:rsidP="00ED447C">
            <w:pPr>
              <w:pStyle w:val="TableText"/>
              <w:cnfStyle w:val="000000100000" w:firstRow="0" w:lastRow="0" w:firstColumn="0" w:lastColumn="0" w:oddVBand="0" w:evenVBand="0" w:oddHBand="1" w:evenHBand="0" w:firstRowFirstColumn="0" w:firstRowLastColumn="0" w:lastRowFirstColumn="0" w:lastRowLastColumn="0"/>
            </w:pPr>
            <w:r w:rsidRPr="00955AF3">
              <w:t xml:space="preserve">Organisations maintain a complaints management system for supplier complaints related to the process and probity applied during a procurement activity. Organisations </w:t>
            </w:r>
            <w:r w:rsidR="00FA6B06">
              <w:t>list</w:t>
            </w:r>
            <w:r w:rsidRPr="00955AF3">
              <w:t xml:space="preserve"> complaints in their ASR.</w:t>
            </w:r>
          </w:p>
        </w:tc>
      </w:tr>
      <w:tr w:rsidR="006C5C27" w14:paraId="2E28BC4D" w14:textId="77777777" w:rsidTr="006C5C27">
        <w:tc>
          <w:tcPr>
            <w:cnfStyle w:val="001000000000" w:firstRow="0" w:lastRow="0" w:firstColumn="1" w:lastColumn="0" w:oddVBand="0" w:evenVBand="0" w:oddHBand="0" w:evenHBand="0" w:firstRowFirstColumn="0" w:firstRowLastColumn="0" w:lastRowFirstColumn="0" w:lastRowLastColumn="0"/>
            <w:tcW w:w="2268" w:type="dxa"/>
          </w:tcPr>
          <w:p w14:paraId="5CCD42BA" w14:textId="77777777" w:rsidR="006C5C27" w:rsidRPr="00955AF3" w:rsidRDefault="006C5C27" w:rsidP="00ED447C">
            <w:pPr>
              <w:pStyle w:val="TableText"/>
            </w:pPr>
            <w:r w:rsidRPr="00955AF3">
              <w:t>Review of procurement activity plans</w:t>
            </w:r>
          </w:p>
        </w:tc>
        <w:tc>
          <w:tcPr>
            <w:tcW w:w="6662" w:type="dxa"/>
          </w:tcPr>
          <w:p w14:paraId="4985D427" w14:textId="77777777" w:rsidR="006C5C27" w:rsidRPr="00955AF3" w:rsidRDefault="006C5C27" w:rsidP="00ED447C">
            <w:pPr>
              <w:pStyle w:val="TableText"/>
              <w:cnfStyle w:val="000000000000" w:firstRow="0" w:lastRow="0" w:firstColumn="0" w:lastColumn="0" w:oddVBand="0" w:evenVBand="0" w:oddHBand="0" w:evenHBand="0" w:firstRowFirstColumn="0" w:firstRowLastColumn="0" w:lastRowFirstColumn="0" w:lastRowLastColumn="0"/>
            </w:pPr>
            <w:r w:rsidRPr="00955AF3">
              <w:t>Organisations submit procurement activity plans every year for review by the VGPB.</w:t>
            </w:r>
          </w:p>
        </w:tc>
      </w:tr>
    </w:tbl>
    <w:p w14:paraId="5E72F1A1" w14:textId="77777777" w:rsidR="00F85D40" w:rsidRDefault="00F85D40" w:rsidP="00212191">
      <w:pPr>
        <w:pStyle w:val="Normal1"/>
      </w:pPr>
    </w:p>
    <w:p w14:paraId="47C7D393" w14:textId="77777777" w:rsidR="00F85D40" w:rsidRDefault="00F85D40">
      <w:pPr>
        <w:rPr>
          <w:rFonts w:ascii="Calibri" w:hAnsi="Calibri" w:cs="Calibri"/>
          <w:color w:val="4D4D4D"/>
          <w:kern w:val="28"/>
          <w:sz w:val="30"/>
          <w:szCs w:val="22"/>
          <w:lang w:eastAsia="en-US"/>
        </w:rPr>
      </w:pPr>
      <w:r>
        <w:br w:type="page"/>
      </w:r>
    </w:p>
    <w:p w14:paraId="6BCCB188" w14:textId="7AAC8719" w:rsidR="001E3C4B" w:rsidRDefault="00D62659" w:rsidP="005768D5">
      <w:pPr>
        <w:pStyle w:val="Heading2NoNum"/>
        <w:spacing w:before="40"/>
      </w:pPr>
      <w:bookmarkStart w:id="58" w:name="_Toc52187725"/>
      <w:r>
        <w:lastRenderedPageBreak/>
        <w:t>Compliance reported in a</w:t>
      </w:r>
      <w:r w:rsidR="001E3C4B">
        <w:t>nnual supply reports</w:t>
      </w:r>
      <w:bookmarkEnd w:id="58"/>
    </w:p>
    <w:p w14:paraId="26C3AD43" w14:textId="011EBF33" w:rsidR="001E3C4B" w:rsidRDefault="001E3C4B" w:rsidP="009353F3">
      <w:pPr>
        <w:pStyle w:val="Normal1"/>
      </w:pPr>
      <w:r>
        <w:rPr>
          <w:lang w:eastAsia="en-US"/>
        </w:rPr>
        <w:t>Organisations complete an annual supply report (ASR) at the end of each financial year</w:t>
      </w:r>
      <w:r w:rsidR="00D62659">
        <w:rPr>
          <w:lang w:eastAsia="en-US"/>
        </w:rPr>
        <w:t xml:space="preserve"> (</w:t>
      </w:r>
      <w:r w:rsidR="003F680A">
        <w:rPr>
          <w:lang w:eastAsia="en-US"/>
        </w:rPr>
        <w:t xml:space="preserve">as described in </w:t>
      </w:r>
      <w:r w:rsidR="00D62659">
        <w:rPr>
          <w:lang w:eastAsia="en-US"/>
        </w:rPr>
        <w:fldChar w:fldCharType="begin"/>
      </w:r>
      <w:r w:rsidR="00D62659">
        <w:rPr>
          <w:lang w:eastAsia="en-US"/>
        </w:rPr>
        <w:instrText xml:space="preserve"> REF _Ref14774242 \h </w:instrText>
      </w:r>
      <w:r w:rsidR="00D62659">
        <w:rPr>
          <w:lang w:eastAsia="en-US"/>
        </w:rPr>
      </w:r>
      <w:r w:rsidR="00D62659">
        <w:rPr>
          <w:lang w:eastAsia="en-US"/>
        </w:rPr>
        <w:fldChar w:fldCharType="separate"/>
      </w:r>
      <w:r w:rsidR="00152B74">
        <w:t xml:space="preserve">Table </w:t>
      </w:r>
      <w:r w:rsidR="00152B74">
        <w:rPr>
          <w:noProof/>
        </w:rPr>
        <w:t>2</w:t>
      </w:r>
      <w:r w:rsidR="00D62659">
        <w:rPr>
          <w:lang w:eastAsia="en-US"/>
        </w:rPr>
        <w:fldChar w:fldCharType="end"/>
      </w:r>
      <w:r w:rsidR="00D62659">
        <w:rPr>
          <w:lang w:eastAsia="en-US"/>
        </w:rPr>
        <w:t>)</w:t>
      </w:r>
      <w:r w:rsidR="00465430">
        <w:rPr>
          <w:lang w:eastAsia="en-US"/>
        </w:rPr>
        <w:t>.</w:t>
      </w:r>
    </w:p>
    <w:p w14:paraId="3BDAAABF" w14:textId="685B8DCD" w:rsidR="00DC358A" w:rsidRDefault="004B693D" w:rsidP="009353F3">
      <w:pPr>
        <w:pStyle w:val="Normal1"/>
      </w:pPr>
      <w:r>
        <w:t xml:space="preserve">In the ASR, organisations </w:t>
      </w:r>
      <w:r w:rsidR="00601868">
        <w:t>self-assess</w:t>
      </w:r>
      <w:r w:rsidR="003475B6">
        <w:t xml:space="preserve"> </w:t>
      </w:r>
      <w:r>
        <w:t xml:space="preserve">whether they </w:t>
      </w:r>
      <w:r w:rsidR="00601868">
        <w:t xml:space="preserve">complied with </w:t>
      </w:r>
      <w:r w:rsidR="003F4293">
        <w:t>all required</w:t>
      </w:r>
      <w:r w:rsidR="009814EF">
        <w:t xml:space="preserve"> </w:t>
      </w:r>
      <w:r w:rsidR="003F4293">
        <w:t xml:space="preserve">components of the VGPB supply policy framework. Unlike the VGPB audit process, it does not assess how well organisations comply with the components, but gives the VGPB </w:t>
      </w:r>
      <w:r w:rsidR="006C6057">
        <w:t xml:space="preserve">a high-level </w:t>
      </w:r>
      <w:r w:rsidR="005650FF">
        <w:t>overview</w:t>
      </w:r>
      <w:r w:rsidR="003F4293">
        <w:t xml:space="preserve"> of </w:t>
      </w:r>
      <w:r w:rsidR="003475B6">
        <w:t xml:space="preserve">how organisations view their own </w:t>
      </w:r>
      <w:r w:rsidR="003F4293">
        <w:t>compliance</w:t>
      </w:r>
      <w:r w:rsidR="003475B6">
        <w:t>.</w:t>
      </w:r>
    </w:p>
    <w:p w14:paraId="54D1A47F" w14:textId="1B5BD654" w:rsidR="007C7471" w:rsidRDefault="007C7471" w:rsidP="007C7471">
      <w:pPr>
        <w:pStyle w:val="Heading3NoNum"/>
      </w:pPr>
      <w:r>
        <w:t>Compliance a</w:t>
      </w:r>
      <w:r w:rsidR="00A72CBA">
        <w:t>nd</w:t>
      </w:r>
      <w:r>
        <w:t xml:space="preserve"> machinery of government changes</w:t>
      </w:r>
    </w:p>
    <w:p w14:paraId="2EC8C0B8" w14:textId="401A4D9B" w:rsidR="007C7471" w:rsidRDefault="00A72CBA" w:rsidP="00876AB0">
      <w:pPr>
        <w:pStyle w:val="Normal1"/>
      </w:pPr>
      <w:r>
        <w:t xml:space="preserve">If machinery of government changes </w:t>
      </w:r>
      <w:r w:rsidR="00276979">
        <w:t xml:space="preserve">result in significant changes to an organisation’s </w:t>
      </w:r>
      <w:r>
        <w:t xml:space="preserve">procurement </w:t>
      </w:r>
      <w:r w:rsidRPr="00BF3FD0">
        <w:t xml:space="preserve">function, they may need to </w:t>
      </w:r>
      <w:r w:rsidR="00276979" w:rsidRPr="00BF3FD0">
        <w:t xml:space="preserve">be re-accredited by the VGPB. </w:t>
      </w:r>
      <w:r w:rsidR="00876AB0" w:rsidRPr="00BF3FD0">
        <w:t xml:space="preserve">Both </w:t>
      </w:r>
      <w:r w:rsidR="00876AB0" w:rsidRPr="00BF3FD0">
        <w:rPr>
          <w:rFonts w:asciiTheme="majorHAnsi" w:hAnsiTheme="majorHAnsi" w:cstheme="majorHAnsi"/>
          <w:bCs/>
        </w:rPr>
        <w:t>t</w:t>
      </w:r>
      <w:r w:rsidR="00876AB0" w:rsidRPr="00BF3FD0">
        <w:t>he Department of Transport and</w:t>
      </w:r>
      <w:r w:rsidR="00876AB0">
        <w:t xml:space="preserve"> </w:t>
      </w:r>
      <w:r w:rsidR="00A91166">
        <w:t xml:space="preserve">the </w:t>
      </w:r>
      <w:r w:rsidR="00876AB0" w:rsidRPr="00A72CBA">
        <w:t xml:space="preserve">Department of </w:t>
      </w:r>
      <w:r w:rsidR="00876AB0" w:rsidRPr="00A72CBA">
        <w:rPr>
          <w:rFonts w:asciiTheme="majorHAnsi" w:hAnsiTheme="majorHAnsi" w:cstheme="majorHAnsi"/>
          <w:bCs/>
        </w:rPr>
        <w:t>Jobs, Precincts and Regions</w:t>
      </w:r>
      <w:r w:rsidR="00876AB0">
        <w:rPr>
          <w:rFonts w:asciiTheme="majorHAnsi" w:hAnsiTheme="majorHAnsi" w:cstheme="majorHAnsi"/>
          <w:bCs/>
        </w:rPr>
        <w:t xml:space="preserve"> are currently going through the accreditation process, after being </w:t>
      </w:r>
      <w:r w:rsidR="007C7471" w:rsidRPr="00517145">
        <w:t xml:space="preserve">established </w:t>
      </w:r>
      <w:r w:rsidR="002F188F" w:rsidRPr="00517145">
        <w:t>on 1 January 2019</w:t>
      </w:r>
      <w:r w:rsidR="007C7471" w:rsidRPr="00517145">
        <w:t xml:space="preserve"> from machinery of government changes.</w:t>
      </w:r>
    </w:p>
    <w:p w14:paraId="5A141365" w14:textId="2D3A1ABA" w:rsidR="00EB3CA5" w:rsidRDefault="007C7471" w:rsidP="00DC358A">
      <w:pPr>
        <w:pStyle w:val="Normal1"/>
      </w:pPr>
      <w:r>
        <w:t xml:space="preserve">Both departments have been setting up their procurement functions and developing all the necessary components to be accredited by the VGPB. The Department of </w:t>
      </w:r>
      <w:r w:rsidRPr="007C7471">
        <w:t xml:space="preserve">Transport </w:t>
      </w:r>
      <w:r w:rsidR="000D1ACC" w:rsidRPr="007C7471">
        <w:t xml:space="preserve">submitted </w:t>
      </w:r>
      <w:r w:rsidR="00AA4D4A" w:rsidRPr="007C7471">
        <w:t>its</w:t>
      </w:r>
      <w:r w:rsidR="000D1ACC" w:rsidRPr="007C7471">
        <w:t xml:space="preserve"> accreditation to the VGPB </w:t>
      </w:r>
      <w:r w:rsidRPr="007C7471">
        <w:t>in</w:t>
      </w:r>
      <w:r w:rsidR="000D1ACC" w:rsidRPr="007C7471">
        <w:t xml:space="preserve"> May 2020. This is being reviewed and the </w:t>
      </w:r>
      <w:r w:rsidR="00AA4D4A" w:rsidRPr="007C7471">
        <w:t>d</w:t>
      </w:r>
      <w:r w:rsidR="000D1ACC" w:rsidRPr="007C7471">
        <w:t>epartment is expected to be accredited</w:t>
      </w:r>
      <w:r w:rsidR="008B6ACE">
        <w:t xml:space="preserve"> early</w:t>
      </w:r>
      <w:r w:rsidR="000D1ACC" w:rsidRPr="007C7471">
        <w:t xml:space="preserve"> in 2020–21.</w:t>
      </w:r>
    </w:p>
    <w:p w14:paraId="3E66860C" w14:textId="29200C9E" w:rsidR="007C7471" w:rsidRDefault="003B1BA3" w:rsidP="00DC358A">
      <w:pPr>
        <w:pStyle w:val="Normal1"/>
        <w:rPr>
          <w:rFonts w:asciiTheme="majorHAnsi" w:hAnsiTheme="majorHAnsi" w:cstheme="majorHAnsi"/>
          <w:bCs/>
        </w:rPr>
      </w:pPr>
      <w:r w:rsidRPr="00F97DF7">
        <w:t>In July 2020, t</w:t>
      </w:r>
      <w:r w:rsidR="007C7471" w:rsidRPr="00F97DF7">
        <w:t xml:space="preserve">he Department of </w:t>
      </w:r>
      <w:r w:rsidR="007C7471" w:rsidRPr="00F97DF7">
        <w:rPr>
          <w:rFonts w:asciiTheme="majorHAnsi" w:hAnsiTheme="majorHAnsi" w:cstheme="majorHAnsi"/>
          <w:bCs/>
        </w:rPr>
        <w:t>Jobs, Precincts and Regions</w:t>
      </w:r>
      <w:r w:rsidR="00EB3CA5" w:rsidRPr="00F97DF7">
        <w:rPr>
          <w:rFonts w:asciiTheme="majorHAnsi" w:hAnsiTheme="majorHAnsi" w:cstheme="majorHAnsi"/>
          <w:bCs/>
        </w:rPr>
        <w:t xml:space="preserve"> requested an extension and </w:t>
      </w:r>
      <w:r w:rsidR="007C7471" w:rsidRPr="00F97DF7">
        <w:rPr>
          <w:rFonts w:asciiTheme="majorHAnsi" w:hAnsiTheme="majorHAnsi" w:cstheme="majorHAnsi"/>
          <w:bCs/>
        </w:rPr>
        <w:t>is</w:t>
      </w:r>
      <w:r w:rsidR="007C7471">
        <w:rPr>
          <w:rFonts w:asciiTheme="majorHAnsi" w:hAnsiTheme="majorHAnsi" w:cstheme="majorHAnsi"/>
          <w:bCs/>
        </w:rPr>
        <w:t xml:space="preserve"> </w:t>
      </w:r>
      <w:r w:rsidR="00EB3CA5">
        <w:rPr>
          <w:rFonts w:asciiTheme="majorHAnsi" w:hAnsiTheme="majorHAnsi" w:cstheme="majorHAnsi"/>
          <w:bCs/>
        </w:rPr>
        <w:t xml:space="preserve">now </w:t>
      </w:r>
      <w:r w:rsidR="007C7471">
        <w:rPr>
          <w:rFonts w:asciiTheme="majorHAnsi" w:hAnsiTheme="majorHAnsi" w:cstheme="majorHAnsi"/>
          <w:bCs/>
        </w:rPr>
        <w:t xml:space="preserve">expected to finalise its accreditation </w:t>
      </w:r>
      <w:r w:rsidR="000D048F">
        <w:rPr>
          <w:rFonts w:asciiTheme="majorHAnsi" w:hAnsiTheme="majorHAnsi" w:cstheme="majorHAnsi"/>
          <w:bCs/>
        </w:rPr>
        <w:t>by December 2020.</w:t>
      </w:r>
      <w:r w:rsidR="00EB3CA5">
        <w:rPr>
          <w:rFonts w:asciiTheme="majorHAnsi" w:hAnsiTheme="majorHAnsi" w:cstheme="majorHAnsi"/>
          <w:bCs/>
        </w:rPr>
        <w:t xml:space="preserve"> </w:t>
      </w:r>
      <w:r w:rsidR="009804E8">
        <w:rPr>
          <w:rFonts w:asciiTheme="majorHAnsi" w:hAnsiTheme="majorHAnsi" w:cstheme="majorHAnsi"/>
          <w:bCs/>
        </w:rPr>
        <w:t>The department</w:t>
      </w:r>
      <w:r>
        <w:rPr>
          <w:rFonts w:asciiTheme="majorHAnsi" w:hAnsiTheme="majorHAnsi" w:cstheme="majorHAnsi"/>
          <w:bCs/>
        </w:rPr>
        <w:t xml:space="preserve"> </w:t>
      </w:r>
      <w:r w:rsidR="00EB3CA5">
        <w:rPr>
          <w:rFonts w:asciiTheme="majorHAnsi" w:hAnsiTheme="majorHAnsi" w:cstheme="majorHAnsi"/>
          <w:bCs/>
        </w:rPr>
        <w:t xml:space="preserve">indicated to the VGPB that </w:t>
      </w:r>
      <w:r w:rsidR="000B5911">
        <w:rPr>
          <w:rFonts w:asciiTheme="majorHAnsi" w:hAnsiTheme="majorHAnsi" w:cstheme="majorHAnsi"/>
          <w:bCs/>
        </w:rPr>
        <w:t>it is</w:t>
      </w:r>
      <w:r w:rsidR="00EB3CA5">
        <w:rPr>
          <w:rFonts w:asciiTheme="majorHAnsi" w:hAnsiTheme="majorHAnsi" w:cstheme="majorHAnsi"/>
          <w:bCs/>
        </w:rPr>
        <w:t xml:space="preserve"> currently operating under the </w:t>
      </w:r>
      <w:r w:rsidR="00F0034B">
        <w:rPr>
          <w:rFonts w:asciiTheme="majorHAnsi" w:hAnsiTheme="majorHAnsi" w:cstheme="majorHAnsi"/>
          <w:bCs/>
        </w:rPr>
        <w:t xml:space="preserve">procurement framework of the </w:t>
      </w:r>
      <w:r w:rsidR="00EB3CA5">
        <w:rPr>
          <w:rFonts w:asciiTheme="majorHAnsi" w:hAnsiTheme="majorHAnsi" w:cstheme="majorHAnsi"/>
          <w:bCs/>
        </w:rPr>
        <w:t>former Department of Economic Development, Jobs, Transport and Regions.</w:t>
      </w:r>
    </w:p>
    <w:p w14:paraId="12134330" w14:textId="1BFF1854" w:rsidR="007C7471" w:rsidRDefault="007C7471" w:rsidP="007C7471">
      <w:pPr>
        <w:pStyle w:val="Heading3NoNum"/>
      </w:pPr>
      <w:r>
        <w:t>Overall compliance</w:t>
      </w:r>
    </w:p>
    <w:p w14:paraId="03C0F26F" w14:textId="1DF25CC8" w:rsidR="007C7471" w:rsidRDefault="007C7471" w:rsidP="000B20B5">
      <w:pPr>
        <w:pStyle w:val="Normal1"/>
      </w:pPr>
      <w:r>
        <w:t xml:space="preserve">In 2019–20, organisations </w:t>
      </w:r>
      <w:r w:rsidR="0044382D">
        <w:t>reported</w:t>
      </w:r>
      <w:r>
        <w:t xml:space="preserve"> a high level of compliance with the VGPB supply policy framework, as shown in</w:t>
      </w:r>
      <w:r w:rsidR="000B20B5">
        <w:t xml:space="preserve"> </w:t>
      </w:r>
      <w:r w:rsidR="000B20B5">
        <w:fldChar w:fldCharType="begin"/>
      </w:r>
      <w:r w:rsidR="000B20B5">
        <w:instrText xml:space="preserve"> REF _Ref14877658 \h </w:instrText>
      </w:r>
      <w:r w:rsidR="000B20B5">
        <w:fldChar w:fldCharType="separate"/>
      </w:r>
      <w:r w:rsidR="00ED447C">
        <w:t xml:space="preserve">Table </w:t>
      </w:r>
      <w:r w:rsidR="00ED447C">
        <w:rPr>
          <w:noProof/>
        </w:rPr>
        <w:t>3</w:t>
      </w:r>
      <w:r w:rsidR="000B20B5">
        <w:fldChar w:fldCharType="end"/>
      </w:r>
      <w:r>
        <w:t>.</w:t>
      </w:r>
    </w:p>
    <w:p w14:paraId="02E66359" w14:textId="43BCBF3F" w:rsidR="00AC62B3" w:rsidRDefault="00AC62B3" w:rsidP="007C7471">
      <w:pPr>
        <w:pStyle w:val="Normal1"/>
      </w:pPr>
      <w:r>
        <w:t>Areas of non-compliance</w:t>
      </w:r>
      <w:r w:rsidR="007D0837">
        <w:t xml:space="preserve"> </w:t>
      </w:r>
      <w:r>
        <w:t>related</w:t>
      </w:r>
      <w:r w:rsidR="00517145">
        <w:t xml:space="preserve"> </w:t>
      </w:r>
      <w:r>
        <w:t>to:</w:t>
      </w:r>
    </w:p>
    <w:p w14:paraId="4BDF9CF9" w14:textId="753E091E" w:rsidR="00AC62B3" w:rsidRDefault="00AC62B3" w:rsidP="00AC62B3">
      <w:pPr>
        <w:pStyle w:val="Bullet1"/>
      </w:pPr>
      <w:r>
        <w:t>the time needed to set up new procurement functions after machinery of government changes;</w:t>
      </w:r>
    </w:p>
    <w:p w14:paraId="4CC58F79" w14:textId="3F111FF0" w:rsidR="001A35BC" w:rsidRDefault="00AC62B3" w:rsidP="00AC62B3">
      <w:pPr>
        <w:pStyle w:val="Bullet1"/>
      </w:pPr>
      <w:r>
        <w:t xml:space="preserve">lack of system functionality to </w:t>
      </w:r>
      <w:r w:rsidR="00282044">
        <w:t>measure</w:t>
      </w:r>
      <w:r w:rsidR="00517145">
        <w:t xml:space="preserve"> </w:t>
      </w:r>
      <w:r>
        <w:t>compliance;</w:t>
      </w:r>
    </w:p>
    <w:p w14:paraId="46221387" w14:textId="7BF49FF2" w:rsidR="00AC62B3" w:rsidRDefault="001A35BC" w:rsidP="00AC62B3">
      <w:pPr>
        <w:pStyle w:val="Bullet1"/>
      </w:pPr>
      <w:r>
        <w:t xml:space="preserve">contract management practices; </w:t>
      </w:r>
      <w:r w:rsidR="00AC62B3">
        <w:t>and</w:t>
      </w:r>
    </w:p>
    <w:p w14:paraId="24550298" w14:textId="01B16947" w:rsidR="007C7471" w:rsidRDefault="00AC62B3" w:rsidP="008A2411">
      <w:pPr>
        <w:pStyle w:val="Bullet1"/>
      </w:pPr>
      <w:r>
        <w:t xml:space="preserve">oversights in publishing contracts valued over $100 000 within 60 days on the </w:t>
      </w:r>
      <w:r>
        <w:rPr>
          <w:rStyle w:val="st"/>
        </w:rPr>
        <w:t xml:space="preserve">Buying for Victoria Supplier Portal </w:t>
      </w:r>
      <w:r>
        <w:t>website.</w:t>
      </w:r>
    </w:p>
    <w:p w14:paraId="0E2087BC" w14:textId="0239D7D3" w:rsidR="00ED447C" w:rsidRDefault="00ED447C">
      <w:pPr>
        <w:rPr>
          <w:rFonts w:ascii="Calibri" w:hAnsi="Calibri" w:cs="Calibri"/>
          <w:sz w:val="22"/>
          <w:szCs w:val="22"/>
        </w:rPr>
      </w:pPr>
      <w:r>
        <w:br w:type="page"/>
      </w:r>
    </w:p>
    <w:p w14:paraId="65E64AE3" w14:textId="473D4618" w:rsidR="00E54E14" w:rsidRDefault="00E54E14" w:rsidP="00E54E14">
      <w:pPr>
        <w:pStyle w:val="Caption"/>
      </w:pPr>
      <w:bookmarkStart w:id="59" w:name="_Ref14877658"/>
      <w:bookmarkStart w:id="60" w:name="_Toc17130190"/>
      <w:bookmarkStart w:id="61" w:name="_Toc48837136"/>
      <w:bookmarkStart w:id="62" w:name="_Toc49185526"/>
      <w:r>
        <w:lastRenderedPageBreak/>
        <w:t xml:space="preserve">Table </w:t>
      </w:r>
      <w:r w:rsidR="00BE0754">
        <w:fldChar w:fldCharType="begin"/>
      </w:r>
      <w:r w:rsidR="00BE0754">
        <w:instrText xml:space="preserve"> SEQ Table \* ARABIC </w:instrText>
      </w:r>
      <w:r w:rsidR="00BE0754">
        <w:fldChar w:fldCharType="separate"/>
      </w:r>
      <w:r w:rsidR="00152B74">
        <w:rPr>
          <w:noProof/>
        </w:rPr>
        <w:t>3</w:t>
      </w:r>
      <w:r w:rsidR="00BE0754">
        <w:rPr>
          <w:noProof/>
        </w:rPr>
        <w:fldChar w:fldCharType="end"/>
      </w:r>
      <w:bookmarkEnd w:id="59"/>
      <w:r>
        <w:t xml:space="preserve">: Compliance with VGPB policies in </w:t>
      </w:r>
      <w:r w:rsidR="00371FD3">
        <w:t>2019–20</w:t>
      </w:r>
      <w:bookmarkEnd w:id="60"/>
      <w:bookmarkEnd w:id="61"/>
      <w:bookmarkEnd w:id="62"/>
    </w:p>
    <w:tbl>
      <w:tblPr>
        <w:tblStyle w:val="TableGrid1"/>
        <w:tblW w:w="8613" w:type="dxa"/>
        <w:tblInd w:w="846" w:type="dxa"/>
        <w:tblLook w:val="04A0" w:firstRow="1" w:lastRow="0" w:firstColumn="1" w:lastColumn="0" w:noHBand="0" w:noVBand="1"/>
      </w:tblPr>
      <w:tblGrid>
        <w:gridCol w:w="3685"/>
        <w:gridCol w:w="676"/>
        <w:gridCol w:w="709"/>
        <w:gridCol w:w="708"/>
        <w:gridCol w:w="709"/>
        <w:gridCol w:w="709"/>
        <w:gridCol w:w="709"/>
        <w:gridCol w:w="708"/>
      </w:tblGrid>
      <w:tr w:rsidR="00E54E14" w:rsidRPr="004C1A49" w14:paraId="576210F3" w14:textId="77777777" w:rsidTr="00F0034B">
        <w:trPr>
          <w:cantSplit/>
          <w:trHeight w:val="1929"/>
        </w:trPr>
        <w:tc>
          <w:tcPr>
            <w:tcW w:w="3685" w:type="dxa"/>
            <w:textDirection w:val="btLr"/>
          </w:tcPr>
          <w:p w14:paraId="4ED3CB9E" w14:textId="77777777" w:rsidR="00E54E14" w:rsidRPr="004C1A49" w:rsidRDefault="00E54E14" w:rsidP="00ED447C">
            <w:pPr>
              <w:pStyle w:val="TableText"/>
            </w:pPr>
            <w:r>
              <w:t>Organisation</w:t>
            </w:r>
          </w:p>
        </w:tc>
        <w:tc>
          <w:tcPr>
            <w:tcW w:w="676" w:type="dxa"/>
            <w:textDirection w:val="btLr"/>
          </w:tcPr>
          <w:p w14:paraId="2E374E7B" w14:textId="77777777" w:rsidR="00E54E14" w:rsidRPr="004C1A49" w:rsidRDefault="00E54E14" w:rsidP="00ED447C">
            <w:pPr>
              <w:pStyle w:val="TableText"/>
            </w:pPr>
            <w:r w:rsidRPr="004C1A49">
              <w:t>Governance</w:t>
            </w:r>
          </w:p>
        </w:tc>
        <w:tc>
          <w:tcPr>
            <w:tcW w:w="709" w:type="dxa"/>
            <w:textDirection w:val="btLr"/>
          </w:tcPr>
          <w:p w14:paraId="1ACA959C" w14:textId="77777777" w:rsidR="00E54E14" w:rsidRPr="004C1A49" w:rsidRDefault="00E54E14" w:rsidP="00ED447C">
            <w:pPr>
              <w:pStyle w:val="TableText"/>
            </w:pPr>
            <w:r w:rsidRPr="004C1A49">
              <w:t>Complexity and capability assessment</w:t>
            </w:r>
          </w:p>
        </w:tc>
        <w:tc>
          <w:tcPr>
            <w:tcW w:w="708" w:type="dxa"/>
            <w:textDirection w:val="btLr"/>
          </w:tcPr>
          <w:p w14:paraId="68DA3BBD" w14:textId="77777777" w:rsidR="00E54E14" w:rsidRPr="004C1A49" w:rsidRDefault="00E54E14" w:rsidP="00ED447C">
            <w:pPr>
              <w:pStyle w:val="TableText"/>
            </w:pPr>
            <w:r w:rsidRPr="004C1A49">
              <w:t>Market analysis and review</w:t>
            </w:r>
          </w:p>
        </w:tc>
        <w:tc>
          <w:tcPr>
            <w:tcW w:w="709" w:type="dxa"/>
            <w:textDirection w:val="btLr"/>
          </w:tcPr>
          <w:p w14:paraId="1732B919" w14:textId="77777777" w:rsidR="00E54E14" w:rsidRPr="004C1A49" w:rsidRDefault="00E54E14" w:rsidP="00ED447C">
            <w:pPr>
              <w:pStyle w:val="TableText"/>
            </w:pPr>
            <w:r w:rsidRPr="004C1A49">
              <w:t>Market approach</w:t>
            </w:r>
          </w:p>
        </w:tc>
        <w:tc>
          <w:tcPr>
            <w:tcW w:w="709" w:type="dxa"/>
            <w:textDirection w:val="btLr"/>
          </w:tcPr>
          <w:p w14:paraId="0FF3BC17" w14:textId="77777777" w:rsidR="00E54E14" w:rsidRPr="004C1A49" w:rsidRDefault="00E54E14" w:rsidP="00ED447C">
            <w:pPr>
              <w:pStyle w:val="TableText"/>
            </w:pPr>
            <w:r w:rsidRPr="004C1A49">
              <w:t>Contract management and contract disclosure</w:t>
            </w:r>
          </w:p>
        </w:tc>
        <w:tc>
          <w:tcPr>
            <w:tcW w:w="709" w:type="dxa"/>
            <w:textDirection w:val="btLr"/>
          </w:tcPr>
          <w:p w14:paraId="14838730" w14:textId="77777777" w:rsidR="00E54E14" w:rsidRPr="004C1A49" w:rsidRDefault="00D62620" w:rsidP="00ED447C">
            <w:pPr>
              <w:pStyle w:val="TableText"/>
            </w:pPr>
            <w:r>
              <w:t>Other mandatory requirements</w:t>
            </w:r>
          </w:p>
        </w:tc>
        <w:tc>
          <w:tcPr>
            <w:tcW w:w="708" w:type="dxa"/>
            <w:textDirection w:val="btLr"/>
          </w:tcPr>
          <w:p w14:paraId="14E60532" w14:textId="77777777" w:rsidR="00E54E14" w:rsidRPr="004C1A49" w:rsidRDefault="00E54E14" w:rsidP="00ED447C">
            <w:pPr>
              <w:pStyle w:val="TableText"/>
            </w:pPr>
            <w:r>
              <w:t>Overall compliance</w:t>
            </w:r>
          </w:p>
        </w:tc>
      </w:tr>
      <w:tr w:rsidR="00E54E14" w:rsidRPr="00C27AA9" w14:paraId="74D63C4B" w14:textId="77777777" w:rsidTr="00751445">
        <w:trPr>
          <w:trHeight w:val="256"/>
        </w:trPr>
        <w:tc>
          <w:tcPr>
            <w:tcW w:w="3685" w:type="dxa"/>
            <w:shd w:val="clear" w:color="auto" w:fill="auto"/>
          </w:tcPr>
          <w:p w14:paraId="6831268C" w14:textId="77777777" w:rsidR="00E54E14" w:rsidRPr="005C1500" w:rsidRDefault="00E54E14" w:rsidP="000B20B5">
            <w:pPr>
              <w:pStyle w:val="TableText"/>
            </w:pPr>
            <w:r w:rsidRPr="005C1500">
              <w:t>Education and Training</w:t>
            </w:r>
          </w:p>
        </w:tc>
        <w:tc>
          <w:tcPr>
            <w:tcW w:w="676" w:type="dxa"/>
            <w:shd w:val="clear" w:color="auto" w:fill="auto"/>
          </w:tcPr>
          <w:p w14:paraId="40A0B4C2" w14:textId="309AE37C" w:rsidR="00E54E14" w:rsidRPr="00C27AA9" w:rsidRDefault="00C93639" w:rsidP="000B20B5">
            <w:pPr>
              <w:pStyle w:val="Tablenumbers"/>
            </w:pPr>
            <w:r w:rsidRPr="004437BB">
              <w:rPr>
                <w:rStyle w:val="normaltextrun"/>
                <w:rFonts w:ascii="Segoe UI Symbol" w:hAnsi="Segoe UI Symbol" w:cs="Segoe UI Symbol"/>
              </w:rPr>
              <w:t>✓</w:t>
            </w:r>
          </w:p>
        </w:tc>
        <w:tc>
          <w:tcPr>
            <w:tcW w:w="709" w:type="dxa"/>
            <w:shd w:val="clear" w:color="auto" w:fill="auto"/>
          </w:tcPr>
          <w:p w14:paraId="70433F87" w14:textId="4115CDE9" w:rsidR="00E54E14" w:rsidRPr="00C27AA9" w:rsidRDefault="00C93639" w:rsidP="000B20B5">
            <w:pPr>
              <w:pStyle w:val="Tablenumbers"/>
            </w:pPr>
            <w:r w:rsidRPr="004437BB">
              <w:rPr>
                <w:rStyle w:val="normaltextrun"/>
                <w:rFonts w:ascii="Segoe UI Symbol" w:hAnsi="Segoe UI Symbol" w:cs="Segoe UI Symbol"/>
              </w:rPr>
              <w:t>✓</w:t>
            </w:r>
          </w:p>
        </w:tc>
        <w:tc>
          <w:tcPr>
            <w:tcW w:w="708" w:type="dxa"/>
            <w:shd w:val="clear" w:color="auto" w:fill="auto"/>
          </w:tcPr>
          <w:p w14:paraId="5EE92211" w14:textId="35E8D039" w:rsidR="00E54E14" w:rsidRPr="00C27AA9" w:rsidRDefault="00C93639" w:rsidP="000B20B5">
            <w:pPr>
              <w:pStyle w:val="Tablenumbers"/>
            </w:pPr>
            <w:r w:rsidRPr="004437BB">
              <w:rPr>
                <w:rStyle w:val="normaltextrun"/>
                <w:rFonts w:ascii="Segoe UI Symbol" w:hAnsi="Segoe UI Symbol" w:cs="Segoe UI Symbol"/>
              </w:rPr>
              <w:t>✓</w:t>
            </w:r>
          </w:p>
        </w:tc>
        <w:tc>
          <w:tcPr>
            <w:tcW w:w="709" w:type="dxa"/>
            <w:shd w:val="clear" w:color="auto" w:fill="auto"/>
          </w:tcPr>
          <w:p w14:paraId="30CCC21D" w14:textId="3F88FBD0" w:rsidR="00E54E14" w:rsidRPr="00C27AA9" w:rsidRDefault="00C93639" w:rsidP="000B20B5">
            <w:pPr>
              <w:pStyle w:val="Tablenumbers"/>
            </w:pPr>
            <w:r w:rsidRPr="004437BB">
              <w:rPr>
                <w:rStyle w:val="normaltextrun"/>
                <w:rFonts w:ascii="Segoe UI Symbol" w:hAnsi="Segoe UI Symbol" w:cs="Segoe UI Symbol"/>
              </w:rPr>
              <w:t>✓</w:t>
            </w:r>
          </w:p>
        </w:tc>
        <w:tc>
          <w:tcPr>
            <w:tcW w:w="709" w:type="dxa"/>
            <w:shd w:val="clear" w:color="auto" w:fill="auto"/>
          </w:tcPr>
          <w:p w14:paraId="3A3FA781" w14:textId="13F9E3CA" w:rsidR="00E54E14" w:rsidRPr="00C27AA9" w:rsidRDefault="00C93639" w:rsidP="000B20B5">
            <w:pPr>
              <w:pStyle w:val="Tablenumbers"/>
            </w:pPr>
            <w:r>
              <w:rPr>
                <w:rFonts w:ascii="Segoe UI Symbol" w:hAnsi="Segoe UI Symbol" w:cs="Segoe UI Symbol"/>
              </w:rPr>
              <w:t>✗</w:t>
            </w:r>
          </w:p>
        </w:tc>
        <w:tc>
          <w:tcPr>
            <w:tcW w:w="709" w:type="dxa"/>
            <w:shd w:val="clear" w:color="auto" w:fill="auto"/>
          </w:tcPr>
          <w:p w14:paraId="3709D8F4" w14:textId="053143FE" w:rsidR="00E54E14" w:rsidRPr="00C27AA9" w:rsidRDefault="00C93639" w:rsidP="000B20B5">
            <w:pPr>
              <w:pStyle w:val="Tablenumbers"/>
            </w:pPr>
            <w:r w:rsidRPr="004437BB">
              <w:rPr>
                <w:rStyle w:val="normaltextrun"/>
                <w:rFonts w:ascii="Segoe UI Symbol" w:hAnsi="Segoe UI Symbol" w:cs="Segoe UI Symbol"/>
              </w:rPr>
              <w:t>✓</w:t>
            </w:r>
          </w:p>
        </w:tc>
        <w:tc>
          <w:tcPr>
            <w:tcW w:w="708" w:type="dxa"/>
            <w:shd w:val="clear" w:color="auto" w:fill="auto"/>
          </w:tcPr>
          <w:p w14:paraId="0FD4E15C" w14:textId="7693F694" w:rsidR="00E54E14" w:rsidRPr="00C27AA9" w:rsidRDefault="00C93639" w:rsidP="000B20B5">
            <w:pPr>
              <w:pStyle w:val="Tablenumbers"/>
            </w:pPr>
            <w:r>
              <w:t>97%</w:t>
            </w:r>
          </w:p>
        </w:tc>
      </w:tr>
      <w:tr w:rsidR="00517145" w:rsidRPr="00C27AA9" w14:paraId="1E19D2C9" w14:textId="77777777" w:rsidTr="00751445">
        <w:trPr>
          <w:trHeight w:val="256"/>
        </w:trPr>
        <w:tc>
          <w:tcPr>
            <w:tcW w:w="3685" w:type="dxa"/>
            <w:shd w:val="clear" w:color="auto" w:fill="auto"/>
          </w:tcPr>
          <w:p w14:paraId="59D3FA16" w14:textId="77777777" w:rsidR="00517145" w:rsidRPr="005C1500" w:rsidRDefault="00517145" w:rsidP="000B20B5">
            <w:pPr>
              <w:pStyle w:val="TableText"/>
              <w:rPr>
                <w:color w:val="000000"/>
              </w:rPr>
            </w:pPr>
            <w:r w:rsidRPr="005C1500">
              <w:t>Environment, Land, Water and Planning</w:t>
            </w:r>
          </w:p>
        </w:tc>
        <w:tc>
          <w:tcPr>
            <w:tcW w:w="676" w:type="dxa"/>
            <w:shd w:val="clear" w:color="auto" w:fill="auto"/>
          </w:tcPr>
          <w:p w14:paraId="342E0D1D" w14:textId="56AE156D" w:rsidR="00517145" w:rsidRPr="00C27AA9" w:rsidRDefault="00517145" w:rsidP="000B20B5">
            <w:pPr>
              <w:pStyle w:val="Tablenumbers"/>
            </w:pPr>
            <w:r w:rsidRPr="004437BB">
              <w:rPr>
                <w:rStyle w:val="normaltextrun"/>
                <w:rFonts w:ascii="Segoe UI Symbol" w:hAnsi="Segoe UI Symbol" w:cs="Segoe UI Symbol"/>
              </w:rPr>
              <w:t>✓</w:t>
            </w:r>
          </w:p>
        </w:tc>
        <w:tc>
          <w:tcPr>
            <w:tcW w:w="709" w:type="dxa"/>
            <w:shd w:val="clear" w:color="auto" w:fill="auto"/>
          </w:tcPr>
          <w:p w14:paraId="65B9D352" w14:textId="6F78DEAC" w:rsidR="00517145" w:rsidRPr="00C27AA9" w:rsidRDefault="00517145" w:rsidP="000B20B5">
            <w:pPr>
              <w:pStyle w:val="Tablenumbers"/>
            </w:pPr>
            <w:r w:rsidRPr="004437BB">
              <w:rPr>
                <w:rStyle w:val="normaltextrun"/>
                <w:rFonts w:ascii="Segoe UI Symbol" w:hAnsi="Segoe UI Symbol" w:cs="Segoe UI Symbol"/>
              </w:rPr>
              <w:t>✓</w:t>
            </w:r>
          </w:p>
        </w:tc>
        <w:tc>
          <w:tcPr>
            <w:tcW w:w="708" w:type="dxa"/>
            <w:shd w:val="clear" w:color="auto" w:fill="auto"/>
          </w:tcPr>
          <w:p w14:paraId="24ECDD10" w14:textId="0B0351CA" w:rsidR="00517145" w:rsidRPr="00C27AA9" w:rsidRDefault="00517145" w:rsidP="000B20B5">
            <w:pPr>
              <w:pStyle w:val="Tablenumbers"/>
            </w:pPr>
            <w:r w:rsidRPr="004437BB">
              <w:rPr>
                <w:rStyle w:val="normaltextrun"/>
                <w:rFonts w:ascii="Segoe UI Symbol" w:hAnsi="Segoe UI Symbol" w:cs="Segoe UI Symbol"/>
              </w:rPr>
              <w:t>✓</w:t>
            </w:r>
          </w:p>
        </w:tc>
        <w:tc>
          <w:tcPr>
            <w:tcW w:w="709" w:type="dxa"/>
            <w:shd w:val="clear" w:color="auto" w:fill="auto"/>
          </w:tcPr>
          <w:p w14:paraId="2DE97459" w14:textId="19657C0A" w:rsidR="00517145" w:rsidRPr="00C27AA9" w:rsidRDefault="00517145" w:rsidP="000B20B5">
            <w:pPr>
              <w:pStyle w:val="Tablenumbers"/>
            </w:pPr>
            <w:r w:rsidRPr="004437BB">
              <w:rPr>
                <w:rStyle w:val="normaltextrun"/>
                <w:rFonts w:ascii="Segoe UI Symbol" w:hAnsi="Segoe UI Symbol" w:cs="Segoe UI Symbol"/>
              </w:rPr>
              <w:t>✓</w:t>
            </w:r>
          </w:p>
        </w:tc>
        <w:tc>
          <w:tcPr>
            <w:tcW w:w="709" w:type="dxa"/>
            <w:shd w:val="clear" w:color="auto" w:fill="auto"/>
          </w:tcPr>
          <w:p w14:paraId="70214362" w14:textId="6F33623E" w:rsidR="00517145" w:rsidRPr="00C27AA9" w:rsidRDefault="00517145" w:rsidP="000B20B5">
            <w:pPr>
              <w:pStyle w:val="Tablenumbers"/>
            </w:pPr>
            <w:r>
              <w:rPr>
                <w:rFonts w:ascii="Segoe UI Symbol" w:hAnsi="Segoe UI Symbol" w:cs="Segoe UI Symbol"/>
              </w:rPr>
              <w:t>✗</w:t>
            </w:r>
          </w:p>
        </w:tc>
        <w:tc>
          <w:tcPr>
            <w:tcW w:w="709" w:type="dxa"/>
            <w:shd w:val="clear" w:color="auto" w:fill="auto"/>
          </w:tcPr>
          <w:p w14:paraId="47230AA0" w14:textId="24CE2DFC" w:rsidR="00517145" w:rsidRPr="00C27AA9" w:rsidRDefault="00517145" w:rsidP="000B20B5">
            <w:pPr>
              <w:pStyle w:val="Tablenumbers"/>
            </w:pPr>
            <w:r w:rsidRPr="004437BB">
              <w:rPr>
                <w:rStyle w:val="normaltextrun"/>
                <w:rFonts w:ascii="Segoe UI Symbol" w:hAnsi="Segoe UI Symbol" w:cs="Segoe UI Symbol"/>
              </w:rPr>
              <w:t>✓</w:t>
            </w:r>
          </w:p>
        </w:tc>
        <w:tc>
          <w:tcPr>
            <w:tcW w:w="708" w:type="dxa"/>
            <w:shd w:val="clear" w:color="auto" w:fill="auto"/>
          </w:tcPr>
          <w:p w14:paraId="265B7810" w14:textId="548C3E5B" w:rsidR="00517145" w:rsidRPr="00C27AA9" w:rsidRDefault="00517145" w:rsidP="000B20B5">
            <w:pPr>
              <w:pStyle w:val="Tablenumbers"/>
            </w:pPr>
            <w:r>
              <w:t>9</w:t>
            </w:r>
            <w:r w:rsidR="00EA19C5">
              <w:t>3</w:t>
            </w:r>
            <w:r>
              <w:t>%</w:t>
            </w:r>
          </w:p>
        </w:tc>
      </w:tr>
      <w:tr w:rsidR="00E56036" w:rsidRPr="00C27AA9" w14:paraId="4E68BE30" w14:textId="77777777" w:rsidTr="00751445">
        <w:trPr>
          <w:trHeight w:val="256"/>
        </w:trPr>
        <w:tc>
          <w:tcPr>
            <w:tcW w:w="3685" w:type="dxa"/>
            <w:shd w:val="clear" w:color="auto" w:fill="auto"/>
          </w:tcPr>
          <w:p w14:paraId="5FB81BBF" w14:textId="77777777" w:rsidR="00E56036" w:rsidRPr="00160B30" w:rsidRDefault="00E56036" w:rsidP="000B20B5">
            <w:pPr>
              <w:pStyle w:val="TableText"/>
              <w:rPr>
                <w:color w:val="000000"/>
              </w:rPr>
            </w:pPr>
            <w:r w:rsidRPr="00160B30">
              <w:t>Health and Human Services</w:t>
            </w:r>
          </w:p>
        </w:tc>
        <w:tc>
          <w:tcPr>
            <w:tcW w:w="676" w:type="dxa"/>
            <w:shd w:val="clear" w:color="auto" w:fill="auto"/>
          </w:tcPr>
          <w:p w14:paraId="350D471A" w14:textId="613666B8" w:rsidR="00E56036" w:rsidRPr="00C27AA9" w:rsidRDefault="00E56036" w:rsidP="000B20B5">
            <w:pPr>
              <w:pStyle w:val="Tablenumbers"/>
            </w:pPr>
            <w:r w:rsidRPr="004437BB">
              <w:rPr>
                <w:rStyle w:val="normaltextrun"/>
                <w:rFonts w:ascii="Segoe UI Symbol" w:hAnsi="Segoe UI Symbol" w:cs="Segoe UI Symbol"/>
              </w:rPr>
              <w:t>✓</w:t>
            </w:r>
          </w:p>
        </w:tc>
        <w:tc>
          <w:tcPr>
            <w:tcW w:w="709" w:type="dxa"/>
            <w:shd w:val="clear" w:color="auto" w:fill="auto"/>
          </w:tcPr>
          <w:p w14:paraId="596D8CAE" w14:textId="7F0F7CC7" w:rsidR="00E56036" w:rsidRPr="00C27AA9" w:rsidRDefault="00E56036" w:rsidP="000B20B5">
            <w:pPr>
              <w:pStyle w:val="Tablenumbers"/>
            </w:pPr>
            <w:r w:rsidRPr="004437BB">
              <w:rPr>
                <w:rStyle w:val="normaltextrun"/>
                <w:rFonts w:ascii="Segoe UI Symbol" w:hAnsi="Segoe UI Symbol" w:cs="Segoe UI Symbol"/>
              </w:rPr>
              <w:t>✓</w:t>
            </w:r>
          </w:p>
        </w:tc>
        <w:tc>
          <w:tcPr>
            <w:tcW w:w="708" w:type="dxa"/>
            <w:shd w:val="clear" w:color="auto" w:fill="auto"/>
          </w:tcPr>
          <w:p w14:paraId="5ABAE00D" w14:textId="1032D9A1" w:rsidR="00E56036" w:rsidRPr="00C27AA9" w:rsidRDefault="00E56036" w:rsidP="000B20B5">
            <w:pPr>
              <w:pStyle w:val="Tablenumbers"/>
            </w:pPr>
            <w:r w:rsidRPr="004437BB">
              <w:rPr>
                <w:rStyle w:val="normaltextrun"/>
                <w:rFonts w:ascii="Segoe UI Symbol" w:hAnsi="Segoe UI Symbol" w:cs="Segoe UI Symbol"/>
              </w:rPr>
              <w:t>✓</w:t>
            </w:r>
          </w:p>
        </w:tc>
        <w:tc>
          <w:tcPr>
            <w:tcW w:w="709" w:type="dxa"/>
            <w:shd w:val="clear" w:color="auto" w:fill="auto"/>
          </w:tcPr>
          <w:p w14:paraId="4E3241B1" w14:textId="09D3A85E" w:rsidR="00E56036" w:rsidRPr="00C27AA9" w:rsidRDefault="00E56036" w:rsidP="000B20B5">
            <w:pPr>
              <w:pStyle w:val="Tablenumbers"/>
            </w:pPr>
            <w:r w:rsidRPr="004437BB">
              <w:rPr>
                <w:rStyle w:val="normaltextrun"/>
                <w:rFonts w:ascii="Segoe UI Symbol" w:hAnsi="Segoe UI Symbol" w:cs="Segoe UI Symbol"/>
              </w:rPr>
              <w:t>✓</w:t>
            </w:r>
          </w:p>
        </w:tc>
        <w:tc>
          <w:tcPr>
            <w:tcW w:w="709" w:type="dxa"/>
            <w:shd w:val="clear" w:color="auto" w:fill="auto"/>
          </w:tcPr>
          <w:p w14:paraId="790EFD83" w14:textId="17EEDE71" w:rsidR="00E56036" w:rsidRPr="00C27AA9" w:rsidRDefault="00E56036" w:rsidP="000B20B5">
            <w:pPr>
              <w:pStyle w:val="Tablenumbers"/>
            </w:pPr>
            <w:r w:rsidRPr="004437BB">
              <w:rPr>
                <w:rStyle w:val="normaltextrun"/>
                <w:rFonts w:ascii="Segoe UI Symbol" w:hAnsi="Segoe UI Symbol" w:cs="Segoe UI Symbol"/>
              </w:rPr>
              <w:t>✓</w:t>
            </w:r>
          </w:p>
        </w:tc>
        <w:tc>
          <w:tcPr>
            <w:tcW w:w="709" w:type="dxa"/>
            <w:shd w:val="clear" w:color="auto" w:fill="auto"/>
          </w:tcPr>
          <w:p w14:paraId="4F207F1A" w14:textId="41D842AF" w:rsidR="00E56036" w:rsidRPr="00C27AA9" w:rsidRDefault="00E56036" w:rsidP="000B20B5">
            <w:pPr>
              <w:pStyle w:val="Tablenumbers"/>
            </w:pPr>
            <w:r w:rsidRPr="004437BB">
              <w:rPr>
                <w:rStyle w:val="normaltextrun"/>
                <w:rFonts w:ascii="Segoe UI Symbol" w:hAnsi="Segoe UI Symbol" w:cs="Segoe UI Symbol"/>
              </w:rPr>
              <w:t>✓</w:t>
            </w:r>
          </w:p>
        </w:tc>
        <w:tc>
          <w:tcPr>
            <w:tcW w:w="708" w:type="dxa"/>
            <w:shd w:val="clear" w:color="auto" w:fill="auto"/>
          </w:tcPr>
          <w:p w14:paraId="2CB8F3AB" w14:textId="59023D82" w:rsidR="00E56036" w:rsidRPr="00C27AA9" w:rsidRDefault="00E56036" w:rsidP="000B20B5">
            <w:pPr>
              <w:pStyle w:val="Tablenumbers"/>
            </w:pPr>
            <w:r>
              <w:t>100%</w:t>
            </w:r>
          </w:p>
        </w:tc>
      </w:tr>
      <w:tr w:rsidR="00CC3A88" w:rsidRPr="00C27AA9" w14:paraId="47705F68" w14:textId="77777777" w:rsidTr="00751445">
        <w:trPr>
          <w:trHeight w:val="256"/>
        </w:trPr>
        <w:tc>
          <w:tcPr>
            <w:tcW w:w="3685" w:type="dxa"/>
            <w:shd w:val="clear" w:color="auto" w:fill="auto"/>
          </w:tcPr>
          <w:p w14:paraId="235513D3" w14:textId="58F2084F" w:rsidR="00CC3A88" w:rsidRPr="00160B30" w:rsidRDefault="00CC3A88" w:rsidP="000B20B5">
            <w:pPr>
              <w:pStyle w:val="TableText"/>
              <w:rPr>
                <w:color w:val="000000"/>
              </w:rPr>
            </w:pPr>
            <w:r w:rsidRPr="00160B30">
              <w:t>Jobs, Precincts and Regions</w:t>
            </w:r>
          </w:p>
        </w:tc>
        <w:tc>
          <w:tcPr>
            <w:tcW w:w="676" w:type="dxa"/>
            <w:shd w:val="clear" w:color="auto" w:fill="auto"/>
          </w:tcPr>
          <w:p w14:paraId="11E65E12" w14:textId="6F425C12" w:rsidR="00CC3A88" w:rsidRPr="00C27AA9" w:rsidRDefault="00CC3A88" w:rsidP="000B20B5">
            <w:pPr>
              <w:pStyle w:val="Tablenumbers"/>
            </w:pPr>
            <w:r>
              <w:rPr>
                <w:rFonts w:ascii="Segoe UI Symbol" w:hAnsi="Segoe UI Symbol" w:cs="Segoe UI Symbol"/>
              </w:rPr>
              <w:t>✗</w:t>
            </w:r>
          </w:p>
        </w:tc>
        <w:tc>
          <w:tcPr>
            <w:tcW w:w="709" w:type="dxa"/>
            <w:shd w:val="clear" w:color="auto" w:fill="auto"/>
          </w:tcPr>
          <w:p w14:paraId="4DB398E7" w14:textId="54187EB7" w:rsidR="00CC3A88" w:rsidRPr="00C27AA9" w:rsidRDefault="00CC3A88" w:rsidP="000B20B5">
            <w:pPr>
              <w:pStyle w:val="Tablenumbers"/>
            </w:pPr>
            <w:r w:rsidRPr="004437BB">
              <w:rPr>
                <w:rStyle w:val="normaltextrun"/>
                <w:rFonts w:ascii="Segoe UI Symbol" w:hAnsi="Segoe UI Symbol" w:cs="Segoe UI Symbol"/>
              </w:rPr>
              <w:t>✓</w:t>
            </w:r>
          </w:p>
        </w:tc>
        <w:tc>
          <w:tcPr>
            <w:tcW w:w="708" w:type="dxa"/>
            <w:shd w:val="clear" w:color="auto" w:fill="auto"/>
          </w:tcPr>
          <w:p w14:paraId="7DFDB0E1" w14:textId="4AC218FB" w:rsidR="00CC3A88" w:rsidRPr="00C27AA9" w:rsidRDefault="00CC3A88" w:rsidP="000B20B5">
            <w:pPr>
              <w:pStyle w:val="Tablenumbers"/>
            </w:pPr>
            <w:r w:rsidRPr="004437BB">
              <w:rPr>
                <w:rStyle w:val="normaltextrun"/>
                <w:rFonts w:ascii="Segoe UI Symbol" w:hAnsi="Segoe UI Symbol" w:cs="Segoe UI Symbol"/>
              </w:rPr>
              <w:t>✓</w:t>
            </w:r>
          </w:p>
        </w:tc>
        <w:tc>
          <w:tcPr>
            <w:tcW w:w="709" w:type="dxa"/>
            <w:shd w:val="clear" w:color="auto" w:fill="auto"/>
          </w:tcPr>
          <w:p w14:paraId="08779536" w14:textId="128E7B79" w:rsidR="00CC3A88" w:rsidRPr="00C27AA9" w:rsidRDefault="00CC3A88" w:rsidP="000B20B5">
            <w:pPr>
              <w:pStyle w:val="Tablenumbers"/>
            </w:pPr>
            <w:r>
              <w:rPr>
                <w:rFonts w:ascii="Segoe UI Symbol" w:hAnsi="Segoe UI Symbol" w:cs="Segoe UI Symbol"/>
              </w:rPr>
              <w:t>✗</w:t>
            </w:r>
          </w:p>
        </w:tc>
        <w:tc>
          <w:tcPr>
            <w:tcW w:w="709" w:type="dxa"/>
            <w:shd w:val="clear" w:color="auto" w:fill="auto"/>
          </w:tcPr>
          <w:p w14:paraId="6EA3FAA0" w14:textId="47EFE252" w:rsidR="00CC3A88" w:rsidRPr="00C27AA9" w:rsidRDefault="00881B55" w:rsidP="000B20B5">
            <w:pPr>
              <w:pStyle w:val="Tablenumbers"/>
            </w:pPr>
            <w:r>
              <w:rPr>
                <w:rFonts w:ascii="Segoe UI Symbol" w:hAnsi="Segoe UI Symbol" w:cs="Segoe UI Symbol"/>
              </w:rPr>
              <w:t>✗</w:t>
            </w:r>
          </w:p>
        </w:tc>
        <w:tc>
          <w:tcPr>
            <w:tcW w:w="709" w:type="dxa"/>
            <w:shd w:val="clear" w:color="auto" w:fill="auto"/>
          </w:tcPr>
          <w:p w14:paraId="23D2CD4E" w14:textId="0A89C8DA" w:rsidR="00CC3A88" w:rsidRPr="00C27AA9" w:rsidRDefault="00CC3A88" w:rsidP="000B20B5">
            <w:pPr>
              <w:pStyle w:val="Tablenumbers"/>
            </w:pPr>
            <w:r w:rsidRPr="00083AF2">
              <w:rPr>
                <w:rStyle w:val="normaltextrun"/>
                <w:rFonts w:ascii="Segoe UI Symbol" w:hAnsi="Segoe UI Symbol" w:cs="Segoe UI Symbol"/>
              </w:rPr>
              <w:t>✓</w:t>
            </w:r>
          </w:p>
        </w:tc>
        <w:tc>
          <w:tcPr>
            <w:tcW w:w="708" w:type="dxa"/>
            <w:shd w:val="clear" w:color="auto" w:fill="auto"/>
          </w:tcPr>
          <w:p w14:paraId="691AE281" w14:textId="58CA3456" w:rsidR="00CC3A88" w:rsidRPr="00C27AA9" w:rsidRDefault="00CC3A88" w:rsidP="000B20B5">
            <w:pPr>
              <w:pStyle w:val="Tablenumbers"/>
            </w:pPr>
            <w:r w:rsidRPr="009804E8">
              <w:t>9</w:t>
            </w:r>
            <w:r w:rsidR="00DC042E" w:rsidRPr="009804E8">
              <w:t>0</w:t>
            </w:r>
            <w:r w:rsidRPr="009804E8">
              <w:t>%</w:t>
            </w:r>
          </w:p>
        </w:tc>
      </w:tr>
      <w:tr w:rsidR="00303F9C" w:rsidRPr="00C27AA9" w14:paraId="66FFB89D" w14:textId="77777777" w:rsidTr="00751445">
        <w:trPr>
          <w:trHeight w:val="256"/>
        </w:trPr>
        <w:tc>
          <w:tcPr>
            <w:tcW w:w="3685" w:type="dxa"/>
            <w:shd w:val="clear" w:color="auto" w:fill="auto"/>
          </w:tcPr>
          <w:p w14:paraId="3D08EBE1" w14:textId="77777777" w:rsidR="00303F9C" w:rsidRPr="00160B30" w:rsidRDefault="00303F9C" w:rsidP="000B20B5">
            <w:pPr>
              <w:pStyle w:val="TableText"/>
              <w:rPr>
                <w:color w:val="000000"/>
              </w:rPr>
            </w:pPr>
            <w:r w:rsidRPr="00160B30">
              <w:t>Justice and Community Safety</w:t>
            </w:r>
          </w:p>
        </w:tc>
        <w:tc>
          <w:tcPr>
            <w:tcW w:w="676" w:type="dxa"/>
            <w:shd w:val="clear" w:color="auto" w:fill="auto"/>
          </w:tcPr>
          <w:p w14:paraId="1A4DDB13" w14:textId="5D8F744C" w:rsidR="00303F9C" w:rsidRPr="00C27AA9" w:rsidRDefault="00303F9C" w:rsidP="000B20B5">
            <w:pPr>
              <w:pStyle w:val="Tablenumbers"/>
            </w:pPr>
            <w:r w:rsidRPr="002834C4">
              <w:rPr>
                <w:rStyle w:val="normaltextrun"/>
                <w:rFonts w:ascii="Segoe UI Symbol" w:hAnsi="Segoe UI Symbol" w:cs="Segoe UI Symbol"/>
              </w:rPr>
              <w:t>✓</w:t>
            </w:r>
          </w:p>
        </w:tc>
        <w:tc>
          <w:tcPr>
            <w:tcW w:w="709" w:type="dxa"/>
            <w:shd w:val="clear" w:color="auto" w:fill="auto"/>
          </w:tcPr>
          <w:p w14:paraId="37DA348E" w14:textId="636D7E12" w:rsidR="00303F9C" w:rsidRPr="00C27AA9" w:rsidRDefault="00303F9C" w:rsidP="000B20B5">
            <w:pPr>
              <w:pStyle w:val="Tablenumbers"/>
            </w:pPr>
            <w:r w:rsidRPr="002834C4">
              <w:rPr>
                <w:rStyle w:val="normaltextrun"/>
                <w:rFonts w:ascii="Segoe UI Symbol" w:hAnsi="Segoe UI Symbol" w:cs="Segoe UI Symbol"/>
              </w:rPr>
              <w:t>✓</w:t>
            </w:r>
          </w:p>
        </w:tc>
        <w:tc>
          <w:tcPr>
            <w:tcW w:w="708" w:type="dxa"/>
            <w:shd w:val="clear" w:color="auto" w:fill="auto"/>
          </w:tcPr>
          <w:p w14:paraId="491EFE75" w14:textId="7A8A590B" w:rsidR="00303F9C" w:rsidRPr="00C27AA9" w:rsidRDefault="00303F9C" w:rsidP="000B20B5">
            <w:pPr>
              <w:pStyle w:val="Tablenumbers"/>
            </w:pPr>
            <w:r w:rsidRPr="002834C4">
              <w:rPr>
                <w:rStyle w:val="normaltextrun"/>
                <w:rFonts w:ascii="Segoe UI Symbol" w:hAnsi="Segoe UI Symbol" w:cs="Segoe UI Symbol"/>
              </w:rPr>
              <w:t>✓</w:t>
            </w:r>
          </w:p>
        </w:tc>
        <w:tc>
          <w:tcPr>
            <w:tcW w:w="709" w:type="dxa"/>
            <w:shd w:val="clear" w:color="auto" w:fill="auto"/>
          </w:tcPr>
          <w:p w14:paraId="4514A44C" w14:textId="2886F967" w:rsidR="00303F9C" w:rsidRPr="00C27AA9" w:rsidRDefault="00303F9C" w:rsidP="000B20B5">
            <w:pPr>
              <w:pStyle w:val="Tablenumbers"/>
            </w:pPr>
            <w:r w:rsidRPr="002834C4">
              <w:rPr>
                <w:rStyle w:val="normaltextrun"/>
                <w:rFonts w:ascii="Segoe UI Symbol" w:hAnsi="Segoe UI Symbol" w:cs="Segoe UI Symbol"/>
              </w:rPr>
              <w:t>✓</w:t>
            </w:r>
          </w:p>
        </w:tc>
        <w:tc>
          <w:tcPr>
            <w:tcW w:w="709" w:type="dxa"/>
            <w:shd w:val="clear" w:color="auto" w:fill="auto"/>
          </w:tcPr>
          <w:p w14:paraId="43EFD0A0" w14:textId="5D1AA860" w:rsidR="00303F9C" w:rsidRPr="00C27AA9" w:rsidRDefault="00303F9C" w:rsidP="000B20B5">
            <w:pPr>
              <w:pStyle w:val="Tablenumbers"/>
            </w:pPr>
            <w:r w:rsidRPr="002834C4">
              <w:rPr>
                <w:rStyle w:val="normaltextrun"/>
                <w:rFonts w:ascii="Segoe UI Symbol" w:hAnsi="Segoe UI Symbol" w:cs="Segoe UI Symbol"/>
              </w:rPr>
              <w:t>✓</w:t>
            </w:r>
          </w:p>
        </w:tc>
        <w:tc>
          <w:tcPr>
            <w:tcW w:w="709" w:type="dxa"/>
            <w:shd w:val="clear" w:color="auto" w:fill="auto"/>
          </w:tcPr>
          <w:p w14:paraId="62235BDF" w14:textId="31B107AF" w:rsidR="00303F9C" w:rsidRPr="00C27AA9" w:rsidRDefault="00303F9C" w:rsidP="000B20B5">
            <w:pPr>
              <w:pStyle w:val="Tablenumbers"/>
            </w:pPr>
            <w:r>
              <w:rPr>
                <w:rFonts w:ascii="Segoe UI Symbol" w:hAnsi="Segoe UI Symbol" w:cs="Segoe UI Symbol"/>
              </w:rPr>
              <w:t>✗</w:t>
            </w:r>
          </w:p>
        </w:tc>
        <w:tc>
          <w:tcPr>
            <w:tcW w:w="708" w:type="dxa"/>
            <w:shd w:val="clear" w:color="auto" w:fill="auto"/>
          </w:tcPr>
          <w:p w14:paraId="01885A60" w14:textId="0AA40FBE" w:rsidR="00303F9C" w:rsidRPr="00C27AA9" w:rsidRDefault="00303F9C" w:rsidP="000B20B5">
            <w:pPr>
              <w:pStyle w:val="Tablenumbers"/>
            </w:pPr>
            <w:r>
              <w:t>97%</w:t>
            </w:r>
          </w:p>
        </w:tc>
      </w:tr>
      <w:tr w:rsidR="0022161B" w:rsidRPr="00C27AA9" w14:paraId="33673605" w14:textId="77777777" w:rsidTr="00751445">
        <w:trPr>
          <w:trHeight w:val="256"/>
        </w:trPr>
        <w:tc>
          <w:tcPr>
            <w:tcW w:w="3685" w:type="dxa"/>
            <w:shd w:val="clear" w:color="auto" w:fill="auto"/>
          </w:tcPr>
          <w:p w14:paraId="7B5A5186" w14:textId="77777777" w:rsidR="0022161B" w:rsidRPr="00160B30" w:rsidRDefault="0022161B" w:rsidP="000B20B5">
            <w:pPr>
              <w:pStyle w:val="TableText"/>
              <w:rPr>
                <w:color w:val="000000"/>
              </w:rPr>
            </w:pPr>
            <w:r w:rsidRPr="00160B30">
              <w:t>Premier and Cabinet</w:t>
            </w:r>
          </w:p>
        </w:tc>
        <w:tc>
          <w:tcPr>
            <w:tcW w:w="676" w:type="dxa"/>
            <w:shd w:val="clear" w:color="auto" w:fill="auto"/>
          </w:tcPr>
          <w:p w14:paraId="52F67BF6" w14:textId="5DD1A74E" w:rsidR="0022161B" w:rsidRPr="00C27AA9" w:rsidRDefault="0022161B" w:rsidP="000B20B5">
            <w:pPr>
              <w:pStyle w:val="Tablenumbers"/>
            </w:pPr>
            <w:r w:rsidRPr="004437BB">
              <w:rPr>
                <w:rStyle w:val="normaltextrun"/>
                <w:rFonts w:ascii="Segoe UI Symbol" w:hAnsi="Segoe UI Symbol" w:cs="Segoe UI Symbol"/>
              </w:rPr>
              <w:t>✓</w:t>
            </w:r>
          </w:p>
        </w:tc>
        <w:tc>
          <w:tcPr>
            <w:tcW w:w="709" w:type="dxa"/>
            <w:shd w:val="clear" w:color="auto" w:fill="auto"/>
          </w:tcPr>
          <w:p w14:paraId="54FE76FD" w14:textId="7521E916" w:rsidR="0022161B" w:rsidRPr="00C27AA9" w:rsidRDefault="0022161B" w:rsidP="000B20B5">
            <w:pPr>
              <w:pStyle w:val="Tablenumbers"/>
            </w:pPr>
            <w:r w:rsidRPr="00575F11">
              <w:rPr>
                <w:rStyle w:val="normaltextrun"/>
                <w:rFonts w:ascii="Segoe UI Symbol" w:hAnsi="Segoe UI Symbol" w:cs="Segoe UI Symbol"/>
              </w:rPr>
              <w:t>✓</w:t>
            </w:r>
          </w:p>
        </w:tc>
        <w:tc>
          <w:tcPr>
            <w:tcW w:w="708" w:type="dxa"/>
            <w:shd w:val="clear" w:color="auto" w:fill="auto"/>
          </w:tcPr>
          <w:p w14:paraId="4127B3F5" w14:textId="30F7F145" w:rsidR="0022161B" w:rsidRPr="00C27AA9" w:rsidRDefault="0022161B" w:rsidP="000B20B5">
            <w:pPr>
              <w:pStyle w:val="Tablenumbers"/>
            </w:pPr>
            <w:r w:rsidRPr="00575F11">
              <w:rPr>
                <w:rStyle w:val="normaltextrun"/>
                <w:rFonts w:ascii="Segoe UI Symbol" w:hAnsi="Segoe UI Symbol" w:cs="Segoe UI Symbol"/>
              </w:rPr>
              <w:t>✓</w:t>
            </w:r>
          </w:p>
        </w:tc>
        <w:tc>
          <w:tcPr>
            <w:tcW w:w="709" w:type="dxa"/>
            <w:shd w:val="clear" w:color="auto" w:fill="auto"/>
          </w:tcPr>
          <w:p w14:paraId="2B2F94FF" w14:textId="32EFBCB5" w:rsidR="0022161B" w:rsidRPr="00C27AA9" w:rsidRDefault="0022161B" w:rsidP="000B20B5">
            <w:pPr>
              <w:pStyle w:val="Tablenumbers"/>
            </w:pPr>
            <w:r w:rsidRPr="00575F11">
              <w:rPr>
                <w:rStyle w:val="normaltextrun"/>
                <w:rFonts w:ascii="Segoe UI Symbol" w:hAnsi="Segoe UI Symbol" w:cs="Segoe UI Symbol"/>
              </w:rPr>
              <w:t>✓</w:t>
            </w:r>
          </w:p>
        </w:tc>
        <w:tc>
          <w:tcPr>
            <w:tcW w:w="709" w:type="dxa"/>
            <w:shd w:val="clear" w:color="auto" w:fill="auto"/>
          </w:tcPr>
          <w:p w14:paraId="5B73D00E" w14:textId="32274106" w:rsidR="0022161B" w:rsidRPr="00C27AA9" w:rsidRDefault="0022161B" w:rsidP="000B20B5">
            <w:pPr>
              <w:pStyle w:val="Tablenumbers"/>
            </w:pPr>
            <w:r w:rsidRPr="00575F11">
              <w:rPr>
                <w:rStyle w:val="normaltextrun"/>
                <w:rFonts w:ascii="Segoe UI Symbol" w:hAnsi="Segoe UI Symbol" w:cs="Segoe UI Symbol"/>
              </w:rPr>
              <w:t>✓</w:t>
            </w:r>
          </w:p>
        </w:tc>
        <w:tc>
          <w:tcPr>
            <w:tcW w:w="709" w:type="dxa"/>
            <w:shd w:val="clear" w:color="auto" w:fill="auto"/>
          </w:tcPr>
          <w:p w14:paraId="050185A0" w14:textId="26F651C8" w:rsidR="0022161B" w:rsidRPr="00C27AA9" w:rsidRDefault="0022161B" w:rsidP="000B20B5">
            <w:pPr>
              <w:pStyle w:val="Tablenumbers"/>
            </w:pPr>
            <w:r w:rsidRPr="00575F11">
              <w:rPr>
                <w:rStyle w:val="normaltextrun"/>
                <w:rFonts w:ascii="Segoe UI Symbol" w:hAnsi="Segoe UI Symbol" w:cs="Segoe UI Symbol"/>
              </w:rPr>
              <w:t>✓</w:t>
            </w:r>
          </w:p>
        </w:tc>
        <w:tc>
          <w:tcPr>
            <w:tcW w:w="708" w:type="dxa"/>
            <w:shd w:val="clear" w:color="auto" w:fill="auto"/>
          </w:tcPr>
          <w:p w14:paraId="26700B1E" w14:textId="47C5116E" w:rsidR="0022161B" w:rsidRPr="00C27AA9" w:rsidRDefault="0022161B" w:rsidP="000B20B5">
            <w:pPr>
              <w:pStyle w:val="Tablenumbers"/>
            </w:pPr>
            <w:r>
              <w:t>100%</w:t>
            </w:r>
          </w:p>
        </w:tc>
      </w:tr>
      <w:tr w:rsidR="00E54E14" w:rsidRPr="00C27AA9" w14:paraId="49D1AD44" w14:textId="77777777" w:rsidTr="00751445">
        <w:trPr>
          <w:trHeight w:val="256"/>
        </w:trPr>
        <w:tc>
          <w:tcPr>
            <w:tcW w:w="3685" w:type="dxa"/>
            <w:shd w:val="clear" w:color="auto" w:fill="auto"/>
          </w:tcPr>
          <w:p w14:paraId="19903988" w14:textId="5835A3A0" w:rsidR="00E54E14" w:rsidRPr="00160B30" w:rsidRDefault="00E54E14" w:rsidP="000B20B5">
            <w:pPr>
              <w:pStyle w:val="TableText"/>
              <w:rPr>
                <w:color w:val="000000"/>
              </w:rPr>
            </w:pPr>
            <w:r w:rsidRPr="00160B30">
              <w:t>Transport</w:t>
            </w:r>
          </w:p>
        </w:tc>
        <w:tc>
          <w:tcPr>
            <w:tcW w:w="676" w:type="dxa"/>
            <w:shd w:val="clear" w:color="auto" w:fill="auto"/>
          </w:tcPr>
          <w:p w14:paraId="4CFBD678" w14:textId="7393C152" w:rsidR="00E54E14" w:rsidRPr="00C27AA9" w:rsidRDefault="00AA4D4A" w:rsidP="000B20B5">
            <w:pPr>
              <w:pStyle w:val="Tablenumbers"/>
            </w:pPr>
            <w:r>
              <w:rPr>
                <w:rFonts w:ascii="Segoe UI Symbol" w:hAnsi="Segoe UI Symbol" w:cs="Segoe UI Symbol"/>
              </w:rPr>
              <w:t>✗</w:t>
            </w:r>
          </w:p>
        </w:tc>
        <w:tc>
          <w:tcPr>
            <w:tcW w:w="709" w:type="dxa"/>
            <w:shd w:val="clear" w:color="auto" w:fill="auto"/>
          </w:tcPr>
          <w:p w14:paraId="745F9F0B" w14:textId="490F6173" w:rsidR="00E54E14" w:rsidRPr="00C27AA9" w:rsidRDefault="007634FB" w:rsidP="000B20B5">
            <w:pPr>
              <w:pStyle w:val="Tablenumbers"/>
            </w:pPr>
            <w:r w:rsidRPr="004437BB">
              <w:rPr>
                <w:rStyle w:val="normaltextrun"/>
                <w:rFonts w:ascii="Segoe UI Symbol" w:hAnsi="Segoe UI Symbol" w:cs="Segoe UI Symbol"/>
              </w:rPr>
              <w:t>✓</w:t>
            </w:r>
          </w:p>
        </w:tc>
        <w:tc>
          <w:tcPr>
            <w:tcW w:w="708" w:type="dxa"/>
            <w:shd w:val="clear" w:color="auto" w:fill="auto"/>
          </w:tcPr>
          <w:p w14:paraId="136566F4" w14:textId="6E1A6186" w:rsidR="00E54E14" w:rsidRPr="00C27AA9" w:rsidRDefault="007634FB" w:rsidP="000B20B5">
            <w:pPr>
              <w:pStyle w:val="Tablenumbers"/>
            </w:pPr>
            <w:r w:rsidRPr="004437BB">
              <w:rPr>
                <w:rStyle w:val="normaltextrun"/>
                <w:rFonts w:ascii="Segoe UI Symbol" w:hAnsi="Segoe UI Symbol" w:cs="Segoe UI Symbol"/>
              </w:rPr>
              <w:t>✓</w:t>
            </w:r>
          </w:p>
        </w:tc>
        <w:tc>
          <w:tcPr>
            <w:tcW w:w="709" w:type="dxa"/>
            <w:shd w:val="clear" w:color="auto" w:fill="auto"/>
          </w:tcPr>
          <w:p w14:paraId="342B5F28" w14:textId="051C4F57" w:rsidR="00E54E14" w:rsidRPr="00C27AA9" w:rsidRDefault="007634FB" w:rsidP="000B20B5">
            <w:pPr>
              <w:pStyle w:val="Tablenumbers"/>
            </w:pPr>
            <w:r w:rsidRPr="004437BB">
              <w:rPr>
                <w:rStyle w:val="normaltextrun"/>
                <w:rFonts w:ascii="Segoe UI Symbol" w:hAnsi="Segoe UI Symbol" w:cs="Segoe UI Symbol"/>
              </w:rPr>
              <w:t>✓</w:t>
            </w:r>
          </w:p>
        </w:tc>
        <w:tc>
          <w:tcPr>
            <w:tcW w:w="709" w:type="dxa"/>
            <w:shd w:val="clear" w:color="auto" w:fill="auto"/>
          </w:tcPr>
          <w:p w14:paraId="7EEE4410" w14:textId="63399335" w:rsidR="00E54E14" w:rsidRPr="00C27AA9" w:rsidRDefault="00AA4D4A" w:rsidP="000B20B5">
            <w:pPr>
              <w:pStyle w:val="Tablenumbers"/>
            </w:pPr>
            <w:r>
              <w:rPr>
                <w:rFonts w:ascii="Segoe UI Symbol" w:hAnsi="Segoe UI Symbol" w:cs="Segoe UI Symbol"/>
              </w:rPr>
              <w:t>✗</w:t>
            </w:r>
          </w:p>
        </w:tc>
        <w:tc>
          <w:tcPr>
            <w:tcW w:w="709" w:type="dxa"/>
            <w:shd w:val="clear" w:color="auto" w:fill="auto"/>
          </w:tcPr>
          <w:p w14:paraId="15B62568" w14:textId="614D6362" w:rsidR="00E54E14" w:rsidRPr="00C27AA9" w:rsidRDefault="00AA4D4A" w:rsidP="000B20B5">
            <w:pPr>
              <w:pStyle w:val="Tablenumbers"/>
            </w:pPr>
            <w:r>
              <w:rPr>
                <w:rFonts w:ascii="Segoe UI Symbol" w:hAnsi="Segoe UI Symbol" w:cs="Segoe UI Symbol"/>
              </w:rPr>
              <w:t>✗</w:t>
            </w:r>
          </w:p>
        </w:tc>
        <w:tc>
          <w:tcPr>
            <w:tcW w:w="708" w:type="dxa"/>
            <w:shd w:val="clear" w:color="auto" w:fill="auto"/>
          </w:tcPr>
          <w:p w14:paraId="07C5C98C" w14:textId="0A4071E6" w:rsidR="00E54E14" w:rsidRPr="002058F6" w:rsidRDefault="00AA4D4A" w:rsidP="000B20B5">
            <w:pPr>
              <w:pStyle w:val="Tablenumbers"/>
            </w:pPr>
            <w:r>
              <w:t>80%</w:t>
            </w:r>
          </w:p>
        </w:tc>
      </w:tr>
      <w:tr w:rsidR="00A23B08" w:rsidRPr="007A05B3" w14:paraId="3EA44329" w14:textId="77777777" w:rsidTr="00751445">
        <w:trPr>
          <w:trHeight w:val="256"/>
        </w:trPr>
        <w:tc>
          <w:tcPr>
            <w:tcW w:w="3685" w:type="dxa"/>
            <w:shd w:val="clear" w:color="auto" w:fill="auto"/>
          </w:tcPr>
          <w:p w14:paraId="0BF0E665" w14:textId="77777777" w:rsidR="00A23B08" w:rsidRPr="00160B30" w:rsidRDefault="00A23B08" w:rsidP="000B20B5">
            <w:pPr>
              <w:pStyle w:val="TableText"/>
              <w:rPr>
                <w:color w:val="000000"/>
              </w:rPr>
            </w:pPr>
            <w:r w:rsidRPr="00160B30">
              <w:t>Treasury and Finance</w:t>
            </w:r>
          </w:p>
        </w:tc>
        <w:tc>
          <w:tcPr>
            <w:tcW w:w="676" w:type="dxa"/>
            <w:shd w:val="clear" w:color="auto" w:fill="auto"/>
          </w:tcPr>
          <w:p w14:paraId="33C35841" w14:textId="5DD968EA" w:rsidR="00A23B08" w:rsidRPr="007A05B3" w:rsidRDefault="00A23B08" w:rsidP="000B20B5">
            <w:pPr>
              <w:pStyle w:val="Tablenumbers"/>
            </w:pPr>
            <w:r w:rsidRPr="004437BB">
              <w:rPr>
                <w:rStyle w:val="normaltextrun"/>
                <w:rFonts w:ascii="Segoe UI Symbol" w:hAnsi="Segoe UI Symbol" w:cs="Segoe UI Symbol"/>
              </w:rPr>
              <w:t>✓</w:t>
            </w:r>
          </w:p>
        </w:tc>
        <w:tc>
          <w:tcPr>
            <w:tcW w:w="709" w:type="dxa"/>
            <w:shd w:val="clear" w:color="auto" w:fill="auto"/>
          </w:tcPr>
          <w:p w14:paraId="681D8BDB" w14:textId="789AC4E7" w:rsidR="00A23B08" w:rsidRPr="007A05B3" w:rsidRDefault="00A23B08" w:rsidP="000B20B5">
            <w:pPr>
              <w:pStyle w:val="Tablenumbers"/>
            </w:pPr>
            <w:r w:rsidRPr="00575F11">
              <w:rPr>
                <w:rStyle w:val="normaltextrun"/>
                <w:rFonts w:ascii="Segoe UI Symbol" w:hAnsi="Segoe UI Symbol" w:cs="Segoe UI Symbol"/>
              </w:rPr>
              <w:t>✓</w:t>
            </w:r>
          </w:p>
        </w:tc>
        <w:tc>
          <w:tcPr>
            <w:tcW w:w="708" w:type="dxa"/>
            <w:shd w:val="clear" w:color="auto" w:fill="auto"/>
          </w:tcPr>
          <w:p w14:paraId="508B2D05" w14:textId="6480CCCC" w:rsidR="00A23B08" w:rsidRPr="007A05B3" w:rsidRDefault="00A23B08" w:rsidP="000B20B5">
            <w:pPr>
              <w:pStyle w:val="Tablenumbers"/>
            </w:pPr>
            <w:r w:rsidRPr="004437BB">
              <w:rPr>
                <w:rStyle w:val="normaltextrun"/>
                <w:rFonts w:ascii="Segoe UI Symbol" w:hAnsi="Segoe UI Symbol" w:cs="Segoe UI Symbol"/>
              </w:rPr>
              <w:t>✓</w:t>
            </w:r>
          </w:p>
        </w:tc>
        <w:tc>
          <w:tcPr>
            <w:tcW w:w="709" w:type="dxa"/>
            <w:shd w:val="clear" w:color="auto" w:fill="auto"/>
          </w:tcPr>
          <w:p w14:paraId="064AF834" w14:textId="3C3DAA1E" w:rsidR="00A23B08" w:rsidRPr="007A05B3" w:rsidRDefault="00A23B08" w:rsidP="000B20B5">
            <w:pPr>
              <w:pStyle w:val="Tablenumbers"/>
            </w:pPr>
            <w:r w:rsidRPr="00575F11">
              <w:rPr>
                <w:rStyle w:val="normaltextrun"/>
                <w:rFonts w:ascii="Segoe UI Symbol" w:hAnsi="Segoe UI Symbol" w:cs="Segoe UI Symbol"/>
              </w:rPr>
              <w:t>✓</w:t>
            </w:r>
          </w:p>
        </w:tc>
        <w:tc>
          <w:tcPr>
            <w:tcW w:w="709" w:type="dxa"/>
            <w:shd w:val="clear" w:color="auto" w:fill="auto"/>
          </w:tcPr>
          <w:p w14:paraId="05209F23" w14:textId="24B40BFB" w:rsidR="00A23B08" w:rsidRPr="007A05B3" w:rsidRDefault="00A23B08" w:rsidP="000B20B5">
            <w:pPr>
              <w:pStyle w:val="Tablenumbers"/>
            </w:pPr>
            <w:r w:rsidRPr="004437BB">
              <w:rPr>
                <w:rStyle w:val="normaltextrun"/>
                <w:rFonts w:ascii="Segoe UI Symbol" w:hAnsi="Segoe UI Symbol" w:cs="Segoe UI Symbol"/>
              </w:rPr>
              <w:t>✓</w:t>
            </w:r>
          </w:p>
        </w:tc>
        <w:tc>
          <w:tcPr>
            <w:tcW w:w="709" w:type="dxa"/>
            <w:shd w:val="clear" w:color="auto" w:fill="auto"/>
          </w:tcPr>
          <w:p w14:paraId="4F85B6B0" w14:textId="2A3C4FD0" w:rsidR="00A23B08" w:rsidRPr="007A05B3" w:rsidRDefault="00A23B08" w:rsidP="000B20B5">
            <w:pPr>
              <w:pStyle w:val="Tablenumbers"/>
            </w:pPr>
            <w:r w:rsidRPr="00575F11">
              <w:rPr>
                <w:rStyle w:val="normaltextrun"/>
                <w:rFonts w:ascii="Segoe UI Symbol" w:hAnsi="Segoe UI Symbol" w:cs="Segoe UI Symbol"/>
              </w:rPr>
              <w:t>✓</w:t>
            </w:r>
          </w:p>
        </w:tc>
        <w:tc>
          <w:tcPr>
            <w:tcW w:w="708" w:type="dxa"/>
            <w:shd w:val="clear" w:color="auto" w:fill="auto"/>
          </w:tcPr>
          <w:p w14:paraId="57BE67E3" w14:textId="0E800569" w:rsidR="00A23B08" w:rsidRPr="007A05B3" w:rsidRDefault="00A23B08" w:rsidP="000B20B5">
            <w:pPr>
              <w:pStyle w:val="Tablenumbers"/>
            </w:pPr>
            <w:r>
              <w:t>100%</w:t>
            </w:r>
          </w:p>
        </w:tc>
      </w:tr>
      <w:tr w:rsidR="00E54E14" w:rsidRPr="007A05B3" w14:paraId="58EFC825" w14:textId="77777777" w:rsidTr="00751445">
        <w:trPr>
          <w:trHeight w:val="256"/>
        </w:trPr>
        <w:tc>
          <w:tcPr>
            <w:tcW w:w="3685" w:type="dxa"/>
            <w:shd w:val="clear" w:color="auto" w:fill="auto"/>
          </w:tcPr>
          <w:p w14:paraId="3EB1519D" w14:textId="77777777" w:rsidR="00E54E14" w:rsidRPr="00160B30" w:rsidRDefault="00E54E14" w:rsidP="006D2DCF">
            <w:pPr>
              <w:rPr>
                <w:rFonts w:asciiTheme="majorHAnsi" w:hAnsiTheme="majorHAnsi" w:cstheme="majorHAnsi"/>
                <w:bCs/>
                <w:color w:val="000000"/>
                <w:sz w:val="20"/>
                <w:szCs w:val="20"/>
              </w:rPr>
            </w:pPr>
            <w:r w:rsidRPr="00160B30">
              <w:rPr>
                <w:rFonts w:asciiTheme="majorHAnsi" w:hAnsiTheme="majorHAnsi" w:cstheme="majorHAnsi"/>
                <w:bCs/>
                <w:color w:val="000000"/>
                <w:sz w:val="20"/>
                <w:szCs w:val="20"/>
              </w:rPr>
              <w:t>Cenitex</w:t>
            </w:r>
          </w:p>
        </w:tc>
        <w:tc>
          <w:tcPr>
            <w:tcW w:w="676" w:type="dxa"/>
            <w:shd w:val="clear" w:color="auto" w:fill="auto"/>
          </w:tcPr>
          <w:p w14:paraId="3394C615" w14:textId="48C75A6A" w:rsidR="00E54E14" w:rsidRPr="007A05B3" w:rsidRDefault="008179B8" w:rsidP="000B20B5">
            <w:pPr>
              <w:pStyle w:val="Tablenumbers"/>
            </w:pPr>
            <w:r w:rsidRPr="004437BB">
              <w:rPr>
                <w:rStyle w:val="normaltextrun"/>
                <w:rFonts w:ascii="Segoe UI Symbol" w:hAnsi="Segoe UI Symbol" w:cs="Segoe UI Symbol"/>
              </w:rPr>
              <w:t>✓</w:t>
            </w:r>
          </w:p>
        </w:tc>
        <w:tc>
          <w:tcPr>
            <w:tcW w:w="709" w:type="dxa"/>
            <w:shd w:val="clear" w:color="auto" w:fill="auto"/>
          </w:tcPr>
          <w:p w14:paraId="6D7FE97F" w14:textId="22E48042" w:rsidR="00E54E14" w:rsidRPr="007A05B3" w:rsidRDefault="008179B8" w:rsidP="000B20B5">
            <w:pPr>
              <w:pStyle w:val="Tablenumbers"/>
            </w:pPr>
            <w:r w:rsidRPr="004437BB">
              <w:rPr>
                <w:rStyle w:val="normaltextrun"/>
                <w:rFonts w:ascii="Segoe UI Symbol" w:hAnsi="Segoe UI Symbol" w:cs="Segoe UI Symbol"/>
              </w:rPr>
              <w:t>✓</w:t>
            </w:r>
          </w:p>
        </w:tc>
        <w:tc>
          <w:tcPr>
            <w:tcW w:w="708" w:type="dxa"/>
            <w:shd w:val="clear" w:color="auto" w:fill="auto"/>
          </w:tcPr>
          <w:p w14:paraId="5F2D8D1E" w14:textId="33191F19" w:rsidR="00E54E14" w:rsidRPr="007A05B3" w:rsidRDefault="008179B8" w:rsidP="000B20B5">
            <w:pPr>
              <w:pStyle w:val="Tablenumbers"/>
            </w:pPr>
            <w:r w:rsidRPr="004437BB">
              <w:rPr>
                <w:rStyle w:val="normaltextrun"/>
                <w:rFonts w:ascii="Segoe UI Symbol" w:hAnsi="Segoe UI Symbol" w:cs="Segoe UI Symbol"/>
              </w:rPr>
              <w:t>✓</w:t>
            </w:r>
          </w:p>
        </w:tc>
        <w:tc>
          <w:tcPr>
            <w:tcW w:w="709" w:type="dxa"/>
            <w:shd w:val="clear" w:color="auto" w:fill="auto"/>
          </w:tcPr>
          <w:p w14:paraId="718BABF6" w14:textId="65CAC19F" w:rsidR="00E54E14" w:rsidRPr="007A05B3" w:rsidRDefault="008179B8" w:rsidP="000B20B5">
            <w:pPr>
              <w:pStyle w:val="Tablenumbers"/>
            </w:pPr>
            <w:r w:rsidRPr="004437BB">
              <w:rPr>
                <w:rStyle w:val="normaltextrun"/>
                <w:rFonts w:ascii="Segoe UI Symbol" w:hAnsi="Segoe UI Symbol" w:cs="Segoe UI Symbol"/>
              </w:rPr>
              <w:t>✓</w:t>
            </w:r>
          </w:p>
        </w:tc>
        <w:tc>
          <w:tcPr>
            <w:tcW w:w="709" w:type="dxa"/>
            <w:shd w:val="clear" w:color="auto" w:fill="auto"/>
          </w:tcPr>
          <w:p w14:paraId="1650E412" w14:textId="5700F7D1" w:rsidR="00E54E14" w:rsidRPr="007A05B3" w:rsidRDefault="008179B8" w:rsidP="000B20B5">
            <w:pPr>
              <w:pStyle w:val="Tablenumbers"/>
            </w:pPr>
            <w:r w:rsidRPr="004437BB">
              <w:rPr>
                <w:rStyle w:val="normaltextrun"/>
                <w:rFonts w:ascii="Segoe UI Symbol" w:hAnsi="Segoe UI Symbol" w:cs="Segoe UI Symbol"/>
              </w:rPr>
              <w:t>✓</w:t>
            </w:r>
          </w:p>
        </w:tc>
        <w:tc>
          <w:tcPr>
            <w:tcW w:w="709" w:type="dxa"/>
            <w:shd w:val="clear" w:color="auto" w:fill="auto"/>
          </w:tcPr>
          <w:p w14:paraId="384A4900" w14:textId="2E72CBCD" w:rsidR="00E54E14" w:rsidRPr="007A05B3" w:rsidRDefault="008179B8" w:rsidP="000B20B5">
            <w:pPr>
              <w:pStyle w:val="Tablenumbers"/>
            </w:pPr>
            <w:r w:rsidRPr="004437BB">
              <w:rPr>
                <w:rStyle w:val="normaltextrun"/>
                <w:rFonts w:ascii="Segoe UI Symbol" w:hAnsi="Segoe UI Symbol" w:cs="Segoe UI Symbol"/>
              </w:rPr>
              <w:t>✓</w:t>
            </w:r>
          </w:p>
        </w:tc>
        <w:tc>
          <w:tcPr>
            <w:tcW w:w="708" w:type="dxa"/>
            <w:shd w:val="clear" w:color="auto" w:fill="auto"/>
          </w:tcPr>
          <w:p w14:paraId="14DF6343" w14:textId="64C94031" w:rsidR="00E54E14" w:rsidRPr="007A05B3" w:rsidRDefault="008179B8" w:rsidP="000B20B5">
            <w:pPr>
              <w:pStyle w:val="Tablenumbers"/>
            </w:pPr>
            <w:r>
              <w:t>100%</w:t>
            </w:r>
          </w:p>
        </w:tc>
      </w:tr>
      <w:tr w:rsidR="00E54E14" w:rsidRPr="00C27AA9" w14:paraId="12548282" w14:textId="77777777" w:rsidTr="00751445">
        <w:trPr>
          <w:trHeight w:val="256"/>
        </w:trPr>
        <w:tc>
          <w:tcPr>
            <w:tcW w:w="3685" w:type="dxa"/>
            <w:shd w:val="clear" w:color="auto" w:fill="auto"/>
          </w:tcPr>
          <w:p w14:paraId="51AC4C11" w14:textId="77777777" w:rsidR="00E54E14" w:rsidRPr="00160B30" w:rsidRDefault="00E54E14" w:rsidP="006D2DCF">
            <w:pPr>
              <w:rPr>
                <w:rFonts w:asciiTheme="majorHAnsi" w:hAnsiTheme="majorHAnsi" w:cstheme="majorHAnsi"/>
                <w:bCs/>
                <w:color w:val="000000"/>
                <w:sz w:val="20"/>
                <w:szCs w:val="20"/>
              </w:rPr>
            </w:pPr>
            <w:r w:rsidRPr="00160B30">
              <w:rPr>
                <w:rFonts w:asciiTheme="majorHAnsi" w:hAnsiTheme="majorHAnsi" w:cstheme="majorHAnsi"/>
                <w:bCs/>
                <w:color w:val="000000"/>
                <w:sz w:val="20"/>
                <w:szCs w:val="20"/>
              </w:rPr>
              <w:t>Victoria Police</w:t>
            </w:r>
          </w:p>
        </w:tc>
        <w:tc>
          <w:tcPr>
            <w:tcW w:w="676" w:type="dxa"/>
            <w:shd w:val="clear" w:color="auto" w:fill="auto"/>
          </w:tcPr>
          <w:p w14:paraId="59EF071C" w14:textId="78101829" w:rsidR="00E54E14" w:rsidRPr="00C27AA9" w:rsidRDefault="00120577" w:rsidP="000B20B5">
            <w:pPr>
              <w:pStyle w:val="Tablenumbers"/>
            </w:pPr>
            <w:r w:rsidRPr="004437BB">
              <w:rPr>
                <w:rStyle w:val="normaltextrun"/>
                <w:rFonts w:ascii="Segoe UI Symbol" w:hAnsi="Segoe UI Symbol" w:cs="Segoe UI Symbol"/>
              </w:rPr>
              <w:t>✓</w:t>
            </w:r>
          </w:p>
        </w:tc>
        <w:tc>
          <w:tcPr>
            <w:tcW w:w="709" w:type="dxa"/>
            <w:shd w:val="clear" w:color="auto" w:fill="auto"/>
          </w:tcPr>
          <w:p w14:paraId="41F09C55" w14:textId="6661D113" w:rsidR="00E54E14" w:rsidRPr="00C27AA9" w:rsidRDefault="00CA247C" w:rsidP="000B20B5">
            <w:pPr>
              <w:pStyle w:val="Tablenumbers"/>
            </w:pPr>
            <w:r w:rsidRPr="004437BB">
              <w:rPr>
                <w:rStyle w:val="normaltextrun"/>
                <w:rFonts w:ascii="Segoe UI Symbol" w:hAnsi="Segoe UI Symbol" w:cs="Segoe UI Symbol"/>
              </w:rPr>
              <w:t>✓</w:t>
            </w:r>
          </w:p>
        </w:tc>
        <w:tc>
          <w:tcPr>
            <w:tcW w:w="708" w:type="dxa"/>
            <w:shd w:val="clear" w:color="auto" w:fill="auto"/>
          </w:tcPr>
          <w:p w14:paraId="46AA3694" w14:textId="519EB0D3" w:rsidR="00E54E14" w:rsidRPr="00C27AA9" w:rsidRDefault="00CA247C" w:rsidP="000B20B5">
            <w:pPr>
              <w:pStyle w:val="Tablenumbers"/>
            </w:pPr>
            <w:r w:rsidRPr="004437BB">
              <w:rPr>
                <w:rStyle w:val="normaltextrun"/>
                <w:rFonts w:ascii="Segoe UI Symbol" w:hAnsi="Segoe UI Symbol" w:cs="Segoe UI Symbol"/>
              </w:rPr>
              <w:t>✓</w:t>
            </w:r>
          </w:p>
        </w:tc>
        <w:tc>
          <w:tcPr>
            <w:tcW w:w="709" w:type="dxa"/>
            <w:shd w:val="clear" w:color="auto" w:fill="auto"/>
          </w:tcPr>
          <w:p w14:paraId="0AFCB378" w14:textId="4FF27035" w:rsidR="00E54E14" w:rsidRPr="00C27AA9" w:rsidRDefault="00CA247C" w:rsidP="000B20B5">
            <w:pPr>
              <w:pStyle w:val="Tablenumbers"/>
            </w:pPr>
            <w:r w:rsidRPr="004437BB">
              <w:rPr>
                <w:rStyle w:val="normaltextrun"/>
                <w:rFonts w:ascii="Segoe UI Symbol" w:hAnsi="Segoe UI Symbol" w:cs="Segoe UI Symbol"/>
              </w:rPr>
              <w:t>✓</w:t>
            </w:r>
          </w:p>
        </w:tc>
        <w:tc>
          <w:tcPr>
            <w:tcW w:w="709" w:type="dxa"/>
            <w:shd w:val="clear" w:color="auto" w:fill="auto"/>
          </w:tcPr>
          <w:p w14:paraId="1B7DC50F" w14:textId="22C78E20" w:rsidR="00E54E14" w:rsidRPr="00C27AA9" w:rsidRDefault="00CA247C" w:rsidP="000B20B5">
            <w:pPr>
              <w:pStyle w:val="Tablenumbers"/>
            </w:pPr>
            <w:r w:rsidRPr="004437BB">
              <w:rPr>
                <w:rStyle w:val="normaltextrun"/>
                <w:rFonts w:ascii="Segoe UI Symbol" w:hAnsi="Segoe UI Symbol" w:cs="Segoe UI Symbol"/>
              </w:rPr>
              <w:t>✓</w:t>
            </w:r>
          </w:p>
        </w:tc>
        <w:tc>
          <w:tcPr>
            <w:tcW w:w="709" w:type="dxa"/>
            <w:shd w:val="clear" w:color="auto" w:fill="auto"/>
          </w:tcPr>
          <w:p w14:paraId="42FD8859" w14:textId="5CA4388A" w:rsidR="00E54E14" w:rsidRPr="00C27AA9" w:rsidRDefault="00CA247C" w:rsidP="000B20B5">
            <w:pPr>
              <w:pStyle w:val="Tablenumbers"/>
            </w:pPr>
            <w:r w:rsidRPr="004437BB">
              <w:rPr>
                <w:rStyle w:val="normaltextrun"/>
                <w:rFonts w:ascii="Segoe UI Symbol" w:hAnsi="Segoe UI Symbol" w:cs="Segoe UI Symbol"/>
              </w:rPr>
              <w:t>✓</w:t>
            </w:r>
          </w:p>
        </w:tc>
        <w:tc>
          <w:tcPr>
            <w:tcW w:w="708" w:type="dxa"/>
            <w:shd w:val="clear" w:color="auto" w:fill="auto"/>
          </w:tcPr>
          <w:p w14:paraId="13648524" w14:textId="4336C61D" w:rsidR="00E54E14" w:rsidRPr="00C27AA9" w:rsidRDefault="00120577" w:rsidP="000B20B5">
            <w:pPr>
              <w:pStyle w:val="Tablenumbers"/>
            </w:pPr>
            <w:r>
              <w:t>100</w:t>
            </w:r>
            <w:r w:rsidR="00CA247C">
              <w:t>%</w:t>
            </w:r>
          </w:p>
        </w:tc>
      </w:tr>
    </w:tbl>
    <w:p w14:paraId="5BEC8D03" w14:textId="4D90C1F8" w:rsidR="00F97DF7" w:rsidRDefault="00F97DF7" w:rsidP="00F97DF7">
      <w:pPr>
        <w:pStyle w:val="Tablenotes"/>
      </w:pPr>
      <w:r>
        <w:t xml:space="preserve">Note: The Department of Transport had separate forward procurement plans covering </w:t>
      </w:r>
      <w:r w:rsidR="009804E8">
        <w:t>Transport</w:t>
      </w:r>
      <w:r>
        <w:t xml:space="preserve">, VicRoads and Public Transport Victoria in 2019–20, but did not have a merged plan representing their new organisational structure. This affected </w:t>
      </w:r>
      <w:r w:rsidR="00BD56DE">
        <w:t xml:space="preserve">their </w:t>
      </w:r>
      <w:r w:rsidR="0091779D">
        <w:t>overall</w:t>
      </w:r>
      <w:r>
        <w:t xml:space="preserve"> score since there are three requirements relat</w:t>
      </w:r>
      <w:r w:rsidR="0091779D">
        <w:t>ed</w:t>
      </w:r>
      <w:r>
        <w:t xml:space="preserve"> to developing, reviewing and publishing </w:t>
      </w:r>
      <w:r w:rsidR="0091779D">
        <w:t>these plans under governance.</w:t>
      </w:r>
    </w:p>
    <w:p w14:paraId="16988EE6" w14:textId="3D009F50" w:rsidR="005A2938" w:rsidRDefault="005A2938" w:rsidP="005A2938">
      <w:pPr>
        <w:pStyle w:val="Heading3NoNum"/>
      </w:pPr>
      <w:r>
        <w:t>Compliance by policy area</w:t>
      </w:r>
    </w:p>
    <w:p w14:paraId="75AEC380" w14:textId="77777777" w:rsidR="008076F0" w:rsidRDefault="005D5FF4" w:rsidP="005A2938">
      <w:pPr>
        <w:pStyle w:val="Heading4NoNum"/>
      </w:pPr>
      <w:r w:rsidRPr="009814EF">
        <w:t>Policy 1</w:t>
      </w:r>
      <w:r w:rsidR="00942FAA">
        <w:t>:</w:t>
      </w:r>
      <w:r w:rsidRPr="009814EF">
        <w:t xml:space="preserve"> Governance</w:t>
      </w:r>
    </w:p>
    <w:p w14:paraId="4C8EFD4F" w14:textId="0CF0167E" w:rsidR="00DC358A" w:rsidRDefault="00006ED0" w:rsidP="008076F0">
      <w:pPr>
        <w:pStyle w:val="Normal1"/>
      </w:pPr>
      <w:r>
        <w:t xml:space="preserve">Eight out of ten </w:t>
      </w:r>
      <w:r w:rsidR="005A2938">
        <w:t>organisation</w:t>
      </w:r>
      <w:r w:rsidR="00DC358A">
        <w:t>s</w:t>
      </w:r>
      <w:r w:rsidR="005A2938">
        <w:t xml:space="preserve"> </w:t>
      </w:r>
      <w:r w:rsidR="00B1501A">
        <w:t xml:space="preserve">reported </w:t>
      </w:r>
      <w:r>
        <w:t>ful</w:t>
      </w:r>
      <w:r w:rsidR="00B1501A">
        <w:t xml:space="preserve">l </w:t>
      </w:r>
      <w:r w:rsidR="005A2938">
        <w:t>compli</w:t>
      </w:r>
      <w:r w:rsidR="00B1501A">
        <w:t>ance</w:t>
      </w:r>
      <w:r w:rsidR="005A2938">
        <w:t xml:space="preserve"> </w:t>
      </w:r>
      <w:r w:rsidR="005D5FF4">
        <w:t xml:space="preserve">with the </w:t>
      </w:r>
      <w:r w:rsidR="000C5F19">
        <w:t xml:space="preserve">requirements </w:t>
      </w:r>
      <w:r w:rsidR="00D77728">
        <w:t xml:space="preserve">of </w:t>
      </w:r>
      <w:r w:rsidR="005A2938">
        <w:t xml:space="preserve">this policy </w:t>
      </w:r>
      <w:r w:rsidR="005D5FF4">
        <w:t xml:space="preserve">in </w:t>
      </w:r>
      <w:r w:rsidR="00371FD3">
        <w:t>2019–20</w:t>
      </w:r>
      <w:r w:rsidR="005D5FF4">
        <w:t>.</w:t>
      </w:r>
    </w:p>
    <w:p w14:paraId="09A82619" w14:textId="773EFD7F" w:rsidR="00876AB0" w:rsidRDefault="00D15839" w:rsidP="008076F0">
      <w:pPr>
        <w:pStyle w:val="Normal1"/>
      </w:pPr>
      <w:r>
        <w:t>N</w:t>
      </w:r>
      <w:r w:rsidR="00876AB0">
        <w:t>on-compliance related to</w:t>
      </w:r>
      <w:r>
        <w:t xml:space="preserve"> the time needed to</w:t>
      </w:r>
      <w:r w:rsidR="00876AB0">
        <w:t xml:space="preserve"> establish </w:t>
      </w:r>
      <w:r w:rsidR="00876AB0">
        <w:rPr>
          <w:rFonts w:asciiTheme="majorHAnsi" w:hAnsiTheme="majorHAnsi" w:cstheme="majorHAnsi"/>
          <w:bCs/>
        </w:rPr>
        <w:t xml:space="preserve">new governance frameworks </w:t>
      </w:r>
      <w:r w:rsidR="00F638D4">
        <w:rPr>
          <w:rFonts w:asciiTheme="majorHAnsi" w:hAnsiTheme="majorHAnsi" w:cstheme="majorHAnsi"/>
          <w:bCs/>
        </w:rPr>
        <w:t xml:space="preserve">after </w:t>
      </w:r>
      <w:r w:rsidR="00876AB0">
        <w:t>machinery of government changes.</w:t>
      </w:r>
    </w:p>
    <w:p w14:paraId="1C8BB13D" w14:textId="3A52C0DA" w:rsidR="00876AB0" w:rsidRDefault="00876AB0" w:rsidP="00876AB0">
      <w:pPr>
        <w:pStyle w:val="Normal1"/>
        <w:rPr>
          <w:sz w:val="21"/>
          <w:szCs w:val="21"/>
        </w:rPr>
      </w:pPr>
      <w:r>
        <w:t xml:space="preserve">The </w:t>
      </w:r>
      <w:r w:rsidRPr="00F638D4">
        <w:t>Department of Jobs, Precincts and Regions has set up most components of its governance framework</w:t>
      </w:r>
      <w:r w:rsidR="00D15839">
        <w:t xml:space="preserve"> but has not transitioned to its new </w:t>
      </w:r>
      <w:r w:rsidR="00D15839" w:rsidRPr="00F638D4">
        <w:t>internal procurement unit</w:t>
      </w:r>
      <w:r w:rsidR="00F638D4">
        <w:t xml:space="preserve">. </w:t>
      </w:r>
      <w:r w:rsidR="00D15839">
        <w:t>T</w:t>
      </w:r>
      <w:r w:rsidRPr="00F638D4">
        <w:t xml:space="preserve">he terms of reference and proposed structure </w:t>
      </w:r>
      <w:r w:rsidR="00D15839">
        <w:t xml:space="preserve">have been developed </w:t>
      </w:r>
      <w:r w:rsidRPr="00F638D4">
        <w:t xml:space="preserve">and </w:t>
      </w:r>
      <w:r w:rsidR="00D15839">
        <w:t xml:space="preserve">it will be implemented </w:t>
      </w:r>
      <w:r w:rsidRPr="00F638D4">
        <w:t>in 2020–21.</w:t>
      </w:r>
    </w:p>
    <w:p w14:paraId="2FAF2EF0" w14:textId="7C6A45E2" w:rsidR="00AC2DE5" w:rsidRDefault="00876AB0" w:rsidP="00F638D4">
      <w:pPr>
        <w:pStyle w:val="Normal1"/>
      </w:pPr>
      <w:r w:rsidRPr="00517145">
        <w:t xml:space="preserve">VicRoads and Public Transport Victoria (PTV) transitioned to sit under </w:t>
      </w:r>
      <w:r w:rsidRPr="00517145">
        <w:rPr>
          <w:rFonts w:asciiTheme="majorHAnsi" w:hAnsiTheme="majorHAnsi" w:cstheme="majorHAnsi"/>
          <w:bCs/>
        </w:rPr>
        <w:t>t</w:t>
      </w:r>
      <w:r w:rsidRPr="00517145">
        <w:t>he Department of Transport on 1</w:t>
      </w:r>
      <w:r w:rsidR="00FE3B3A">
        <w:t> </w:t>
      </w:r>
      <w:r w:rsidRPr="00517145">
        <w:t>July</w:t>
      </w:r>
      <w:r w:rsidR="00FE3B3A">
        <w:t> </w:t>
      </w:r>
      <w:r w:rsidRPr="00517145">
        <w:t>2019.</w:t>
      </w:r>
      <w:r w:rsidR="00F638D4">
        <w:t xml:space="preserve"> The department needed to merge the three procurement areas, including their forward procurement planning. </w:t>
      </w:r>
      <w:r w:rsidR="0047768B">
        <w:t xml:space="preserve">The three organisations each had a forward procurement activity plan for 2019, but </w:t>
      </w:r>
      <w:r w:rsidR="00F638D4">
        <w:t xml:space="preserve">not a merged plan </w:t>
      </w:r>
      <w:r w:rsidR="0047768B">
        <w:t>incorporat</w:t>
      </w:r>
      <w:r w:rsidR="00F638D4">
        <w:t>ing</w:t>
      </w:r>
      <w:r w:rsidR="0047768B">
        <w:t xml:space="preserve"> procurement from all three organisations.</w:t>
      </w:r>
      <w:r w:rsidR="00576389">
        <w:t xml:space="preserve"> </w:t>
      </w:r>
      <w:r w:rsidR="00006ED0">
        <w:t xml:space="preserve">This </w:t>
      </w:r>
      <w:r w:rsidR="00D15839">
        <w:t xml:space="preserve">combined </w:t>
      </w:r>
      <w:r w:rsidR="00F638D4">
        <w:t xml:space="preserve">plan </w:t>
      </w:r>
      <w:r w:rsidR="00006ED0">
        <w:t>will be published in 2020–21.</w:t>
      </w:r>
    </w:p>
    <w:p w14:paraId="0FD67752" w14:textId="297799B2" w:rsidR="009814EF" w:rsidRDefault="009814EF" w:rsidP="00293BBA">
      <w:pPr>
        <w:pStyle w:val="Caption"/>
      </w:pPr>
      <w:bookmarkStart w:id="63" w:name="_Ref15475697"/>
      <w:bookmarkStart w:id="64" w:name="_Toc17130191"/>
      <w:bookmarkStart w:id="65" w:name="_Toc48837137"/>
      <w:bookmarkStart w:id="66" w:name="_Toc49185527"/>
      <w:r>
        <w:t xml:space="preserve">Table </w:t>
      </w:r>
      <w:r w:rsidR="00BE0754">
        <w:fldChar w:fldCharType="begin"/>
      </w:r>
      <w:r w:rsidR="00BE0754">
        <w:instrText xml:space="preserve"> SEQ Table \* ARABIC </w:instrText>
      </w:r>
      <w:r w:rsidR="00BE0754">
        <w:fldChar w:fldCharType="separate"/>
      </w:r>
      <w:r w:rsidR="00152B74">
        <w:rPr>
          <w:noProof/>
        </w:rPr>
        <w:t>4</w:t>
      </w:r>
      <w:r w:rsidR="00BE0754">
        <w:rPr>
          <w:noProof/>
        </w:rPr>
        <w:fldChar w:fldCharType="end"/>
      </w:r>
      <w:bookmarkEnd w:id="63"/>
      <w:r>
        <w:t xml:space="preserve">: Compliance with </w:t>
      </w:r>
      <w:r w:rsidR="000C5F19">
        <w:t>governance requirements</w:t>
      </w:r>
      <w:r>
        <w:t xml:space="preserve"> in </w:t>
      </w:r>
      <w:r w:rsidR="00371FD3">
        <w:t>2019–20</w:t>
      </w:r>
      <w:bookmarkEnd w:id="64"/>
      <w:bookmarkEnd w:id="65"/>
      <w:bookmarkEnd w:id="66"/>
    </w:p>
    <w:tbl>
      <w:tblPr>
        <w:tblStyle w:val="TableGrid"/>
        <w:tblW w:w="8557" w:type="dxa"/>
        <w:tblInd w:w="794" w:type="dxa"/>
        <w:tblLook w:val="04A0" w:firstRow="1" w:lastRow="0" w:firstColumn="1" w:lastColumn="0" w:noHBand="0" w:noVBand="1"/>
      </w:tblPr>
      <w:tblGrid>
        <w:gridCol w:w="6998"/>
        <w:gridCol w:w="1559"/>
      </w:tblGrid>
      <w:tr w:rsidR="005D5FF4" w:rsidRPr="00213A2B" w14:paraId="342FFE7E" w14:textId="77777777" w:rsidTr="00ED447C">
        <w:trPr>
          <w:tblHeader/>
        </w:trPr>
        <w:tc>
          <w:tcPr>
            <w:tcW w:w="6998" w:type="dxa"/>
            <w:shd w:val="clear" w:color="auto" w:fill="BFBFBF" w:themeFill="background1" w:themeFillShade="BF"/>
          </w:tcPr>
          <w:p w14:paraId="31AC4B4C" w14:textId="77777777" w:rsidR="005D5FF4" w:rsidRPr="00213A2B" w:rsidRDefault="005D5FF4" w:rsidP="00ED447C">
            <w:pPr>
              <w:pStyle w:val="TableHeader"/>
            </w:pPr>
            <w:r w:rsidRPr="00213A2B">
              <w:t xml:space="preserve">Policy </w:t>
            </w:r>
            <w:r w:rsidR="00ED2FE3">
              <w:t>requirement</w:t>
            </w:r>
          </w:p>
        </w:tc>
        <w:tc>
          <w:tcPr>
            <w:tcW w:w="1559" w:type="dxa"/>
            <w:shd w:val="clear" w:color="auto" w:fill="BFBFBF" w:themeFill="background1" w:themeFillShade="BF"/>
          </w:tcPr>
          <w:p w14:paraId="39D17987" w14:textId="77777777" w:rsidR="005D5FF4" w:rsidRPr="00213A2B" w:rsidRDefault="005D5FF4" w:rsidP="00ED447C">
            <w:pPr>
              <w:pStyle w:val="TableHeader"/>
            </w:pPr>
            <w:r w:rsidRPr="00213A2B">
              <w:t>Organisations complying</w:t>
            </w:r>
          </w:p>
        </w:tc>
      </w:tr>
      <w:tr w:rsidR="005D5FF4" w14:paraId="2ACC5E32" w14:textId="77777777" w:rsidTr="00ED447C">
        <w:tc>
          <w:tcPr>
            <w:tcW w:w="6998" w:type="dxa"/>
            <w:vAlign w:val="center"/>
          </w:tcPr>
          <w:p w14:paraId="3043086F" w14:textId="25B4D478" w:rsidR="005D5FF4" w:rsidRDefault="005D5FF4" w:rsidP="000B20B5">
            <w:pPr>
              <w:pStyle w:val="TableText"/>
            </w:pPr>
            <w:r>
              <w:t>Did the organisation have a CPO</w:t>
            </w:r>
            <w:r w:rsidRPr="00C00A76">
              <w:t xml:space="preserve"> </w:t>
            </w:r>
            <w:r>
              <w:t>throughout the year?</w:t>
            </w:r>
          </w:p>
        </w:tc>
        <w:tc>
          <w:tcPr>
            <w:tcW w:w="1559" w:type="dxa"/>
          </w:tcPr>
          <w:p w14:paraId="16A749F1" w14:textId="632241AB" w:rsidR="005D5FF4" w:rsidRDefault="00C93639" w:rsidP="000B20B5">
            <w:pPr>
              <w:pStyle w:val="TableText"/>
            </w:pPr>
            <w:r>
              <w:t>10 of 10</w:t>
            </w:r>
          </w:p>
        </w:tc>
      </w:tr>
      <w:tr w:rsidR="00C93639" w14:paraId="72A387FC" w14:textId="77777777" w:rsidTr="00ED447C">
        <w:tc>
          <w:tcPr>
            <w:tcW w:w="6998" w:type="dxa"/>
            <w:vAlign w:val="center"/>
          </w:tcPr>
          <w:p w14:paraId="7D466E1D" w14:textId="77777777" w:rsidR="00C93639" w:rsidRDefault="00C93639" w:rsidP="000B20B5">
            <w:pPr>
              <w:pStyle w:val="TableText"/>
            </w:pPr>
            <w:r>
              <w:t>Does the CPO have appropriate procurement qualifications and/or experience?</w:t>
            </w:r>
          </w:p>
        </w:tc>
        <w:tc>
          <w:tcPr>
            <w:tcW w:w="1559" w:type="dxa"/>
          </w:tcPr>
          <w:p w14:paraId="11FB5975" w14:textId="5B31A275" w:rsidR="00C93639" w:rsidRDefault="00C93639" w:rsidP="000B20B5">
            <w:pPr>
              <w:pStyle w:val="TableText"/>
            </w:pPr>
            <w:r w:rsidRPr="0040551E">
              <w:t>10 of 10</w:t>
            </w:r>
          </w:p>
        </w:tc>
      </w:tr>
      <w:tr w:rsidR="00C93639" w14:paraId="13C44FEA" w14:textId="77777777" w:rsidTr="00ED447C">
        <w:tc>
          <w:tcPr>
            <w:tcW w:w="6998" w:type="dxa"/>
            <w:vAlign w:val="center"/>
          </w:tcPr>
          <w:p w14:paraId="06A4CE61" w14:textId="0B0B14D6" w:rsidR="00C93639" w:rsidRDefault="00C93639" w:rsidP="000B20B5">
            <w:pPr>
              <w:pStyle w:val="TableText"/>
            </w:pPr>
            <w:r>
              <w:t xml:space="preserve">Does the organisation have an </w:t>
            </w:r>
            <w:r w:rsidR="00842726" w:rsidRPr="00C00A76">
              <w:t>internal procurement unit</w:t>
            </w:r>
            <w:r>
              <w:t xml:space="preserve">? </w:t>
            </w:r>
          </w:p>
        </w:tc>
        <w:tc>
          <w:tcPr>
            <w:tcW w:w="1559" w:type="dxa"/>
          </w:tcPr>
          <w:p w14:paraId="7B8E0E37" w14:textId="51ADD2F5" w:rsidR="00C93639" w:rsidRDefault="00AC62B3" w:rsidP="000B20B5">
            <w:pPr>
              <w:pStyle w:val="TableText"/>
            </w:pPr>
            <w:r>
              <w:t>9</w:t>
            </w:r>
            <w:r w:rsidR="00C93639" w:rsidRPr="0040551E">
              <w:t xml:space="preserve"> of 10</w:t>
            </w:r>
          </w:p>
        </w:tc>
      </w:tr>
      <w:tr w:rsidR="005D5FF4" w14:paraId="7DBF94E4" w14:textId="77777777" w:rsidTr="00ED447C">
        <w:tc>
          <w:tcPr>
            <w:tcW w:w="6998" w:type="dxa"/>
            <w:vAlign w:val="center"/>
          </w:tcPr>
          <w:p w14:paraId="6D3A8844" w14:textId="0AD79DF0" w:rsidR="005D5FF4" w:rsidRDefault="005D5FF4" w:rsidP="000B20B5">
            <w:pPr>
              <w:pStyle w:val="TableText"/>
            </w:pPr>
            <w:r>
              <w:t xml:space="preserve">Is the </w:t>
            </w:r>
            <w:r w:rsidR="004D2268" w:rsidRPr="00C00A76">
              <w:t>procurement stra</w:t>
            </w:r>
            <w:r w:rsidRPr="00C00A76">
              <w:t>tegy</w:t>
            </w:r>
            <w:r>
              <w:t xml:space="preserve"> in place? This includes a:</w:t>
            </w:r>
          </w:p>
          <w:p w14:paraId="798A84BF" w14:textId="77777777" w:rsidR="005D5FF4" w:rsidRDefault="005D5FF4" w:rsidP="00545789">
            <w:pPr>
              <w:pStyle w:val="TableBullet"/>
            </w:pPr>
            <w:r>
              <w:t>pr</w:t>
            </w:r>
            <w:r w:rsidRPr="00C00A76">
              <w:t>ocurement activity plan</w:t>
            </w:r>
            <w:r>
              <w:t xml:space="preserve"> covering the next 12–24 months of planned procurements</w:t>
            </w:r>
          </w:p>
          <w:p w14:paraId="521390E4" w14:textId="77777777" w:rsidR="005D5FF4" w:rsidRDefault="005D5FF4" w:rsidP="00545789">
            <w:pPr>
              <w:pStyle w:val="TableBullet"/>
            </w:pPr>
            <w:r w:rsidRPr="004E0F49">
              <w:t>contract management planning strategy</w:t>
            </w:r>
          </w:p>
          <w:p w14:paraId="53AA5E42" w14:textId="77777777" w:rsidR="005D5FF4" w:rsidRPr="005D5FF4" w:rsidRDefault="005D5FF4" w:rsidP="00545789">
            <w:pPr>
              <w:pStyle w:val="TableBullet"/>
              <w:rPr>
                <w:lang w:val="en-US"/>
              </w:rPr>
            </w:pPr>
            <w:r w:rsidRPr="005D5FF4">
              <w:rPr>
                <w:lang w:val="en-US"/>
              </w:rPr>
              <w:t>supplier engagement plan</w:t>
            </w:r>
          </w:p>
          <w:p w14:paraId="49EEE53D" w14:textId="13BD2F02" w:rsidR="005D5FF4" w:rsidRDefault="005D5FF4" w:rsidP="00545789">
            <w:pPr>
              <w:pStyle w:val="TableBullet"/>
            </w:pPr>
            <w:r>
              <w:t>capability development plan</w:t>
            </w:r>
          </w:p>
        </w:tc>
        <w:tc>
          <w:tcPr>
            <w:tcW w:w="1559" w:type="dxa"/>
          </w:tcPr>
          <w:p w14:paraId="6CDD3823" w14:textId="6F5A4482" w:rsidR="005D5FF4" w:rsidRDefault="00120577" w:rsidP="000B20B5">
            <w:pPr>
              <w:pStyle w:val="TableText"/>
            </w:pPr>
            <w:r>
              <w:t>9</w:t>
            </w:r>
            <w:r w:rsidR="00C93639">
              <w:t xml:space="preserve"> of 10</w:t>
            </w:r>
          </w:p>
        </w:tc>
      </w:tr>
      <w:tr w:rsidR="00C93639" w14:paraId="077A3097" w14:textId="77777777" w:rsidTr="00ED447C">
        <w:tc>
          <w:tcPr>
            <w:tcW w:w="6998" w:type="dxa"/>
            <w:vAlign w:val="center"/>
          </w:tcPr>
          <w:p w14:paraId="39BFEA89" w14:textId="0287512F" w:rsidR="00C93639" w:rsidRDefault="00C93639" w:rsidP="000B20B5">
            <w:pPr>
              <w:pStyle w:val="TableText"/>
            </w:pPr>
            <w:r>
              <w:t>Did the organisation review its procurement activity plan in 2019–20?</w:t>
            </w:r>
          </w:p>
        </w:tc>
        <w:tc>
          <w:tcPr>
            <w:tcW w:w="1559" w:type="dxa"/>
          </w:tcPr>
          <w:p w14:paraId="12955F6A" w14:textId="57F6F0BE" w:rsidR="00C93639" w:rsidRDefault="00C93639" w:rsidP="000B20B5">
            <w:pPr>
              <w:pStyle w:val="TableText"/>
            </w:pPr>
            <w:r w:rsidRPr="0053574D">
              <w:t>9 of 10</w:t>
            </w:r>
          </w:p>
        </w:tc>
      </w:tr>
      <w:tr w:rsidR="00C93639" w14:paraId="55AF4864" w14:textId="77777777" w:rsidTr="00ED447C">
        <w:tc>
          <w:tcPr>
            <w:tcW w:w="6998" w:type="dxa"/>
            <w:vAlign w:val="center"/>
          </w:tcPr>
          <w:p w14:paraId="75A6C47A" w14:textId="77777777" w:rsidR="00C93639" w:rsidRDefault="00C93639" w:rsidP="000B20B5">
            <w:pPr>
              <w:pStyle w:val="TableText"/>
            </w:pPr>
            <w:r>
              <w:lastRenderedPageBreak/>
              <w:t xml:space="preserve">Is a high-level version of your </w:t>
            </w:r>
            <w:r w:rsidRPr="00C00A76">
              <w:t>procurement activity plan</w:t>
            </w:r>
            <w:r>
              <w:t xml:space="preserve"> published on your website?</w:t>
            </w:r>
          </w:p>
        </w:tc>
        <w:tc>
          <w:tcPr>
            <w:tcW w:w="1559" w:type="dxa"/>
          </w:tcPr>
          <w:p w14:paraId="19CC824B" w14:textId="0D6ED2F1" w:rsidR="00C93639" w:rsidRDefault="00C93639" w:rsidP="000B20B5">
            <w:pPr>
              <w:pStyle w:val="TableText"/>
            </w:pPr>
            <w:r w:rsidRPr="0053574D">
              <w:t>9 of 10</w:t>
            </w:r>
          </w:p>
        </w:tc>
      </w:tr>
      <w:tr w:rsidR="005D5FF4" w14:paraId="5880A982" w14:textId="77777777" w:rsidTr="00ED447C">
        <w:tc>
          <w:tcPr>
            <w:tcW w:w="6998" w:type="dxa"/>
            <w:vAlign w:val="center"/>
          </w:tcPr>
          <w:p w14:paraId="407919AB" w14:textId="77777777" w:rsidR="005D5FF4" w:rsidRDefault="005D5FF4" w:rsidP="000B20B5">
            <w:pPr>
              <w:pStyle w:val="TableText"/>
            </w:pPr>
            <w:r>
              <w:t>Is your c</w:t>
            </w:r>
            <w:r w:rsidRPr="00C00A76">
              <w:t>omplaints management system</w:t>
            </w:r>
            <w:r>
              <w:t xml:space="preserve"> in place?</w:t>
            </w:r>
          </w:p>
        </w:tc>
        <w:tc>
          <w:tcPr>
            <w:tcW w:w="1559" w:type="dxa"/>
          </w:tcPr>
          <w:p w14:paraId="00DA79D6" w14:textId="17414B1D" w:rsidR="005D5FF4" w:rsidRDefault="00C93639" w:rsidP="000B20B5">
            <w:pPr>
              <w:pStyle w:val="TableText"/>
            </w:pPr>
            <w:r>
              <w:t>10 of 10</w:t>
            </w:r>
          </w:p>
        </w:tc>
      </w:tr>
    </w:tbl>
    <w:p w14:paraId="650DAA6A" w14:textId="5DBC2897" w:rsidR="00842726" w:rsidRDefault="00842726" w:rsidP="00842726">
      <w:pPr>
        <w:pStyle w:val="Tablenotes"/>
      </w:pPr>
      <w:r>
        <w:t xml:space="preserve">CPO= Chief </w:t>
      </w:r>
      <w:r w:rsidR="00D15839">
        <w:t>P</w:t>
      </w:r>
      <w:r>
        <w:t xml:space="preserve">rocurement </w:t>
      </w:r>
      <w:r w:rsidR="00D15839">
        <w:t>O</w:t>
      </w:r>
      <w:r>
        <w:t>fficer</w:t>
      </w:r>
    </w:p>
    <w:p w14:paraId="54D3E8B0" w14:textId="0390CCCE" w:rsidR="008076F0" w:rsidRDefault="00420AF3" w:rsidP="005A2938">
      <w:pPr>
        <w:pStyle w:val="Heading4NoNum"/>
      </w:pPr>
      <w:r w:rsidRPr="009814EF">
        <w:t>Policy 2</w:t>
      </w:r>
      <w:r w:rsidR="00942FAA">
        <w:t>:</w:t>
      </w:r>
      <w:r w:rsidRPr="009814EF">
        <w:t xml:space="preserve"> Complexity and capability assessment</w:t>
      </w:r>
    </w:p>
    <w:p w14:paraId="60928DB0" w14:textId="5BC121F6" w:rsidR="000C5F19" w:rsidRDefault="005A2938" w:rsidP="00420AF3">
      <w:pPr>
        <w:pStyle w:val="Normal1"/>
        <w:rPr>
          <w:lang w:eastAsia="en-US"/>
        </w:rPr>
      </w:pPr>
      <w:r>
        <w:t>All organisation</w:t>
      </w:r>
      <w:r w:rsidR="00B91B2A">
        <w:t>s</w:t>
      </w:r>
      <w:r>
        <w:t xml:space="preserve"> </w:t>
      </w:r>
      <w:r w:rsidR="00B1501A">
        <w:t xml:space="preserve">reported </w:t>
      </w:r>
      <w:r>
        <w:t>compli</w:t>
      </w:r>
      <w:r w:rsidR="00B1501A">
        <w:t>ance</w:t>
      </w:r>
      <w:r>
        <w:t xml:space="preserve"> with </w:t>
      </w:r>
      <w:r>
        <w:rPr>
          <w:lang w:eastAsia="en-US"/>
        </w:rPr>
        <w:t>the</w:t>
      </w:r>
      <w:r w:rsidR="00420AF3">
        <w:rPr>
          <w:lang w:eastAsia="en-US"/>
        </w:rPr>
        <w:t xml:space="preserve"> requirements </w:t>
      </w:r>
      <w:r w:rsidR="00D77728">
        <w:rPr>
          <w:lang w:eastAsia="en-US"/>
        </w:rPr>
        <w:t xml:space="preserve">of </w:t>
      </w:r>
      <w:r w:rsidR="00420AF3">
        <w:rPr>
          <w:lang w:eastAsia="en-US"/>
        </w:rPr>
        <w:t>this policy.</w:t>
      </w:r>
    </w:p>
    <w:p w14:paraId="71528C66" w14:textId="5C86EFE2" w:rsidR="000C5F19" w:rsidRDefault="000C5F19" w:rsidP="003D31F5">
      <w:pPr>
        <w:pStyle w:val="Caption"/>
      </w:pPr>
      <w:bookmarkStart w:id="67" w:name="_Toc17130192"/>
      <w:bookmarkStart w:id="68" w:name="_Toc48837138"/>
      <w:bookmarkStart w:id="69" w:name="_Toc49185528"/>
      <w:r>
        <w:t xml:space="preserve">Table </w:t>
      </w:r>
      <w:r w:rsidR="00BE0754">
        <w:fldChar w:fldCharType="begin"/>
      </w:r>
      <w:r w:rsidR="00BE0754">
        <w:instrText xml:space="preserve"> SEQ Table \* ARABIC </w:instrText>
      </w:r>
      <w:r w:rsidR="00BE0754">
        <w:fldChar w:fldCharType="separate"/>
      </w:r>
      <w:r w:rsidR="00152B74">
        <w:rPr>
          <w:noProof/>
        </w:rPr>
        <w:t>5</w:t>
      </w:r>
      <w:r w:rsidR="00BE0754">
        <w:rPr>
          <w:noProof/>
        </w:rPr>
        <w:fldChar w:fldCharType="end"/>
      </w:r>
      <w:r>
        <w:t>: Compliance with c</w:t>
      </w:r>
      <w:r w:rsidRPr="009814EF">
        <w:t>omplexity and capability assessment</w:t>
      </w:r>
      <w:r>
        <w:t xml:space="preserve"> requirements in </w:t>
      </w:r>
      <w:r w:rsidR="00371FD3">
        <w:t>2019–20</w:t>
      </w:r>
      <w:bookmarkEnd w:id="67"/>
      <w:bookmarkEnd w:id="68"/>
      <w:bookmarkEnd w:id="69"/>
    </w:p>
    <w:tbl>
      <w:tblPr>
        <w:tblStyle w:val="TableGrid"/>
        <w:tblW w:w="8557" w:type="dxa"/>
        <w:tblInd w:w="794" w:type="dxa"/>
        <w:tblLook w:val="04A0" w:firstRow="1" w:lastRow="0" w:firstColumn="1" w:lastColumn="0" w:noHBand="0" w:noVBand="1"/>
      </w:tblPr>
      <w:tblGrid>
        <w:gridCol w:w="6998"/>
        <w:gridCol w:w="1559"/>
      </w:tblGrid>
      <w:tr w:rsidR="00420AF3" w:rsidRPr="00213A2B" w14:paraId="4C6D16D5" w14:textId="77777777" w:rsidTr="00ED447C">
        <w:tc>
          <w:tcPr>
            <w:tcW w:w="6998" w:type="dxa"/>
            <w:shd w:val="clear" w:color="auto" w:fill="BFBFBF" w:themeFill="background1" w:themeFillShade="BF"/>
          </w:tcPr>
          <w:p w14:paraId="06E121BD" w14:textId="77777777" w:rsidR="00420AF3" w:rsidRPr="00213A2B" w:rsidRDefault="00420AF3" w:rsidP="00ED447C">
            <w:pPr>
              <w:pStyle w:val="TableHeader"/>
            </w:pPr>
            <w:r w:rsidRPr="00213A2B">
              <w:t xml:space="preserve">Policy </w:t>
            </w:r>
            <w:r w:rsidR="00ED2FE3">
              <w:t>requirement</w:t>
            </w:r>
          </w:p>
        </w:tc>
        <w:tc>
          <w:tcPr>
            <w:tcW w:w="1559" w:type="dxa"/>
            <w:shd w:val="clear" w:color="auto" w:fill="BFBFBF" w:themeFill="background1" w:themeFillShade="BF"/>
          </w:tcPr>
          <w:p w14:paraId="05D80CBB" w14:textId="77777777" w:rsidR="00420AF3" w:rsidRPr="00213A2B" w:rsidRDefault="00420AF3" w:rsidP="00ED447C">
            <w:pPr>
              <w:pStyle w:val="TableHeader"/>
            </w:pPr>
            <w:r w:rsidRPr="00213A2B">
              <w:t>Organisations complying</w:t>
            </w:r>
          </w:p>
        </w:tc>
      </w:tr>
      <w:tr w:rsidR="00C93639" w14:paraId="5D3DA281" w14:textId="77777777" w:rsidTr="00ED447C">
        <w:tc>
          <w:tcPr>
            <w:tcW w:w="6998" w:type="dxa"/>
            <w:vAlign w:val="center"/>
          </w:tcPr>
          <w:p w14:paraId="1011CC5D" w14:textId="77777777" w:rsidR="00C93639" w:rsidRDefault="00C93639" w:rsidP="000B20B5">
            <w:pPr>
              <w:pStyle w:val="TableText"/>
            </w:pPr>
            <w:r>
              <w:t>Does the organisation have a c</w:t>
            </w:r>
            <w:r w:rsidRPr="00D42102">
              <w:t>omplexity assessment methodology</w:t>
            </w:r>
            <w:r>
              <w:t>?</w:t>
            </w:r>
          </w:p>
        </w:tc>
        <w:tc>
          <w:tcPr>
            <w:tcW w:w="1559" w:type="dxa"/>
          </w:tcPr>
          <w:p w14:paraId="15D9BD3E" w14:textId="78FE5785" w:rsidR="00C93639" w:rsidRDefault="00C93639" w:rsidP="000B20B5">
            <w:pPr>
              <w:pStyle w:val="TableText"/>
            </w:pPr>
            <w:r w:rsidRPr="00CF0682">
              <w:t>10 of 10</w:t>
            </w:r>
          </w:p>
        </w:tc>
      </w:tr>
      <w:tr w:rsidR="00C93639" w14:paraId="31F6B26F" w14:textId="77777777" w:rsidTr="00ED447C">
        <w:tc>
          <w:tcPr>
            <w:tcW w:w="6998" w:type="dxa"/>
            <w:vAlign w:val="center"/>
          </w:tcPr>
          <w:p w14:paraId="2090046F" w14:textId="77777777" w:rsidR="00C93639" w:rsidRDefault="00C93639" w:rsidP="000B20B5">
            <w:pPr>
              <w:pStyle w:val="TableText"/>
            </w:pPr>
            <w:r>
              <w:t xml:space="preserve">Is the complexity assessment methodology being applied to all procurement activity? </w:t>
            </w:r>
          </w:p>
        </w:tc>
        <w:tc>
          <w:tcPr>
            <w:tcW w:w="1559" w:type="dxa"/>
          </w:tcPr>
          <w:p w14:paraId="5006DA6F" w14:textId="507083AC" w:rsidR="00C93639" w:rsidRDefault="00C93639" w:rsidP="000B20B5">
            <w:pPr>
              <w:pStyle w:val="TableText"/>
            </w:pPr>
            <w:r w:rsidRPr="00CF0682">
              <w:t>10 of 10</w:t>
            </w:r>
          </w:p>
        </w:tc>
      </w:tr>
      <w:tr w:rsidR="00C93639" w14:paraId="48AB4DFA" w14:textId="77777777" w:rsidTr="00ED447C">
        <w:tc>
          <w:tcPr>
            <w:tcW w:w="6998" w:type="dxa"/>
            <w:vAlign w:val="center"/>
          </w:tcPr>
          <w:p w14:paraId="60282B8E" w14:textId="77777777" w:rsidR="00C93639" w:rsidRDefault="00C93639" w:rsidP="000B20B5">
            <w:pPr>
              <w:pStyle w:val="TableText"/>
            </w:pPr>
            <w:r>
              <w:t>Does the organisation have a p</w:t>
            </w:r>
            <w:r w:rsidRPr="00D42102">
              <w:t>rocurement capability assessment methodology</w:t>
            </w:r>
            <w:r>
              <w:t>?</w:t>
            </w:r>
          </w:p>
        </w:tc>
        <w:tc>
          <w:tcPr>
            <w:tcW w:w="1559" w:type="dxa"/>
          </w:tcPr>
          <w:p w14:paraId="001BE19F" w14:textId="07784F28" w:rsidR="00C93639" w:rsidRDefault="00C93639" w:rsidP="000B20B5">
            <w:pPr>
              <w:pStyle w:val="TableText"/>
            </w:pPr>
            <w:r w:rsidRPr="00CF0682">
              <w:t>10 of 10</w:t>
            </w:r>
          </w:p>
        </w:tc>
      </w:tr>
      <w:tr w:rsidR="00C93639" w14:paraId="5804DA65" w14:textId="77777777" w:rsidTr="00ED447C">
        <w:tc>
          <w:tcPr>
            <w:tcW w:w="6998" w:type="dxa"/>
            <w:vAlign w:val="center"/>
          </w:tcPr>
          <w:p w14:paraId="6EDB5905" w14:textId="77777777" w:rsidR="00C93639" w:rsidRDefault="00C93639" w:rsidP="000B20B5">
            <w:pPr>
              <w:pStyle w:val="TableText"/>
            </w:pPr>
            <w:r>
              <w:t xml:space="preserve">Does the </w:t>
            </w:r>
            <w:r w:rsidRPr="00F624F3">
              <w:t>organisation ha</w:t>
            </w:r>
            <w:r>
              <w:t>ve</w:t>
            </w:r>
            <w:r w:rsidRPr="00F624F3">
              <w:t xml:space="preserve"> an appropriate level of procurement expertise, resources, systems and processes that enable procurement activities to be completed successfully</w:t>
            </w:r>
            <w:r>
              <w:t>?</w:t>
            </w:r>
          </w:p>
        </w:tc>
        <w:tc>
          <w:tcPr>
            <w:tcW w:w="1559" w:type="dxa"/>
          </w:tcPr>
          <w:p w14:paraId="6FF2FDF0" w14:textId="2D8153B3" w:rsidR="00C93639" w:rsidRDefault="00C93639" w:rsidP="000B20B5">
            <w:pPr>
              <w:pStyle w:val="TableText"/>
            </w:pPr>
            <w:r w:rsidRPr="00CF0682">
              <w:t>10 of 10</w:t>
            </w:r>
          </w:p>
        </w:tc>
      </w:tr>
    </w:tbl>
    <w:p w14:paraId="4D3B386C" w14:textId="65C510ED" w:rsidR="000C5F19" w:rsidRDefault="000C5F19" w:rsidP="005A2938">
      <w:pPr>
        <w:pStyle w:val="Heading4NoNum"/>
      </w:pPr>
      <w:r w:rsidRPr="009814EF">
        <w:t>Policy 3</w:t>
      </w:r>
      <w:r w:rsidR="00942FAA">
        <w:t>:</w:t>
      </w:r>
      <w:r w:rsidRPr="009814EF">
        <w:t xml:space="preserve"> Market analysis and review</w:t>
      </w:r>
    </w:p>
    <w:p w14:paraId="73F05801" w14:textId="6860D4E0" w:rsidR="0074736D" w:rsidRDefault="000C5F19" w:rsidP="000C5F19">
      <w:pPr>
        <w:pStyle w:val="Normal1"/>
        <w:rPr>
          <w:lang w:eastAsia="en-US"/>
        </w:rPr>
      </w:pPr>
      <w:r>
        <w:rPr>
          <w:lang w:eastAsia="en-US"/>
        </w:rPr>
        <w:t xml:space="preserve">All organisations </w:t>
      </w:r>
      <w:r w:rsidR="00FE6219">
        <w:rPr>
          <w:lang w:eastAsia="en-US"/>
        </w:rPr>
        <w:t xml:space="preserve">reported </w:t>
      </w:r>
      <w:r>
        <w:rPr>
          <w:lang w:eastAsia="en-US"/>
        </w:rPr>
        <w:t>compli</w:t>
      </w:r>
      <w:r w:rsidR="00FE6219">
        <w:rPr>
          <w:lang w:eastAsia="en-US"/>
        </w:rPr>
        <w:t>ance</w:t>
      </w:r>
      <w:r>
        <w:rPr>
          <w:lang w:eastAsia="en-US"/>
        </w:rPr>
        <w:t xml:space="preserve"> with the requirements </w:t>
      </w:r>
      <w:r w:rsidR="00D77728">
        <w:rPr>
          <w:lang w:eastAsia="en-US"/>
        </w:rPr>
        <w:t xml:space="preserve">of </w:t>
      </w:r>
      <w:r>
        <w:rPr>
          <w:lang w:eastAsia="en-US"/>
        </w:rPr>
        <w:t>this policy.</w:t>
      </w:r>
    </w:p>
    <w:p w14:paraId="0220BF1A" w14:textId="5899DF9E" w:rsidR="000C5F19" w:rsidRDefault="000C5F19" w:rsidP="003D31F5">
      <w:pPr>
        <w:pStyle w:val="Caption"/>
      </w:pPr>
      <w:bookmarkStart w:id="70" w:name="_Toc17130193"/>
      <w:bookmarkStart w:id="71" w:name="_Toc48837139"/>
      <w:bookmarkStart w:id="72" w:name="_Toc49185529"/>
      <w:r>
        <w:t xml:space="preserve">Table </w:t>
      </w:r>
      <w:r w:rsidR="00BE0754">
        <w:fldChar w:fldCharType="begin"/>
      </w:r>
      <w:r w:rsidR="00BE0754">
        <w:instrText xml:space="preserve"> SEQ Table \* ARABIC </w:instrText>
      </w:r>
      <w:r w:rsidR="00BE0754">
        <w:fldChar w:fldCharType="separate"/>
      </w:r>
      <w:r w:rsidR="00152B74">
        <w:rPr>
          <w:noProof/>
        </w:rPr>
        <w:t>6</w:t>
      </w:r>
      <w:r w:rsidR="00BE0754">
        <w:rPr>
          <w:noProof/>
        </w:rPr>
        <w:fldChar w:fldCharType="end"/>
      </w:r>
      <w:r>
        <w:t>: Compliance with m</w:t>
      </w:r>
      <w:r w:rsidRPr="009814EF">
        <w:t>arket analysis and review</w:t>
      </w:r>
      <w:r>
        <w:t xml:space="preserve"> requirements in </w:t>
      </w:r>
      <w:r w:rsidR="00371FD3">
        <w:t>2019–20</w:t>
      </w:r>
      <w:bookmarkEnd w:id="70"/>
      <w:bookmarkEnd w:id="71"/>
      <w:bookmarkEnd w:id="72"/>
    </w:p>
    <w:tbl>
      <w:tblPr>
        <w:tblStyle w:val="TableGrid"/>
        <w:tblW w:w="8557" w:type="dxa"/>
        <w:tblInd w:w="794" w:type="dxa"/>
        <w:tblLook w:val="04A0" w:firstRow="1" w:lastRow="0" w:firstColumn="1" w:lastColumn="0" w:noHBand="0" w:noVBand="1"/>
      </w:tblPr>
      <w:tblGrid>
        <w:gridCol w:w="6998"/>
        <w:gridCol w:w="1559"/>
      </w:tblGrid>
      <w:tr w:rsidR="000C5F19" w:rsidRPr="00213A2B" w14:paraId="53108F1F" w14:textId="77777777" w:rsidTr="00ED447C">
        <w:tc>
          <w:tcPr>
            <w:tcW w:w="6998" w:type="dxa"/>
            <w:shd w:val="clear" w:color="auto" w:fill="BFBFBF" w:themeFill="background1" w:themeFillShade="BF"/>
          </w:tcPr>
          <w:p w14:paraId="3D4FF04F" w14:textId="77777777" w:rsidR="000C5F19" w:rsidRPr="00213A2B" w:rsidRDefault="000C5F19" w:rsidP="00ED447C">
            <w:pPr>
              <w:pStyle w:val="TableHeader"/>
            </w:pPr>
            <w:r w:rsidRPr="00213A2B">
              <w:t xml:space="preserve">Policy </w:t>
            </w:r>
            <w:r w:rsidR="00ED2FE3">
              <w:t>requirement</w:t>
            </w:r>
          </w:p>
        </w:tc>
        <w:tc>
          <w:tcPr>
            <w:tcW w:w="1559" w:type="dxa"/>
            <w:shd w:val="clear" w:color="auto" w:fill="BFBFBF" w:themeFill="background1" w:themeFillShade="BF"/>
          </w:tcPr>
          <w:p w14:paraId="3EC2D274" w14:textId="77777777" w:rsidR="000C5F19" w:rsidRPr="00213A2B" w:rsidRDefault="000C5F19" w:rsidP="00ED447C">
            <w:pPr>
              <w:pStyle w:val="TableHeader"/>
            </w:pPr>
            <w:r w:rsidRPr="00213A2B">
              <w:t>Organisations complying</w:t>
            </w:r>
          </w:p>
        </w:tc>
      </w:tr>
      <w:tr w:rsidR="00C93639" w14:paraId="226B2A3E" w14:textId="77777777" w:rsidTr="00ED447C">
        <w:tc>
          <w:tcPr>
            <w:tcW w:w="6998" w:type="dxa"/>
            <w:vAlign w:val="center"/>
          </w:tcPr>
          <w:p w14:paraId="3D4F7014" w14:textId="77777777" w:rsidR="00C93639" w:rsidRDefault="00C93639" w:rsidP="000B20B5">
            <w:pPr>
              <w:pStyle w:val="TableText"/>
            </w:pPr>
            <w:r>
              <w:t>Does the organisation have a m</w:t>
            </w:r>
            <w:r w:rsidRPr="00D42102">
              <w:t>arket analysis methodology</w:t>
            </w:r>
            <w:r>
              <w:t>?</w:t>
            </w:r>
          </w:p>
        </w:tc>
        <w:tc>
          <w:tcPr>
            <w:tcW w:w="1559" w:type="dxa"/>
          </w:tcPr>
          <w:p w14:paraId="2B8B849C" w14:textId="20454D14" w:rsidR="00C93639" w:rsidRDefault="00C93639" w:rsidP="000B20B5">
            <w:pPr>
              <w:pStyle w:val="TableText"/>
            </w:pPr>
            <w:r w:rsidRPr="00672CB8">
              <w:t>10 of 10</w:t>
            </w:r>
          </w:p>
        </w:tc>
      </w:tr>
      <w:tr w:rsidR="00C93639" w14:paraId="7C96A099" w14:textId="77777777" w:rsidTr="00ED447C">
        <w:tc>
          <w:tcPr>
            <w:tcW w:w="6998" w:type="dxa"/>
            <w:vAlign w:val="center"/>
          </w:tcPr>
          <w:p w14:paraId="044050A3" w14:textId="77777777" w:rsidR="00C93639" w:rsidRDefault="00C93639" w:rsidP="000B20B5">
            <w:pPr>
              <w:pStyle w:val="TableText"/>
            </w:pPr>
            <w:r>
              <w:t>Does the organisation have a process to identify a</w:t>
            </w:r>
            <w:r w:rsidRPr="00D42102">
              <w:t>ggregated purchasing</w:t>
            </w:r>
            <w:r>
              <w:t xml:space="preserve"> </w:t>
            </w:r>
            <w:r w:rsidRPr="00D42102">
              <w:t>opportunities</w:t>
            </w:r>
            <w:r>
              <w:t xml:space="preserve"> (state purchase contracts and/or sole entity purchase contracts)</w:t>
            </w:r>
          </w:p>
        </w:tc>
        <w:tc>
          <w:tcPr>
            <w:tcW w:w="1559" w:type="dxa"/>
          </w:tcPr>
          <w:p w14:paraId="326234F6" w14:textId="1DAAAA3F" w:rsidR="00C93639" w:rsidRDefault="00C93639" w:rsidP="000B20B5">
            <w:pPr>
              <w:pStyle w:val="TableText"/>
            </w:pPr>
            <w:r w:rsidRPr="00672CB8">
              <w:t>10 of 10</w:t>
            </w:r>
          </w:p>
        </w:tc>
      </w:tr>
      <w:tr w:rsidR="00C93639" w14:paraId="448AF9FA" w14:textId="77777777" w:rsidTr="00ED447C">
        <w:tc>
          <w:tcPr>
            <w:tcW w:w="6998" w:type="dxa"/>
            <w:vAlign w:val="center"/>
          </w:tcPr>
          <w:p w14:paraId="399C089D" w14:textId="77777777" w:rsidR="00C93639" w:rsidRDefault="00C93639" w:rsidP="000B20B5">
            <w:pPr>
              <w:pStyle w:val="TableText"/>
            </w:pPr>
            <w:r>
              <w:t>Does the organisation have an a</w:t>
            </w:r>
            <w:r w:rsidRPr="00D42102">
              <w:t>sset disposal process</w:t>
            </w:r>
            <w:r>
              <w:t>?</w:t>
            </w:r>
          </w:p>
        </w:tc>
        <w:tc>
          <w:tcPr>
            <w:tcW w:w="1559" w:type="dxa"/>
          </w:tcPr>
          <w:p w14:paraId="320352C4" w14:textId="3751EC48" w:rsidR="00C93639" w:rsidRDefault="00C93639" w:rsidP="000B20B5">
            <w:pPr>
              <w:pStyle w:val="TableText"/>
            </w:pPr>
            <w:r w:rsidRPr="00672CB8">
              <w:t>10 of 10</w:t>
            </w:r>
          </w:p>
        </w:tc>
      </w:tr>
    </w:tbl>
    <w:p w14:paraId="252602BE" w14:textId="77777777" w:rsidR="000C5F19" w:rsidRDefault="000C5F19" w:rsidP="005A2938">
      <w:pPr>
        <w:pStyle w:val="Heading4NoNum"/>
      </w:pPr>
      <w:r w:rsidRPr="009814EF">
        <w:t>Policy 4</w:t>
      </w:r>
      <w:r w:rsidR="00942FAA">
        <w:t xml:space="preserve">: </w:t>
      </w:r>
      <w:r w:rsidRPr="009814EF">
        <w:t>Market approach</w:t>
      </w:r>
    </w:p>
    <w:p w14:paraId="3E43FA48" w14:textId="3E798F9B" w:rsidR="00377104" w:rsidRDefault="000019EF" w:rsidP="00377104">
      <w:pPr>
        <w:pStyle w:val="Normal1"/>
        <w:rPr>
          <w:lang w:eastAsia="en-US"/>
        </w:rPr>
      </w:pPr>
      <w:r>
        <w:rPr>
          <w:lang w:eastAsia="en-US"/>
        </w:rPr>
        <w:t>Nine out of ten</w:t>
      </w:r>
      <w:r w:rsidR="00377104">
        <w:rPr>
          <w:lang w:eastAsia="en-US"/>
        </w:rPr>
        <w:t xml:space="preserve"> organisations</w:t>
      </w:r>
      <w:r w:rsidR="00FE6219">
        <w:rPr>
          <w:lang w:eastAsia="en-US"/>
        </w:rPr>
        <w:t xml:space="preserve"> reported </w:t>
      </w:r>
      <w:r w:rsidR="00377104">
        <w:rPr>
          <w:lang w:eastAsia="en-US"/>
        </w:rPr>
        <w:t>compli</w:t>
      </w:r>
      <w:r w:rsidR="00FE6219">
        <w:rPr>
          <w:lang w:eastAsia="en-US"/>
        </w:rPr>
        <w:t>ance</w:t>
      </w:r>
      <w:r w:rsidR="00377104">
        <w:rPr>
          <w:lang w:eastAsia="en-US"/>
        </w:rPr>
        <w:t xml:space="preserve"> with the requirements </w:t>
      </w:r>
      <w:r w:rsidR="00D77728">
        <w:rPr>
          <w:lang w:eastAsia="en-US"/>
        </w:rPr>
        <w:t xml:space="preserve">of </w:t>
      </w:r>
      <w:r w:rsidR="00377104">
        <w:rPr>
          <w:lang w:eastAsia="en-US"/>
        </w:rPr>
        <w:t>this policy.</w:t>
      </w:r>
    </w:p>
    <w:p w14:paraId="5B639899" w14:textId="456E2641" w:rsidR="00CC3A88" w:rsidRDefault="00CC3A88" w:rsidP="001A35BC">
      <w:pPr>
        <w:pStyle w:val="Normal1"/>
      </w:pPr>
      <w:r w:rsidRPr="00042FEA">
        <w:rPr>
          <w:lang w:eastAsia="en-US"/>
        </w:rPr>
        <w:t xml:space="preserve">The Department of </w:t>
      </w:r>
      <w:r w:rsidRPr="00042FEA">
        <w:rPr>
          <w:rFonts w:asciiTheme="majorHAnsi" w:hAnsiTheme="majorHAnsi" w:cstheme="majorHAnsi"/>
          <w:bCs/>
        </w:rPr>
        <w:t xml:space="preserve">Jobs, Precincts and Regions identified </w:t>
      </w:r>
      <w:r w:rsidR="00D15839">
        <w:rPr>
          <w:rFonts w:asciiTheme="majorHAnsi" w:hAnsiTheme="majorHAnsi" w:cstheme="majorHAnsi"/>
          <w:bCs/>
        </w:rPr>
        <w:t xml:space="preserve">instances of </w:t>
      </w:r>
      <w:r w:rsidRPr="00042FEA">
        <w:rPr>
          <w:rFonts w:asciiTheme="majorHAnsi" w:hAnsiTheme="majorHAnsi" w:cstheme="majorHAnsi"/>
          <w:bCs/>
        </w:rPr>
        <w:t xml:space="preserve">non-compliance related to </w:t>
      </w:r>
      <w:r w:rsidR="00042FEA">
        <w:t>c</w:t>
      </w:r>
      <w:r w:rsidR="00042FEA" w:rsidRPr="00042FEA">
        <w:t xml:space="preserve">ontracts and variations </w:t>
      </w:r>
      <w:r w:rsidR="000D048F">
        <w:t xml:space="preserve">being </w:t>
      </w:r>
      <w:r w:rsidR="00042FEA" w:rsidRPr="00042FEA">
        <w:t>entered into without obtaining appropriate approvals</w:t>
      </w:r>
      <w:r w:rsidR="000D048F">
        <w:t xml:space="preserve">. </w:t>
      </w:r>
      <w:r w:rsidR="00881B55">
        <w:t>The department is working on improving compliance and procurement capability through activities such as an external review of its procurement operating model, introducing Oracle Cloud contract module with mandatory training, and rolling out online procurement training sessions.</w:t>
      </w:r>
    </w:p>
    <w:p w14:paraId="50E56C07" w14:textId="1A556A47" w:rsidR="000C5F19" w:rsidRDefault="000C5F19" w:rsidP="003D31F5">
      <w:pPr>
        <w:pStyle w:val="Caption"/>
      </w:pPr>
      <w:bookmarkStart w:id="73" w:name="_Toc17130194"/>
      <w:bookmarkStart w:id="74" w:name="_Toc48837140"/>
      <w:bookmarkStart w:id="75" w:name="_Toc49185530"/>
      <w:r>
        <w:t xml:space="preserve">Table </w:t>
      </w:r>
      <w:r w:rsidR="00BE0754">
        <w:fldChar w:fldCharType="begin"/>
      </w:r>
      <w:r w:rsidR="00BE0754">
        <w:instrText xml:space="preserve"> SEQ Table \* ARABIC </w:instrText>
      </w:r>
      <w:r w:rsidR="00BE0754">
        <w:fldChar w:fldCharType="separate"/>
      </w:r>
      <w:r w:rsidR="00152B74">
        <w:rPr>
          <w:noProof/>
        </w:rPr>
        <w:t>7</w:t>
      </w:r>
      <w:r w:rsidR="00BE0754">
        <w:rPr>
          <w:noProof/>
        </w:rPr>
        <w:fldChar w:fldCharType="end"/>
      </w:r>
      <w:r>
        <w:t>: Compliance with m</w:t>
      </w:r>
      <w:r w:rsidRPr="009814EF">
        <w:t xml:space="preserve">arket </w:t>
      </w:r>
      <w:r w:rsidR="00F366E9">
        <w:t>approach</w:t>
      </w:r>
      <w:r>
        <w:t xml:space="preserve"> requirements in </w:t>
      </w:r>
      <w:r w:rsidR="00371FD3">
        <w:t>2019–20</w:t>
      </w:r>
      <w:bookmarkEnd w:id="73"/>
      <w:bookmarkEnd w:id="74"/>
      <w:bookmarkEnd w:id="75"/>
    </w:p>
    <w:tbl>
      <w:tblPr>
        <w:tblStyle w:val="TableGrid"/>
        <w:tblW w:w="8557" w:type="dxa"/>
        <w:tblInd w:w="794" w:type="dxa"/>
        <w:tblLook w:val="04A0" w:firstRow="1" w:lastRow="0" w:firstColumn="1" w:lastColumn="0" w:noHBand="0" w:noVBand="1"/>
      </w:tblPr>
      <w:tblGrid>
        <w:gridCol w:w="6998"/>
        <w:gridCol w:w="1559"/>
      </w:tblGrid>
      <w:tr w:rsidR="000C5F19" w:rsidRPr="00213A2B" w14:paraId="2D5F169D" w14:textId="77777777" w:rsidTr="00ED447C">
        <w:tc>
          <w:tcPr>
            <w:tcW w:w="6998" w:type="dxa"/>
            <w:shd w:val="clear" w:color="auto" w:fill="BFBFBF" w:themeFill="background1" w:themeFillShade="BF"/>
          </w:tcPr>
          <w:p w14:paraId="0C6E3A83" w14:textId="77777777" w:rsidR="000C5F19" w:rsidRPr="00213A2B" w:rsidRDefault="000C5F19" w:rsidP="00ED447C">
            <w:pPr>
              <w:pStyle w:val="TableHeader"/>
            </w:pPr>
            <w:r w:rsidRPr="00213A2B">
              <w:t xml:space="preserve">Policy </w:t>
            </w:r>
            <w:r w:rsidR="00ED2FE3">
              <w:t>requirement</w:t>
            </w:r>
          </w:p>
        </w:tc>
        <w:tc>
          <w:tcPr>
            <w:tcW w:w="1559" w:type="dxa"/>
            <w:shd w:val="clear" w:color="auto" w:fill="BFBFBF" w:themeFill="background1" w:themeFillShade="BF"/>
          </w:tcPr>
          <w:p w14:paraId="7BC771A1" w14:textId="77777777" w:rsidR="000C5F19" w:rsidRPr="00213A2B" w:rsidRDefault="000C5F19" w:rsidP="00ED447C">
            <w:pPr>
              <w:pStyle w:val="TableHeader"/>
            </w:pPr>
            <w:r w:rsidRPr="00213A2B">
              <w:t>Organisations complying</w:t>
            </w:r>
          </w:p>
        </w:tc>
      </w:tr>
      <w:tr w:rsidR="00C93639" w14:paraId="00145380" w14:textId="77777777" w:rsidTr="00ED447C">
        <w:tc>
          <w:tcPr>
            <w:tcW w:w="6998" w:type="dxa"/>
            <w:vAlign w:val="center"/>
          </w:tcPr>
          <w:p w14:paraId="33F358E2" w14:textId="77777777" w:rsidR="00C93639" w:rsidRDefault="00C93639" w:rsidP="000B20B5">
            <w:pPr>
              <w:pStyle w:val="TableText"/>
            </w:pPr>
            <w:r>
              <w:t>Does the organisation have a m</w:t>
            </w:r>
            <w:r w:rsidRPr="00D42102">
              <w:t>arket approach strategy</w:t>
            </w:r>
            <w:r>
              <w:t>?</w:t>
            </w:r>
          </w:p>
        </w:tc>
        <w:tc>
          <w:tcPr>
            <w:tcW w:w="1559" w:type="dxa"/>
          </w:tcPr>
          <w:p w14:paraId="19A59365" w14:textId="51F8EFE0" w:rsidR="00C93639" w:rsidRDefault="00C93639" w:rsidP="000B20B5">
            <w:pPr>
              <w:pStyle w:val="TableText"/>
            </w:pPr>
            <w:r w:rsidRPr="00F27BA2">
              <w:t>10 of 10</w:t>
            </w:r>
          </w:p>
        </w:tc>
      </w:tr>
      <w:tr w:rsidR="00C93639" w14:paraId="6BA26F80" w14:textId="77777777" w:rsidTr="00ED447C">
        <w:tc>
          <w:tcPr>
            <w:tcW w:w="6998" w:type="dxa"/>
            <w:vAlign w:val="center"/>
          </w:tcPr>
          <w:p w14:paraId="26D405C1" w14:textId="77777777" w:rsidR="00C93639" w:rsidRDefault="00C93639" w:rsidP="000B20B5">
            <w:pPr>
              <w:pStyle w:val="TableText"/>
            </w:pPr>
            <w:r>
              <w:t>Does the organisation have c</w:t>
            </w:r>
            <w:r w:rsidRPr="00D42102">
              <w:t>ritical incidents protocols and processes</w:t>
            </w:r>
          </w:p>
        </w:tc>
        <w:tc>
          <w:tcPr>
            <w:tcW w:w="1559" w:type="dxa"/>
          </w:tcPr>
          <w:p w14:paraId="2EED960E" w14:textId="56175238" w:rsidR="00C93639" w:rsidRDefault="00C93639" w:rsidP="000B20B5">
            <w:pPr>
              <w:pStyle w:val="TableText"/>
            </w:pPr>
            <w:r w:rsidRPr="00F27BA2">
              <w:t>10 of 10</w:t>
            </w:r>
          </w:p>
        </w:tc>
      </w:tr>
      <w:tr w:rsidR="00C93639" w14:paraId="4942843F" w14:textId="77777777" w:rsidTr="00ED447C">
        <w:tc>
          <w:tcPr>
            <w:tcW w:w="6998" w:type="dxa"/>
            <w:vAlign w:val="center"/>
          </w:tcPr>
          <w:p w14:paraId="519C683A" w14:textId="77777777" w:rsidR="00C93639" w:rsidRDefault="00C93639" w:rsidP="000B20B5">
            <w:pPr>
              <w:pStyle w:val="TableText"/>
            </w:pPr>
            <w:r>
              <w:t xml:space="preserve">Were all critical incidents managed in accordance with the market approach policy? </w:t>
            </w:r>
          </w:p>
        </w:tc>
        <w:tc>
          <w:tcPr>
            <w:tcW w:w="1559" w:type="dxa"/>
          </w:tcPr>
          <w:p w14:paraId="7857541B" w14:textId="57BA131F" w:rsidR="00C93639" w:rsidRDefault="00C93639" w:rsidP="000B20B5">
            <w:pPr>
              <w:pStyle w:val="TableText"/>
            </w:pPr>
            <w:r w:rsidRPr="00F27BA2">
              <w:t>10 of 10</w:t>
            </w:r>
          </w:p>
        </w:tc>
      </w:tr>
      <w:tr w:rsidR="00C93639" w14:paraId="7235079A" w14:textId="77777777" w:rsidTr="00ED447C">
        <w:tc>
          <w:tcPr>
            <w:tcW w:w="6998" w:type="dxa"/>
            <w:vAlign w:val="center"/>
          </w:tcPr>
          <w:p w14:paraId="17D84938" w14:textId="77777777" w:rsidR="00C93639" w:rsidRDefault="00C93639" w:rsidP="000B20B5">
            <w:pPr>
              <w:pStyle w:val="TableText"/>
            </w:pPr>
            <w:r>
              <w:t>Does the organisation have an e</w:t>
            </w:r>
            <w:r w:rsidRPr="00D42102">
              <w:t>valuation plan, supplier negotiation and selection process</w:t>
            </w:r>
            <w:r>
              <w:t>?</w:t>
            </w:r>
          </w:p>
        </w:tc>
        <w:tc>
          <w:tcPr>
            <w:tcW w:w="1559" w:type="dxa"/>
          </w:tcPr>
          <w:p w14:paraId="5F7DA523" w14:textId="187C71DE" w:rsidR="00C93639" w:rsidRDefault="00C93639" w:rsidP="000B20B5">
            <w:pPr>
              <w:pStyle w:val="TableText"/>
            </w:pPr>
            <w:r w:rsidRPr="00F27BA2">
              <w:t>10 of 10</w:t>
            </w:r>
          </w:p>
        </w:tc>
      </w:tr>
      <w:tr w:rsidR="00C93639" w14:paraId="32F7362D" w14:textId="77777777" w:rsidTr="00ED447C">
        <w:tc>
          <w:tcPr>
            <w:tcW w:w="6998" w:type="dxa"/>
            <w:vAlign w:val="center"/>
          </w:tcPr>
          <w:p w14:paraId="7771A19E" w14:textId="77777777" w:rsidR="00C93639" w:rsidRDefault="00C93639" w:rsidP="000B20B5">
            <w:pPr>
              <w:pStyle w:val="TableText"/>
            </w:pPr>
            <w:r>
              <w:t xml:space="preserve">Were all market submissions managed in compliance with the market approach policy? </w:t>
            </w:r>
          </w:p>
        </w:tc>
        <w:tc>
          <w:tcPr>
            <w:tcW w:w="1559" w:type="dxa"/>
          </w:tcPr>
          <w:p w14:paraId="5D522235" w14:textId="77BA128F" w:rsidR="00C93639" w:rsidRDefault="00CC3A88" w:rsidP="000B20B5">
            <w:pPr>
              <w:pStyle w:val="TableText"/>
            </w:pPr>
            <w:r>
              <w:t>9</w:t>
            </w:r>
            <w:r w:rsidR="00C93639" w:rsidRPr="00F27BA2">
              <w:t xml:space="preserve"> of 10</w:t>
            </w:r>
          </w:p>
        </w:tc>
      </w:tr>
    </w:tbl>
    <w:p w14:paraId="50E63DE7" w14:textId="14100900" w:rsidR="0045666D" w:rsidRDefault="0045666D" w:rsidP="00D30E1B">
      <w:pPr>
        <w:pStyle w:val="Tablenotes"/>
      </w:pPr>
      <w:r>
        <w:t xml:space="preserve">Note: </w:t>
      </w:r>
      <w:r w:rsidR="009313BF">
        <w:t xml:space="preserve">Nine organisations </w:t>
      </w:r>
      <w:r>
        <w:t xml:space="preserve">purchased goods and services under the critical incident policy in </w:t>
      </w:r>
      <w:r w:rsidR="00371FD3">
        <w:t>2019–20</w:t>
      </w:r>
      <w:r w:rsidR="003D31F5">
        <w:t>.</w:t>
      </w:r>
    </w:p>
    <w:p w14:paraId="2BE1B3CA" w14:textId="77777777" w:rsidR="000C5F19" w:rsidRDefault="000C5F19" w:rsidP="005A2938">
      <w:pPr>
        <w:pStyle w:val="Heading4NoNum"/>
      </w:pPr>
      <w:r w:rsidRPr="009814EF">
        <w:lastRenderedPageBreak/>
        <w:t>Policy 5</w:t>
      </w:r>
      <w:r w:rsidR="00942FAA">
        <w:t>:</w:t>
      </w:r>
      <w:r w:rsidRPr="009814EF">
        <w:t xml:space="preserve"> Contract management and contract disclosure</w:t>
      </w:r>
    </w:p>
    <w:p w14:paraId="0CBB234E" w14:textId="5AB218CC" w:rsidR="00377104" w:rsidRDefault="00DB79C3" w:rsidP="00377104">
      <w:pPr>
        <w:pStyle w:val="Normal1"/>
        <w:rPr>
          <w:lang w:eastAsia="en-US"/>
        </w:rPr>
      </w:pPr>
      <w:r>
        <w:rPr>
          <w:lang w:eastAsia="en-US"/>
        </w:rPr>
        <w:t xml:space="preserve">Three organisations did not fully comply with </w:t>
      </w:r>
      <w:r w:rsidR="005A2938">
        <w:rPr>
          <w:lang w:eastAsia="en-US"/>
        </w:rPr>
        <w:t xml:space="preserve">the </w:t>
      </w:r>
      <w:r w:rsidR="00377104">
        <w:rPr>
          <w:lang w:eastAsia="en-US"/>
        </w:rPr>
        <w:t xml:space="preserve">requirements </w:t>
      </w:r>
      <w:r w:rsidR="00D77728">
        <w:rPr>
          <w:lang w:eastAsia="en-US"/>
        </w:rPr>
        <w:t>of</w:t>
      </w:r>
      <w:r w:rsidR="00377104">
        <w:rPr>
          <w:lang w:eastAsia="en-US"/>
        </w:rPr>
        <w:t xml:space="preserve"> this policy.</w:t>
      </w:r>
    </w:p>
    <w:p w14:paraId="7EBDBD25" w14:textId="2DBE5951" w:rsidR="00A91166" w:rsidRDefault="00377104" w:rsidP="007478CF">
      <w:pPr>
        <w:pStyle w:val="Normal1"/>
      </w:pPr>
      <w:bookmarkStart w:id="76" w:name="_Hlk45525347"/>
      <w:r w:rsidRPr="007478CF">
        <w:rPr>
          <w:rStyle w:val="st"/>
        </w:rPr>
        <w:t xml:space="preserve">The Department of </w:t>
      </w:r>
      <w:r w:rsidRPr="007478CF">
        <w:t xml:space="preserve">Environment, </w:t>
      </w:r>
      <w:r w:rsidR="00856337" w:rsidRPr="007478CF">
        <w:t xml:space="preserve">Land, </w:t>
      </w:r>
      <w:r w:rsidRPr="007478CF">
        <w:t>Water and Planning</w:t>
      </w:r>
      <w:r w:rsidR="007478CF" w:rsidRPr="007478CF">
        <w:t xml:space="preserve"> </w:t>
      </w:r>
      <w:r w:rsidR="00375F6C">
        <w:t xml:space="preserve">had </w:t>
      </w:r>
      <w:r w:rsidR="008A2411">
        <w:t xml:space="preserve">several </w:t>
      </w:r>
      <w:r w:rsidR="001C109A">
        <w:t xml:space="preserve">instances of non-compliance </w:t>
      </w:r>
      <w:r w:rsidR="00550A3B">
        <w:t>b</w:t>
      </w:r>
      <w:r w:rsidR="00375F6C">
        <w:t xml:space="preserve">reaches related to contract management. As a result, contract management training is now mandatory </w:t>
      </w:r>
      <w:r w:rsidR="00375F6C" w:rsidRPr="007478CF">
        <w:t>for contract managers</w:t>
      </w:r>
      <w:r w:rsidR="00375F6C">
        <w:t xml:space="preserve"> in some </w:t>
      </w:r>
      <w:r w:rsidR="007478CF" w:rsidRPr="007478CF">
        <w:t>business units</w:t>
      </w:r>
      <w:r w:rsidR="00375F6C">
        <w:t>.</w:t>
      </w:r>
    </w:p>
    <w:p w14:paraId="536EA020" w14:textId="7A7539C3" w:rsidR="007478CF" w:rsidRPr="007478CF" w:rsidRDefault="00375F6C" w:rsidP="007478CF">
      <w:pPr>
        <w:pStyle w:val="Normal1"/>
      </w:pPr>
      <w:r>
        <w:t xml:space="preserve">The department </w:t>
      </w:r>
      <w:r w:rsidR="008A2411">
        <w:t xml:space="preserve">is planning to </w:t>
      </w:r>
      <w:r>
        <w:t>roll out a</w:t>
      </w:r>
      <w:r w:rsidR="007478CF" w:rsidRPr="007478CF">
        <w:t xml:space="preserve"> new sourcing and contract management tool (Zycus) in late 2020</w:t>
      </w:r>
      <w:r w:rsidR="00676645">
        <w:t>,</w:t>
      </w:r>
      <w:r>
        <w:t xml:space="preserve"> which will provide greater visibility and structure over contract management.</w:t>
      </w:r>
      <w:r w:rsidR="00D15839">
        <w:t xml:space="preserve"> Zycus is being implemented </w:t>
      </w:r>
      <w:r w:rsidR="00D15839">
        <w:rPr>
          <w:rFonts w:ascii="Segoe UI" w:hAnsi="Segoe UI" w:cs="Segoe UI"/>
          <w:sz w:val="21"/>
          <w:szCs w:val="21"/>
        </w:rPr>
        <w:t>a</w:t>
      </w:r>
      <w:r w:rsidR="00D15839" w:rsidRPr="00D15839">
        <w:rPr>
          <w:rFonts w:ascii="Segoe UI" w:hAnsi="Segoe UI" w:cs="Segoe UI"/>
          <w:sz w:val="21"/>
          <w:szCs w:val="21"/>
        </w:rPr>
        <w:t>s part of a fully integrated solution which includes SAP, Oracle and a number of other technologies</w:t>
      </w:r>
      <w:r w:rsidR="00D15839">
        <w:rPr>
          <w:rFonts w:ascii="Segoe UI" w:hAnsi="Segoe UI" w:cs="Segoe UI"/>
          <w:sz w:val="21"/>
          <w:szCs w:val="21"/>
        </w:rPr>
        <w:t>. I</w:t>
      </w:r>
      <w:r w:rsidR="00D15839">
        <w:t xml:space="preserve">mplementation was originally planned for 2019–20, but took longer to test than anticipated due to the complexity of the system. </w:t>
      </w:r>
    </w:p>
    <w:p w14:paraId="328B74B6" w14:textId="5350FD19" w:rsidR="007478CF" w:rsidRDefault="007478CF" w:rsidP="00DB79C3">
      <w:pPr>
        <w:pStyle w:val="Normal1"/>
      </w:pPr>
      <w:r w:rsidRPr="007478CF">
        <w:t xml:space="preserve">The department </w:t>
      </w:r>
      <w:r w:rsidR="00375F6C">
        <w:t xml:space="preserve">also published a few contracts after 60 days on the </w:t>
      </w:r>
      <w:r w:rsidR="00375F6C">
        <w:rPr>
          <w:rStyle w:val="st"/>
        </w:rPr>
        <w:t xml:space="preserve">Buying for Victoria Supplier Portal </w:t>
      </w:r>
      <w:r w:rsidR="00375F6C">
        <w:t xml:space="preserve">website. The department </w:t>
      </w:r>
      <w:r w:rsidRPr="007478CF">
        <w:t>regularly reconciles its contracts database with the contracts publishing system and follows up any instances of non-disclosure with the appropriate contract managers to arrange publishing as soon as possible</w:t>
      </w:r>
      <w:r w:rsidR="00D15839">
        <w:t>. However, this occasionally results in publishing</w:t>
      </w:r>
      <w:r w:rsidRPr="007478CF">
        <w:t xml:space="preserve"> after the 60-day period. </w:t>
      </w:r>
      <w:r w:rsidR="00D15839">
        <w:t xml:space="preserve">The </w:t>
      </w:r>
      <w:r w:rsidR="00375F6C">
        <w:t>Zycus</w:t>
      </w:r>
      <w:r w:rsidR="00D15839">
        <w:t xml:space="preserve"> procurement system implementation</w:t>
      </w:r>
      <w:r w:rsidR="00375F6C">
        <w:t xml:space="preserve"> will improve this process.</w:t>
      </w:r>
    </w:p>
    <w:p w14:paraId="2FCC54C9" w14:textId="23D868C3" w:rsidR="007C7471" w:rsidRDefault="00375F6C" w:rsidP="00DB79C3">
      <w:pPr>
        <w:pStyle w:val="Normal1"/>
      </w:pPr>
      <w:r>
        <w:t>After machinery of government changes, the Department of Transport needed to merge three</w:t>
      </w:r>
      <w:r w:rsidR="00DB79C3">
        <w:t xml:space="preserve"> procurement systems</w:t>
      </w:r>
      <w:r>
        <w:t xml:space="preserve"> and</w:t>
      </w:r>
      <w:r w:rsidR="00DB79C3">
        <w:t xml:space="preserve"> could not confirm that all contracts were managed in compliance with the contract management policy, due to a lack of visibility in </w:t>
      </w:r>
      <w:r>
        <w:t xml:space="preserve">these </w:t>
      </w:r>
      <w:r w:rsidR="00DB79C3">
        <w:t>systems. This is being addressed by implementing Zycus.</w:t>
      </w:r>
    </w:p>
    <w:p w14:paraId="2D0C0521" w14:textId="4037BE0E" w:rsidR="008B18FE" w:rsidRDefault="008B18FE" w:rsidP="00377104">
      <w:pPr>
        <w:pStyle w:val="Normal1"/>
      </w:pPr>
      <w:r>
        <w:t>The department also failed to disclose all contracts within 60 days. It is working through a backlog of contracts and will ensure all contracts are published by 31</w:t>
      </w:r>
      <w:r w:rsidR="00FE3B3A">
        <w:t> </w:t>
      </w:r>
      <w:r>
        <w:t>July</w:t>
      </w:r>
      <w:r w:rsidR="00FE3B3A">
        <w:t> </w:t>
      </w:r>
      <w:r>
        <w:t>2020.</w:t>
      </w:r>
    </w:p>
    <w:p w14:paraId="12230CEB" w14:textId="70D3FB32" w:rsidR="00C93639" w:rsidRDefault="00C93639" w:rsidP="00377104">
      <w:pPr>
        <w:pStyle w:val="Normal1"/>
        <w:rPr>
          <w:lang w:eastAsia="en-US"/>
        </w:rPr>
      </w:pPr>
      <w:r>
        <w:t xml:space="preserve">The Department of Education and Training </w:t>
      </w:r>
      <w:r w:rsidR="00750CAA">
        <w:t xml:space="preserve">identified active contracts that did not have valid insurance certificates of currency on file. </w:t>
      </w:r>
      <w:r w:rsidR="00517145">
        <w:t xml:space="preserve">The department has mandated </w:t>
      </w:r>
      <w:r w:rsidR="00517145" w:rsidRPr="009D42CE">
        <w:rPr>
          <w:lang w:eastAsia="en-US"/>
        </w:rPr>
        <w:t xml:space="preserve">contract management training for contract managers of </w:t>
      </w:r>
      <w:proofErr w:type="gramStart"/>
      <w:r w:rsidR="00517145" w:rsidRPr="009D42CE">
        <w:rPr>
          <w:lang w:eastAsia="en-US"/>
        </w:rPr>
        <w:t>high</w:t>
      </w:r>
      <w:r w:rsidR="00FE3B3A">
        <w:rPr>
          <w:lang w:eastAsia="en-US"/>
        </w:rPr>
        <w:t>-</w:t>
      </w:r>
      <w:r w:rsidR="00517145" w:rsidRPr="009D42CE">
        <w:rPr>
          <w:lang w:eastAsia="en-US"/>
        </w:rPr>
        <w:t>value</w:t>
      </w:r>
      <w:proofErr w:type="gramEnd"/>
      <w:r w:rsidR="00517145" w:rsidRPr="009D42CE">
        <w:rPr>
          <w:lang w:eastAsia="en-US"/>
        </w:rPr>
        <w:t>/complexity engagements</w:t>
      </w:r>
      <w:r w:rsidR="00517145">
        <w:rPr>
          <w:lang w:eastAsia="en-US"/>
        </w:rPr>
        <w:t xml:space="preserve"> and u</w:t>
      </w:r>
      <w:r w:rsidR="00517145" w:rsidRPr="009D42CE">
        <w:rPr>
          <w:lang w:eastAsia="en-US"/>
        </w:rPr>
        <w:t xml:space="preserve">pdated procurement document templates to highlight </w:t>
      </w:r>
      <w:r w:rsidR="00D515FA">
        <w:rPr>
          <w:lang w:eastAsia="en-US"/>
        </w:rPr>
        <w:t xml:space="preserve">the </w:t>
      </w:r>
      <w:r w:rsidR="00517145" w:rsidRPr="009D42CE">
        <w:rPr>
          <w:lang w:eastAsia="en-US"/>
        </w:rPr>
        <w:t>need for valid insurance certificates to be held on file by contract managers.</w:t>
      </w:r>
    </w:p>
    <w:p w14:paraId="0F58A640" w14:textId="0BDF010B" w:rsidR="00881B55" w:rsidRPr="008B18FE" w:rsidRDefault="00881B55" w:rsidP="00377104">
      <w:pPr>
        <w:pStyle w:val="Normal1"/>
      </w:pPr>
      <w:r>
        <w:rPr>
          <w:lang w:eastAsia="en-US"/>
        </w:rPr>
        <w:t xml:space="preserve">The Department of Jobs, Precincts and Regions </w:t>
      </w:r>
      <w:r>
        <w:t xml:space="preserve">disclosed all contracts as required, but </w:t>
      </w:r>
      <w:r w:rsidR="00023C07">
        <w:t>some contracts were</w:t>
      </w:r>
      <w:r w:rsidR="00023C07" w:rsidRPr="00023C07">
        <w:t xml:space="preserve"> published outside the 60</w:t>
      </w:r>
      <w:r w:rsidR="00023C07">
        <w:t>-</w:t>
      </w:r>
      <w:r w:rsidR="00023C07" w:rsidRPr="00023C07">
        <w:t>day period due to resourcing changes and operational constraints.</w:t>
      </w:r>
    </w:p>
    <w:p w14:paraId="3F0FAA18" w14:textId="20CF8CF4" w:rsidR="000C5F19" w:rsidRPr="000C5F19" w:rsidRDefault="000C5F19" w:rsidP="003D31F5">
      <w:pPr>
        <w:pStyle w:val="Caption"/>
        <w:rPr>
          <w:lang w:eastAsia="en-US"/>
        </w:rPr>
      </w:pPr>
      <w:bookmarkStart w:id="77" w:name="_Toc17130195"/>
      <w:bookmarkStart w:id="78" w:name="_Toc48837141"/>
      <w:bookmarkStart w:id="79" w:name="_Toc49185531"/>
      <w:bookmarkEnd w:id="76"/>
      <w:r>
        <w:t xml:space="preserve">Table </w:t>
      </w:r>
      <w:r w:rsidR="00BE0754">
        <w:fldChar w:fldCharType="begin"/>
      </w:r>
      <w:r w:rsidR="00BE0754">
        <w:instrText xml:space="preserve"> SEQ Table \* ARABIC </w:instrText>
      </w:r>
      <w:r w:rsidR="00BE0754">
        <w:fldChar w:fldCharType="separate"/>
      </w:r>
      <w:r w:rsidR="00152B74">
        <w:rPr>
          <w:noProof/>
        </w:rPr>
        <w:t>8</w:t>
      </w:r>
      <w:r w:rsidR="00BE0754">
        <w:rPr>
          <w:noProof/>
        </w:rPr>
        <w:fldChar w:fldCharType="end"/>
      </w:r>
      <w:r>
        <w:t>: Compliance with c</w:t>
      </w:r>
      <w:r w:rsidRPr="009814EF">
        <w:t>ontract management and disclosure</w:t>
      </w:r>
      <w:r>
        <w:t xml:space="preserve"> requirements in </w:t>
      </w:r>
      <w:r w:rsidR="00371FD3">
        <w:t>2019–20</w:t>
      </w:r>
      <w:bookmarkEnd w:id="77"/>
      <w:bookmarkEnd w:id="78"/>
      <w:bookmarkEnd w:id="79"/>
    </w:p>
    <w:tbl>
      <w:tblPr>
        <w:tblStyle w:val="TableGrid"/>
        <w:tblW w:w="8557" w:type="dxa"/>
        <w:tblInd w:w="794" w:type="dxa"/>
        <w:tblLayout w:type="fixed"/>
        <w:tblLook w:val="04A0" w:firstRow="1" w:lastRow="0" w:firstColumn="1" w:lastColumn="0" w:noHBand="0" w:noVBand="1"/>
      </w:tblPr>
      <w:tblGrid>
        <w:gridCol w:w="6998"/>
        <w:gridCol w:w="1559"/>
      </w:tblGrid>
      <w:tr w:rsidR="000C5F19" w:rsidRPr="00213A2B" w14:paraId="672BC39C" w14:textId="77777777" w:rsidTr="00ED447C">
        <w:tc>
          <w:tcPr>
            <w:tcW w:w="6998" w:type="dxa"/>
            <w:shd w:val="clear" w:color="auto" w:fill="BFBFBF" w:themeFill="background1" w:themeFillShade="BF"/>
          </w:tcPr>
          <w:p w14:paraId="56FD2738" w14:textId="77777777" w:rsidR="000C5F19" w:rsidRPr="00213A2B" w:rsidRDefault="000C5F19" w:rsidP="00ED447C">
            <w:pPr>
              <w:pStyle w:val="TableHeader"/>
            </w:pPr>
            <w:r w:rsidRPr="00213A2B">
              <w:t xml:space="preserve">Policy </w:t>
            </w:r>
            <w:r w:rsidR="00ED2FE3">
              <w:t>requirement</w:t>
            </w:r>
          </w:p>
        </w:tc>
        <w:tc>
          <w:tcPr>
            <w:tcW w:w="1559" w:type="dxa"/>
            <w:shd w:val="clear" w:color="auto" w:fill="BFBFBF" w:themeFill="background1" w:themeFillShade="BF"/>
          </w:tcPr>
          <w:p w14:paraId="48D67AA4" w14:textId="77777777" w:rsidR="000C5F19" w:rsidRPr="00213A2B" w:rsidRDefault="000C5F19" w:rsidP="00ED447C">
            <w:pPr>
              <w:pStyle w:val="TableHeader"/>
            </w:pPr>
            <w:r w:rsidRPr="00213A2B">
              <w:t>Organisations complying</w:t>
            </w:r>
          </w:p>
        </w:tc>
      </w:tr>
      <w:tr w:rsidR="00377104" w14:paraId="09761C0C" w14:textId="77777777" w:rsidTr="00ED447C">
        <w:tc>
          <w:tcPr>
            <w:tcW w:w="6998" w:type="dxa"/>
            <w:vAlign w:val="center"/>
          </w:tcPr>
          <w:p w14:paraId="14FC364E" w14:textId="77777777" w:rsidR="00377104" w:rsidRDefault="00377104" w:rsidP="000B20B5">
            <w:pPr>
              <w:pStyle w:val="TableText"/>
            </w:pPr>
            <w:r>
              <w:t xml:space="preserve">Does the organisation </w:t>
            </w:r>
            <w:r w:rsidRPr="004E0F49">
              <w:t xml:space="preserve">have a contract management </w:t>
            </w:r>
            <w:r>
              <w:t>framework</w:t>
            </w:r>
            <w:r w:rsidRPr="004E0F49">
              <w:t>?</w:t>
            </w:r>
          </w:p>
        </w:tc>
        <w:tc>
          <w:tcPr>
            <w:tcW w:w="1559" w:type="dxa"/>
          </w:tcPr>
          <w:p w14:paraId="2ABC00C4" w14:textId="118A273E" w:rsidR="00377104" w:rsidRPr="004E0F49" w:rsidRDefault="00377104" w:rsidP="000B20B5">
            <w:pPr>
              <w:pStyle w:val="TableText"/>
            </w:pPr>
            <w:r w:rsidRPr="00352E47">
              <w:t>1</w:t>
            </w:r>
            <w:r w:rsidR="008B18FE">
              <w:t>0</w:t>
            </w:r>
            <w:r w:rsidRPr="00352E47">
              <w:t xml:space="preserve"> out of 1</w:t>
            </w:r>
            <w:r w:rsidR="008B18FE">
              <w:t>0</w:t>
            </w:r>
          </w:p>
        </w:tc>
      </w:tr>
      <w:tr w:rsidR="00377104" w14:paraId="6DC0B258" w14:textId="77777777" w:rsidTr="00ED447C">
        <w:tc>
          <w:tcPr>
            <w:tcW w:w="6998" w:type="dxa"/>
            <w:vAlign w:val="center"/>
          </w:tcPr>
          <w:p w14:paraId="131EBEB8" w14:textId="77777777" w:rsidR="00377104" w:rsidRDefault="00377104" w:rsidP="000B20B5">
            <w:pPr>
              <w:pStyle w:val="TableText"/>
            </w:pPr>
            <w:r>
              <w:t>Were all contracts managed in compliance with the contract management policy?</w:t>
            </w:r>
          </w:p>
        </w:tc>
        <w:tc>
          <w:tcPr>
            <w:tcW w:w="1559" w:type="dxa"/>
          </w:tcPr>
          <w:p w14:paraId="1D8761D4" w14:textId="3F696F82" w:rsidR="00377104" w:rsidRDefault="007478CF" w:rsidP="000B20B5">
            <w:pPr>
              <w:pStyle w:val="TableText"/>
            </w:pPr>
            <w:r>
              <w:t>7</w:t>
            </w:r>
            <w:r w:rsidR="008B18FE">
              <w:t xml:space="preserve"> </w:t>
            </w:r>
            <w:r w:rsidR="00377104" w:rsidRPr="00352E47">
              <w:t>out of 1</w:t>
            </w:r>
            <w:r w:rsidR="008B18FE">
              <w:t>0</w:t>
            </w:r>
          </w:p>
        </w:tc>
      </w:tr>
      <w:tr w:rsidR="00377104" w14:paraId="7D100E8B" w14:textId="77777777" w:rsidTr="00ED447C">
        <w:tc>
          <w:tcPr>
            <w:tcW w:w="6998" w:type="dxa"/>
            <w:vAlign w:val="center"/>
          </w:tcPr>
          <w:p w14:paraId="1486B9E1" w14:textId="77777777" w:rsidR="00377104" w:rsidRDefault="00377104" w:rsidP="000B20B5">
            <w:pPr>
              <w:pStyle w:val="TableText"/>
            </w:pPr>
            <w:r>
              <w:t>Does the organisation have a c</w:t>
            </w:r>
            <w:r w:rsidRPr="00D42102">
              <w:t>ontract disclosure process</w:t>
            </w:r>
            <w:r>
              <w:t>?</w:t>
            </w:r>
          </w:p>
        </w:tc>
        <w:tc>
          <w:tcPr>
            <w:tcW w:w="1559" w:type="dxa"/>
          </w:tcPr>
          <w:p w14:paraId="0F95B366" w14:textId="4983F50E" w:rsidR="00377104" w:rsidRDefault="00377104" w:rsidP="000B20B5">
            <w:pPr>
              <w:pStyle w:val="TableText"/>
            </w:pPr>
            <w:r w:rsidRPr="00352E47">
              <w:t>1</w:t>
            </w:r>
            <w:r w:rsidR="008B18FE">
              <w:t>0</w:t>
            </w:r>
            <w:r w:rsidRPr="00352E47">
              <w:t xml:space="preserve"> out of 1</w:t>
            </w:r>
            <w:r w:rsidR="008B18FE">
              <w:t>0</w:t>
            </w:r>
          </w:p>
        </w:tc>
      </w:tr>
      <w:tr w:rsidR="000C5F19" w14:paraId="782C7B01" w14:textId="77777777" w:rsidTr="00ED447C">
        <w:tc>
          <w:tcPr>
            <w:tcW w:w="6998" w:type="dxa"/>
          </w:tcPr>
          <w:p w14:paraId="6C0AD711" w14:textId="77777777" w:rsidR="000C5F19" w:rsidRDefault="00377104" w:rsidP="000B20B5">
            <w:pPr>
              <w:pStyle w:val="TableText"/>
            </w:pPr>
            <w:r>
              <w:t xml:space="preserve">Did the organisation </w:t>
            </w:r>
            <w:r w:rsidR="000C5F19">
              <w:t xml:space="preserve">disclose all contracts valued over $100 000 (incl. GST) within 60 days on the </w:t>
            </w:r>
            <w:r>
              <w:rPr>
                <w:rStyle w:val="st"/>
              </w:rPr>
              <w:t xml:space="preserve">Buying for Victoria Supplier Portal </w:t>
            </w:r>
            <w:r w:rsidR="000C5F19">
              <w:t>website?</w:t>
            </w:r>
          </w:p>
        </w:tc>
        <w:tc>
          <w:tcPr>
            <w:tcW w:w="1559" w:type="dxa"/>
          </w:tcPr>
          <w:p w14:paraId="76E988A8" w14:textId="08C22F84" w:rsidR="000C5F19" w:rsidRDefault="00881B55" w:rsidP="000B20B5">
            <w:pPr>
              <w:pStyle w:val="TableText"/>
            </w:pPr>
            <w:r>
              <w:t>7</w:t>
            </w:r>
            <w:r w:rsidR="00377104">
              <w:t xml:space="preserve"> out of 1</w:t>
            </w:r>
            <w:r w:rsidR="008B18FE">
              <w:t>0</w:t>
            </w:r>
          </w:p>
        </w:tc>
      </w:tr>
    </w:tbl>
    <w:p w14:paraId="5D77DDCE" w14:textId="77777777" w:rsidR="000C5F19" w:rsidRDefault="00377104" w:rsidP="00377104">
      <w:pPr>
        <w:pStyle w:val="Heading3NoNum"/>
      </w:pPr>
      <w:r w:rsidRPr="00666941">
        <w:t xml:space="preserve">Other mandatory requirements </w:t>
      </w:r>
      <w:r w:rsidR="005A2938">
        <w:t>–</w:t>
      </w:r>
      <w:r w:rsidRPr="00666941">
        <w:t xml:space="preserve"> Supplier Code of Conduct</w:t>
      </w:r>
    </w:p>
    <w:p w14:paraId="2918FB2D" w14:textId="7EE1B341" w:rsidR="001A35BC" w:rsidRDefault="00A72CBA" w:rsidP="000B7AF6">
      <w:pPr>
        <w:pStyle w:val="Normal1"/>
      </w:pPr>
      <w:r>
        <w:rPr>
          <w:lang w:eastAsia="en-US"/>
        </w:rPr>
        <w:t xml:space="preserve">All </w:t>
      </w:r>
      <w:r w:rsidR="000B7AF6">
        <w:rPr>
          <w:lang w:eastAsia="en-US"/>
        </w:rPr>
        <w:t xml:space="preserve">organisations </w:t>
      </w:r>
      <w:r>
        <w:t>included a requirement to sign a supplier code of conduct commitment letter in their market approaches</w:t>
      </w:r>
      <w:r w:rsidR="001A35BC">
        <w:t>.</w:t>
      </w:r>
    </w:p>
    <w:p w14:paraId="5A851F32" w14:textId="33A6C38B" w:rsidR="000B7AF6" w:rsidRDefault="001A35BC" w:rsidP="000B7AF6">
      <w:pPr>
        <w:pStyle w:val="Normal1"/>
      </w:pPr>
      <w:r>
        <w:t xml:space="preserve">Two organisations were not able to report compliance </w:t>
      </w:r>
      <w:r w:rsidR="00A72CBA">
        <w:t>with the requirement to exclude suppliers that failed to return a signed letter</w:t>
      </w:r>
      <w:r w:rsidR="00F638D4">
        <w:t xml:space="preserve"> for the following reasons:</w:t>
      </w:r>
    </w:p>
    <w:p w14:paraId="60E2CA8F" w14:textId="17A7EEC5" w:rsidR="00B93A1D" w:rsidRDefault="00B93A1D" w:rsidP="001A35BC">
      <w:pPr>
        <w:pStyle w:val="Bullet1"/>
      </w:pPr>
      <w:r>
        <w:t xml:space="preserve">The </w:t>
      </w:r>
      <w:r>
        <w:rPr>
          <w:lang w:eastAsia="en-US"/>
        </w:rPr>
        <w:t xml:space="preserve">Department of Transport </w:t>
      </w:r>
      <w:r w:rsidR="001A35BC">
        <w:rPr>
          <w:lang w:eastAsia="en-US"/>
        </w:rPr>
        <w:t>could not confirm compliance</w:t>
      </w:r>
      <w:r>
        <w:rPr>
          <w:lang w:eastAsia="en-US"/>
        </w:rPr>
        <w:t xml:space="preserve"> due to a lack of system functionality to measure </w:t>
      </w:r>
      <w:r w:rsidR="001A35BC">
        <w:rPr>
          <w:lang w:eastAsia="en-US"/>
        </w:rPr>
        <w:t>this requirement</w:t>
      </w:r>
      <w:r>
        <w:rPr>
          <w:lang w:eastAsia="en-US"/>
        </w:rPr>
        <w:t xml:space="preserve">. </w:t>
      </w:r>
      <w:r>
        <w:rPr>
          <w:sz w:val="21"/>
          <w:szCs w:val="21"/>
        </w:rPr>
        <w:t>The implementation of Zycus will rectify this shortfall.</w:t>
      </w:r>
    </w:p>
    <w:p w14:paraId="7BBECC80" w14:textId="1FA879F3" w:rsidR="00303F9C" w:rsidRPr="00F638D4" w:rsidRDefault="00303F9C" w:rsidP="00F638D4">
      <w:pPr>
        <w:pStyle w:val="Bullet1"/>
      </w:pPr>
      <w:r w:rsidRPr="00F638D4">
        <w:t xml:space="preserve">The Department of Justice and Community Safety noted </w:t>
      </w:r>
      <w:r w:rsidR="001F41FC" w:rsidRPr="00F638D4">
        <w:t xml:space="preserve">one </w:t>
      </w:r>
      <w:r w:rsidRPr="00F638D4">
        <w:t xml:space="preserve">instance where </w:t>
      </w:r>
      <w:r w:rsidR="001F41FC" w:rsidRPr="00F638D4">
        <w:t xml:space="preserve">a </w:t>
      </w:r>
      <w:r w:rsidRPr="00F638D4">
        <w:t>supplier</w:t>
      </w:r>
      <w:r w:rsidR="001F41FC" w:rsidRPr="00F638D4">
        <w:t xml:space="preserve"> was </w:t>
      </w:r>
      <w:r w:rsidRPr="00F638D4">
        <w:t>engaged despite them not having returned a signed letter.</w:t>
      </w:r>
    </w:p>
    <w:p w14:paraId="400AA891" w14:textId="4441DBB0" w:rsidR="00377104" w:rsidRPr="00377104" w:rsidRDefault="00377104" w:rsidP="003D31F5">
      <w:pPr>
        <w:pStyle w:val="Caption"/>
        <w:rPr>
          <w:lang w:eastAsia="en-US"/>
        </w:rPr>
      </w:pPr>
      <w:bookmarkStart w:id="80" w:name="_Toc17130196"/>
      <w:bookmarkStart w:id="81" w:name="_Toc48837142"/>
      <w:bookmarkStart w:id="82" w:name="_Toc49185532"/>
      <w:r>
        <w:lastRenderedPageBreak/>
        <w:t xml:space="preserve">Table </w:t>
      </w:r>
      <w:r w:rsidR="00BE0754">
        <w:fldChar w:fldCharType="begin"/>
      </w:r>
      <w:r w:rsidR="00BE0754">
        <w:instrText xml:space="preserve"> SEQ Table \* ARABIC </w:instrText>
      </w:r>
      <w:r w:rsidR="00BE0754">
        <w:fldChar w:fldCharType="separate"/>
      </w:r>
      <w:r w:rsidR="00152B74">
        <w:rPr>
          <w:noProof/>
        </w:rPr>
        <w:t>9</w:t>
      </w:r>
      <w:r w:rsidR="00BE0754">
        <w:rPr>
          <w:noProof/>
        </w:rPr>
        <w:fldChar w:fldCharType="end"/>
      </w:r>
      <w:r>
        <w:t xml:space="preserve">: Compliance with other mandatory requirements in </w:t>
      </w:r>
      <w:r w:rsidR="00371FD3">
        <w:t>2019–20</w:t>
      </w:r>
      <w:bookmarkEnd w:id="80"/>
      <w:bookmarkEnd w:id="81"/>
      <w:bookmarkEnd w:id="82"/>
    </w:p>
    <w:tbl>
      <w:tblPr>
        <w:tblStyle w:val="TableGrid"/>
        <w:tblW w:w="8415" w:type="dxa"/>
        <w:tblInd w:w="794" w:type="dxa"/>
        <w:tblLayout w:type="fixed"/>
        <w:tblLook w:val="04A0" w:firstRow="1" w:lastRow="0" w:firstColumn="1" w:lastColumn="0" w:noHBand="0" w:noVBand="1"/>
      </w:tblPr>
      <w:tblGrid>
        <w:gridCol w:w="6856"/>
        <w:gridCol w:w="1559"/>
      </w:tblGrid>
      <w:tr w:rsidR="00377104" w:rsidRPr="00213A2B" w14:paraId="0242BF79" w14:textId="77777777" w:rsidTr="00ED447C">
        <w:tc>
          <w:tcPr>
            <w:tcW w:w="6856" w:type="dxa"/>
            <w:shd w:val="clear" w:color="auto" w:fill="BFBFBF" w:themeFill="background1" w:themeFillShade="BF"/>
          </w:tcPr>
          <w:p w14:paraId="73F18FA0" w14:textId="77777777" w:rsidR="00377104" w:rsidRPr="00213A2B" w:rsidRDefault="00ED2FE3" w:rsidP="00ED447C">
            <w:pPr>
              <w:pStyle w:val="TableHeader"/>
            </w:pPr>
            <w:r>
              <w:t>Requirement</w:t>
            </w:r>
          </w:p>
        </w:tc>
        <w:tc>
          <w:tcPr>
            <w:tcW w:w="1559" w:type="dxa"/>
            <w:shd w:val="clear" w:color="auto" w:fill="BFBFBF" w:themeFill="background1" w:themeFillShade="BF"/>
          </w:tcPr>
          <w:p w14:paraId="151FDBDF" w14:textId="77777777" w:rsidR="00377104" w:rsidRPr="00213A2B" w:rsidRDefault="00377104" w:rsidP="00ED447C">
            <w:pPr>
              <w:pStyle w:val="TableHeader"/>
            </w:pPr>
            <w:r w:rsidRPr="00213A2B">
              <w:t>Organisations complying</w:t>
            </w:r>
          </w:p>
        </w:tc>
      </w:tr>
      <w:tr w:rsidR="00377104" w14:paraId="6A968EB5" w14:textId="77777777" w:rsidTr="00ED447C">
        <w:tc>
          <w:tcPr>
            <w:tcW w:w="6856" w:type="dxa"/>
          </w:tcPr>
          <w:p w14:paraId="55B8470B" w14:textId="6196A57B" w:rsidR="00377104" w:rsidRDefault="00377104" w:rsidP="000B20B5">
            <w:pPr>
              <w:pStyle w:val="TableText"/>
            </w:pPr>
            <w:r>
              <w:t xml:space="preserve">Did </w:t>
            </w:r>
            <w:r w:rsidR="00A72CBA">
              <w:t>you include a requirement to sign a supplier code of conduct commitment letter in all your market approaches?</w:t>
            </w:r>
          </w:p>
        </w:tc>
        <w:tc>
          <w:tcPr>
            <w:tcW w:w="1559" w:type="dxa"/>
          </w:tcPr>
          <w:p w14:paraId="198A52C8" w14:textId="26779C4E" w:rsidR="00377104" w:rsidRDefault="00303F9C" w:rsidP="000B20B5">
            <w:pPr>
              <w:pStyle w:val="TableText"/>
            </w:pPr>
            <w:r>
              <w:t>10</w:t>
            </w:r>
            <w:r w:rsidR="00D861A1">
              <w:t xml:space="preserve"> out of 10</w:t>
            </w:r>
          </w:p>
        </w:tc>
      </w:tr>
      <w:tr w:rsidR="00303F9C" w14:paraId="7E89DE0F" w14:textId="77777777" w:rsidTr="00ED447C">
        <w:tc>
          <w:tcPr>
            <w:tcW w:w="6856" w:type="dxa"/>
          </w:tcPr>
          <w:p w14:paraId="355DD07D" w14:textId="77383FCA" w:rsidR="00303F9C" w:rsidRDefault="00303F9C" w:rsidP="000B20B5">
            <w:pPr>
              <w:pStyle w:val="TableText"/>
            </w:pPr>
            <w:r>
              <w:t>Did you exclude suppliers that failed to return a signed letter?</w:t>
            </w:r>
          </w:p>
        </w:tc>
        <w:tc>
          <w:tcPr>
            <w:tcW w:w="1559" w:type="dxa"/>
          </w:tcPr>
          <w:p w14:paraId="6B1422D9" w14:textId="7B3C28C9" w:rsidR="00303F9C" w:rsidRDefault="00303F9C" w:rsidP="000B20B5">
            <w:pPr>
              <w:pStyle w:val="TableText"/>
            </w:pPr>
            <w:r>
              <w:t>8 out of 10</w:t>
            </w:r>
          </w:p>
        </w:tc>
      </w:tr>
    </w:tbl>
    <w:p w14:paraId="7890EDF6" w14:textId="187AA323" w:rsidR="009353F3" w:rsidRPr="00CD6245" w:rsidRDefault="009353F3" w:rsidP="00007EED">
      <w:pPr>
        <w:pStyle w:val="Heading2NoNum"/>
      </w:pPr>
      <w:bookmarkStart w:id="83" w:name="_Toc52187726"/>
      <w:bookmarkStart w:id="84" w:name="_Hlk14774798"/>
      <w:r w:rsidRPr="00CD6245">
        <w:t>Audits</w:t>
      </w:r>
      <w:bookmarkEnd w:id="83"/>
    </w:p>
    <w:p w14:paraId="6B05DC31" w14:textId="24DB1D5A" w:rsidR="009353F3" w:rsidRDefault="009353F3" w:rsidP="009353F3">
      <w:pPr>
        <w:pStyle w:val="Normal1"/>
      </w:pPr>
      <w:r>
        <w:t>Our</w:t>
      </w:r>
      <w:r w:rsidR="00D77728">
        <w:t xml:space="preserve"> </w:t>
      </w:r>
      <w:r w:rsidRPr="00CD6245">
        <w:t>audit program</w:t>
      </w:r>
      <w:r>
        <w:t>:</w:t>
      </w:r>
    </w:p>
    <w:p w14:paraId="5ADD3E4F" w14:textId="77777777" w:rsidR="009353F3" w:rsidRDefault="009353F3" w:rsidP="009353F3">
      <w:pPr>
        <w:pStyle w:val="Bullet1"/>
      </w:pPr>
      <w:r w:rsidRPr="00CD6245">
        <w:t>verif</w:t>
      </w:r>
      <w:r>
        <w:t>ies</w:t>
      </w:r>
      <w:r w:rsidRPr="00CD6245">
        <w:t xml:space="preserve"> compliance with VGPB supply policies</w:t>
      </w:r>
      <w:r>
        <w:t>;</w:t>
      </w:r>
    </w:p>
    <w:p w14:paraId="74AC35F0" w14:textId="77777777" w:rsidR="009353F3" w:rsidRDefault="009353F3" w:rsidP="009353F3">
      <w:pPr>
        <w:pStyle w:val="Bullet1"/>
      </w:pPr>
      <w:r w:rsidRPr="00CD6245">
        <w:t>minimise</w:t>
      </w:r>
      <w:r>
        <w:t>s</w:t>
      </w:r>
      <w:r w:rsidRPr="00CD6245">
        <w:t xml:space="preserve"> risks</w:t>
      </w:r>
      <w:r>
        <w:t>;</w:t>
      </w:r>
      <w:r w:rsidRPr="00CD6245">
        <w:t xml:space="preserve"> and</w:t>
      </w:r>
    </w:p>
    <w:p w14:paraId="0D9E1ED8" w14:textId="77777777" w:rsidR="009353F3" w:rsidRDefault="009353F3" w:rsidP="009353F3">
      <w:pPr>
        <w:pStyle w:val="Bullet1"/>
      </w:pPr>
      <w:r w:rsidRPr="00CD6245">
        <w:t>improve</w:t>
      </w:r>
      <w:r>
        <w:t>s</w:t>
      </w:r>
      <w:r w:rsidRPr="00CD6245">
        <w:t xml:space="preserve"> processes to drive better procurement outcomes.</w:t>
      </w:r>
    </w:p>
    <w:p w14:paraId="79875A69" w14:textId="77D2073D" w:rsidR="009353F3" w:rsidRDefault="009353F3" w:rsidP="009353F3">
      <w:pPr>
        <w:pStyle w:val="Normal1"/>
      </w:pPr>
      <w:r w:rsidRPr="00CD6245">
        <w:t>The audit measures</w:t>
      </w:r>
      <w:r>
        <w:t xml:space="preserve"> how well </w:t>
      </w:r>
      <w:r w:rsidRPr="00CD6245">
        <w:t xml:space="preserve">organisations are </w:t>
      </w:r>
      <w:r w:rsidR="00D77728">
        <w:t>delivering benefits</w:t>
      </w:r>
      <w:r w:rsidRPr="00CD6245">
        <w:t>, efficiencies and better service delivery as a result of improved supplier engagement, increased market engagement and greater rigour in driving value from contracts.</w:t>
      </w:r>
      <w:r w:rsidR="00A9276B">
        <w:t xml:space="preserve"> </w:t>
      </w:r>
      <w:r>
        <w:fldChar w:fldCharType="begin"/>
      </w:r>
      <w:r>
        <w:instrText xml:space="preserve"> REF _Ref457120742 \h  \* MERGEFORMAT </w:instrText>
      </w:r>
      <w:r>
        <w:fldChar w:fldCharType="separate"/>
      </w:r>
      <w:r w:rsidR="00152B74" w:rsidRPr="00CD6245">
        <w:t xml:space="preserve">Table </w:t>
      </w:r>
      <w:r w:rsidR="00152B74">
        <w:rPr>
          <w:noProof/>
        </w:rPr>
        <w:t>10</w:t>
      </w:r>
      <w:r>
        <w:fldChar w:fldCharType="end"/>
      </w:r>
      <w:r w:rsidRPr="00CD6245">
        <w:t xml:space="preserve"> lists the</w:t>
      </w:r>
      <w:r w:rsidR="00282044">
        <w:t xml:space="preserve"> </w:t>
      </w:r>
      <w:r w:rsidR="00482E4F">
        <w:t>audit</w:t>
      </w:r>
      <w:r w:rsidR="00282044">
        <w:t xml:space="preserve"> </w:t>
      </w:r>
      <w:r w:rsidRPr="00CD6245">
        <w:t>results.</w:t>
      </w:r>
    </w:p>
    <w:p w14:paraId="58A47431" w14:textId="29EB5D84" w:rsidR="009353F3" w:rsidRDefault="009353F3" w:rsidP="003D31F5">
      <w:pPr>
        <w:pStyle w:val="Caption"/>
      </w:pPr>
      <w:bookmarkStart w:id="85" w:name="_Ref457120742"/>
      <w:bookmarkStart w:id="86" w:name="_Toc17130197"/>
      <w:bookmarkStart w:id="87" w:name="_Toc48837143"/>
      <w:bookmarkStart w:id="88" w:name="_Toc49185533"/>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10</w:t>
      </w:r>
      <w:r>
        <w:rPr>
          <w:noProof/>
        </w:rPr>
        <w:fldChar w:fldCharType="end"/>
      </w:r>
      <w:bookmarkEnd w:id="85"/>
      <w:r w:rsidRPr="00CD6245">
        <w:t xml:space="preserve">: Audit program schedule and results </w:t>
      </w:r>
      <w:proofErr w:type="gramStart"/>
      <w:r w:rsidRPr="00CD6245">
        <w:t>at</w:t>
      </w:r>
      <w:proofErr w:type="gramEnd"/>
      <w:r w:rsidRPr="00CD6245">
        <w:t xml:space="preserve"> 30</w:t>
      </w:r>
      <w:r w:rsidR="00FE3B3A">
        <w:t> </w:t>
      </w:r>
      <w:r w:rsidRPr="00CD6245">
        <w:t>June</w:t>
      </w:r>
      <w:r w:rsidR="00FE3B3A">
        <w:t> </w:t>
      </w:r>
      <w:r w:rsidRPr="00CD6245">
        <w:t>20</w:t>
      </w:r>
      <w:bookmarkEnd w:id="86"/>
      <w:r w:rsidR="00371FD3">
        <w:t>20</w:t>
      </w:r>
      <w:bookmarkEnd w:id="87"/>
      <w:bookmarkEnd w:id="88"/>
    </w:p>
    <w:tbl>
      <w:tblPr>
        <w:tblStyle w:val="TableGrid1"/>
        <w:tblW w:w="4493" w:type="pct"/>
        <w:tblInd w:w="704" w:type="dxa"/>
        <w:tblLayout w:type="fixed"/>
        <w:tblLook w:val="04A0" w:firstRow="1" w:lastRow="0" w:firstColumn="1" w:lastColumn="0" w:noHBand="0" w:noVBand="1"/>
      </w:tblPr>
      <w:tblGrid>
        <w:gridCol w:w="1135"/>
        <w:gridCol w:w="1985"/>
        <w:gridCol w:w="949"/>
        <w:gridCol w:w="1401"/>
        <w:gridCol w:w="1193"/>
        <w:gridCol w:w="1983"/>
      </w:tblGrid>
      <w:tr w:rsidR="00D77728" w:rsidRPr="00ED447C" w14:paraId="282831CF" w14:textId="77777777" w:rsidTr="00ED447C">
        <w:trPr>
          <w:trHeight w:val="20"/>
        </w:trPr>
        <w:tc>
          <w:tcPr>
            <w:tcW w:w="656" w:type="pct"/>
            <w:shd w:val="clear" w:color="auto" w:fill="BFBFBF" w:themeFill="background1" w:themeFillShade="BF"/>
            <w:noWrap/>
            <w:hideMark/>
          </w:tcPr>
          <w:p w14:paraId="380A53FE" w14:textId="77777777" w:rsidR="009353F3" w:rsidRPr="00ED447C" w:rsidRDefault="009353F3" w:rsidP="00ED447C">
            <w:pPr>
              <w:pStyle w:val="TableHeader"/>
              <w:rPr>
                <w:sz w:val="22"/>
                <w:szCs w:val="22"/>
              </w:rPr>
            </w:pPr>
            <w:r w:rsidRPr="00ED447C">
              <w:rPr>
                <w:sz w:val="22"/>
                <w:szCs w:val="22"/>
              </w:rPr>
              <w:t>Audit year</w:t>
            </w:r>
          </w:p>
        </w:tc>
        <w:tc>
          <w:tcPr>
            <w:tcW w:w="1148" w:type="pct"/>
            <w:shd w:val="clear" w:color="auto" w:fill="BFBFBF" w:themeFill="background1" w:themeFillShade="BF"/>
            <w:noWrap/>
            <w:hideMark/>
          </w:tcPr>
          <w:p w14:paraId="7F450917" w14:textId="77777777" w:rsidR="009353F3" w:rsidRPr="00ED447C" w:rsidRDefault="009353F3" w:rsidP="00ED447C">
            <w:pPr>
              <w:pStyle w:val="TableHeader"/>
              <w:rPr>
                <w:sz w:val="22"/>
                <w:szCs w:val="22"/>
              </w:rPr>
            </w:pPr>
            <w:r w:rsidRPr="00ED447C">
              <w:rPr>
                <w:sz w:val="22"/>
                <w:szCs w:val="22"/>
              </w:rPr>
              <w:t>Organisation</w:t>
            </w:r>
          </w:p>
        </w:tc>
        <w:tc>
          <w:tcPr>
            <w:tcW w:w="549" w:type="pct"/>
            <w:shd w:val="clear" w:color="auto" w:fill="BFBFBF" w:themeFill="background1" w:themeFillShade="BF"/>
          </w:tcPr>
          <w:p w14:paraId="167AC50C" w14:textId="77777777" w:rsidR="009353F3" w:rsidRPr="00ED447C" w:rsidRDefault="009353F3" w:rsidP="00ED447C">
            <w:pPr>
              <w:pStyle w:val="TableHeader"/>
              <w:rPr>
                <w:sz w:val="22"/>
                <w:szCs w:val="22"/>
              </w:rPr>
            </w:pPr>
            <w:r w:rsidRPr="00ED447C">
              <w:rPr>
                <w:sz w:val="22"/>
                <w:szCs w:val="22"/>
              </w:rPr>
              <w:t>No. of findings</w:t>
            </w:r>
          </w:p>
        </w:tc>
        <w:tc>
          <w:tcPr>
            <w:tcW w:w="810" w:type="pct"/>
            <w:shd w:val="clear" w:color="auto" w:fill="BFBFBF" w:themeFill="background1" w:themeFillShade="BF"/>
          </w:tcPr>
          <w:p w14:paraId="7EE6236A" w14:textId="77777777" w:rsidR="009353F3" w:rsidRPr="00ED447C" w:rsidRDefault="009353F3" w:rsidP="00ED447C">
            <w:pPr>
              <w:pStyle w:val="TableHeader"/>
              <w:rPr>
                <w:sz w:val="22"/>
                <w:szCs w:val="22"/>
              </w:rPr>
            </w:pPr>
            <w:r w:rsidRPr="00ED447C">
              <w:rPr>
                <w:sz w:val="22"/>
                <w:szCs w:val="22"/>
              </w:rPr>
              <w:t>Risk rating of findings</w:t>
            </w:r>
          </w:p>
        </w:tc>
        <w:tc>
          <w:tcPr>
            <w:tcW w:w="690" w:type="pct"/>
            <w:shd w:val="clear" w:color="auto" w:fill="BFBFBF" w:themeFill="background1" w:themeFillShade="BF"/>
          </w:tcPr>
          <w:p w14:paraId="5DE99357" w14:textId="77777777" w:rsidR="009353F3" w:rsidRPr="00ED447C" w:rsidRDefault="009353F3" w:rsidP="00ED447C">
            <w:pPr>
              <w:pStyle w:val="TableHeader"/>
              <w:rPr>
                <w:sz w:val="22"/>
                <w:szCs w:val="22"/>
              </w:rPr>
            </w:pPr>
            <w:r w:rsidRPr="00ED447C">
              <w:rPr>
                <w:sz w:val="22"/>
                <w:szCs w:val="22"/>
              </w:rPr>
              <w:t>No. of recommendations</w:t>
            </w:r>
          </w:p>
        </w:tc>
        <w:tc>
          <w:tcPr>
            <w:tcW w:w="1148" w:type="pct"/>
            <w:shd w:val="clear" w:color="auto" w:fill="BFBFBF" w:themeFill="background1" w:themeFillShade="BF"/>
            <w:hideMark/>
          </w:tcPr>
          <w:p w14:paraId="64C657EE" w14:textId="77777777" w:rsidR="009353F3" w:rsidRPr="00ED447C" w:rsidRDefault="009353F3" w:rsidP="00ED447C">
            <w:pPr>
              <w:pStyle w:val="TableHeader"/>
              <w:rPr>
                <w:sz w:val="22"/>
                <w:szCs w:val="22"/>
              </w:rPr>
            </w:pPr>
            <w:r w:rsidRPr="00ED447C">
              <w:rPr>
                <w:sz w:val="22"/>
                <w:szCs w:val="22"/>
              </w:rPr>
              <w:t>Recommendations implemented</w:t>
            </w:r>
          </w:p>
        </w:tc>
      </w:tr>
      <w:tr w:rsidR="00EE7D55" w:rsidRPr="0016613A" w14:paraId="198D6D0B" w14:textId="77777777" w:rsidTr="00ED447C">
        <w:trPr>
          <w:trHeight w:val="20"/>
        </w:trPr>
        <w:tc>
          <w:tcPr>
            <w:tcW w:w="656" w:type="pct"/>
            <w:noWrap/>
          </w:tcPr>
          <w:p w14:paraId="1408114D" w14:textId="77777777" w:rsidR="00EE7D55" w:rsidRPr="00845C2C" w:rsidRDefault="00EE7D55" w:rsidP="000B20B5">
            <w:pPr>
              <w:pStyle w:val="TableText"/>
            </w:pPr>
            <w:r w:rsidRPr="00845C2C">
              <w:t>2018–19</w:t>
            </w:r>
          </w:p>
        </w:tc>
        <w:tc>
          <w:tcPr>
            <w:tcW w:w="1148" w:type="pct"/>
            <w:noWrap/>
          </w:tcPr>
          <w:p w14:paraId="148C61FC" w14:textId="77777777" w:rsidR="00EE7D55" w:rsidRPr="00CC430C" w:rsidRDefault="00EE7D55" w:rsidP="000B20B5">
            <w:pPr>
              <w:pStyle w:val="TableText"/>
            </w:pPr>
            <w:r w:rsidRPr="00CC430C">
              <w:t>Treasury and Finance</w:t>
            </w:r>
          </w:p>
        </w:tc>
        <w:tc>
          <w:tcPr>
            <w:tcW w:w="549" w:type="pct"/>
          </w:tcPr>
          <w:p w14:paraId="6897BE10" w14:textId="77777777" w:rsidR="00EE7D55" w:rsidRDefault="00EE7D55" w:rsidP="000B20B5">
            <w:pPr>
              <w:pStyle w:val="TableText"/>
            </w:pPr>
            <w:r>
              <w:t>5</w:t>
            </w:r>
          </w:p>
        </w:tc>
        <w:tc>
          <w:tcPr>
            <w:tcW w:w="810" w:type="pct"/>
          </w:tcPr>
          <w:p w14:paraId="20634A86" w14:textId="77777777" w:rsidR="00EE7D55" w:rsidRDefault="00EE7D55" w:rsidP="000B20B5">
            <w:pPr>
              <w:pStyle w:val="TableText"/>
            </w:pPr>
            <w:r>
              <w:t>Low</w:t>
            </w:r>
          </w:p>
        </w:tc>
        <w:tc>
          <w:tcPr>
            <w:tcW w:w="690" w:type="pct"/>
          </w:tcPr>
          <w:p w14:paraId="1C2EC0F0" w14:textId="77777777" w:rsidR="00EE7D55" w:rsidRDefault="00EE7D55" w:rsidP="000B20B5">
            <w:pPr>
              <w:pStyle w:val="TableText"/>
            </w:pPr>
            <w:r>
              <w:t>4</w:t>
            </w:r>
          </w:p>
        </w:tc>
        <w:tc>
          <w:tcPr>
            <w:tcW w:w="1148" w:type="pct"/>
            <w:noWrap/>
          </w:tcPr>
          <w:p w14:paraId="48AC6AE3" w14:textId="06FBAC32" w:rsidR="00EE7D55" w:rsidRDefault="008B5C92" w:rsidP="000B20B5">
            <w:pPr>
              <w:pStyle w:val="TableText"/>
            </w:pPr>
            <w:r>
              <w:t>Three complete, one in progress</w:t>
            </w:r>
          </w:p>
        </w:tc>
      </w:tr>
      <w:tr w:rsidR="00EE7D55" w:rsidRPr="0016613A" w14:paraId="141C7308" w14:textId="77777777" w:rsidTr="00ED447C">
        <w:trPr>
          <w:trHeight w:val="20"/>
        </w:trPr>
        <w:tc>
          <w:tcPr>
            <w:tcW w:w="656" w:type="pct"/>
            <w:noWrap/>
          </w:tcPr>
          <w:p w14:paraId="619D0C05" w14:textId="287F9659" w:rsidR="00EE7D55" w:rsidRPr="0055605E" w:rsidRDefault="00C53A6E" w:rsidP="000B20B5">
            <w:pPr>
              <w:pStyle w:val="TableText"/>
            </w:pPr>
            <w:r w:rsidRPr="00845C2C">
              <w:t>2018–19</w:t>
            </w:r>
          </w:p>
        </w:tc>
        <w:tc>
          <w:tcPr>
            <w:tcW w:w="1148" w:type="pct"/>
            <w:noWrap/>
          </w:tcPr>
          <w:p w14:paraId="60E31187" w14:textId="77777777" w:rsidR="00EE7D55" w:rsidRPr="00CC430C" w:rsidRDefault="00EE7D55" w:rsidP="000B20B5">
            <w:pPr>
              <w:pStyle w:val="TableText"/>
            </w:pPr>
            <w:r>
              <w:t>Victoria Police</w:t>
            </w:r>
          </w:p>
        </w:tc>
        <w:tc>
          <w:tcPr>
            <w:tcW w:w="549" w:type="pct"/>
          </w:tcPr>
          <w:p w14:paraId="02244F99" w14:textId="77777777" w:rsidR="00EE7D55" w:rsidRDefault="00EE7D55" w:rsidP="000B20B5">
            <w:pPr>
              <w:pStyle w:val="TableText"/>
            </w:pPr>
            <w:r>
              <w:t>5</w:t>
            </w:r>
          </w:p>
        </w:tc>
        <w:tc>
          <w:tcPr>
            <w:tcW w:w="810" w:type="pct"/>
          </w:tcPr>
          <w:p w14:paraId="460E551B" w14:textId="77777777" w:rsidR="00EE7D55" w:rsidRDefault="00EE7D55" w:rsidP="000B20B5">
            <w:pPr>
              <w:pStyle w:val="TableText"/>
            </w:pPr>
            <w:r>
              <w:t>Medium</w:t>
            </w:r>
          </w:p>
        </w:tc>
        <w:tc>
          <w:tcPr>
            <w:tcW w:w="690" w:type="pct"/>
          </w:tcPr>
          <w:p w14:paraId="2EE3D350" w14:textId="77777777" w:rsidR="00EE7D55" w:rsidRDefault="00EE7D55" w:rsidP="000B20B5">
            <w:pPr>
              <w:pStyle w:val="TableText"/>
            </w:pPr>
            <w:r>
              <w:t>10</w:t>
            </w:r>
          </w:p>
        </w:tc>
        <w:tc>
          <w:tcPr>
            <w:tcW w:w="1148" w:type="pct"/>
            <w:noWrap/>
          </w:tcPr>
          <w:p w14:paraId="752E811F" w14:textId="5D3DEE52" w:rsidR="00EE7D55" w:rsidRDefault="00875A6B" w:rsidP="000B20B5">
            <w:pPr>
              <w:pStyle w:val="TableText"/>
            </w:pPr>
            <w:r>
              <w:t xml:space="preserve">Eight complete, two in progress </w:t>
            </w:r>
          </w:p>
        </w:tc>
      </w:tr>
      <w:tr w:rsidR="00482E4F" w:rsidRPr="0016613A" w14:paraId="0E7DAE64" w14:textId="77777777" w:rsidTr="00ED447C">
        <w:trPr>
          <w:trHeight w:val="20"/>
        </w:trPr>
        <w:tc>
          <w:tcPr>
            <w:tcW w:w="656" w:type="pct"/>
            <w:noWrap/>
          </w:tcPr>
          <w:p w14:paraId="6D2624AB" w14:textId="176A98B1" w:rsidR="00482E4F" w:rsidRPr="0089350D" w:rsidRDefault="00482E4F" w:rsidP="000B20B5">
            <w:pPr>
              <w:pStyle w:val="TableText"/>
            </w:pPr>
            <w:r w:rsidRPr="0089350D">
              <w:t>2019–20</w:t>
            </w:r>
          </w:p>
        </w:tc>
        <w:tc>
          <w:tcPr>
            <w:tcW w:w="1148" w:type="pct"/>
            <w:noWrap/>
          </w:tcPr>
          <w:p w14:paraId="6B59B226" w14:textId="143E798C" w:rsidR="00482E4F" w:rsidRDefault="00482E4F" w:rsidP="000B20B5">
            <w:pPr>
              <w:pStyle w:val="TableText"/>
            </w:pPr>
            <w:r>
              <w:t>Education and Training</w:t>
            </w:r>
          </w:p>
        </w:tc>
        <w:tc>
          <w:tcPr>
            <w:tcW w:w="549" w:type="pct"/>
          </w:tcPr>
          <w:p w14:paraId="6B1449B9" w14:textId="269A86EE" w:rsidR="00482E4F" w:rsidRDefault="00482E4F" w:rsidP="000B20B5">
            <w:pPr>
              <w:pStyle w:val="TableText"/>
            </w:pPr>
            <w:r>
              <w:t>1</w:t>
            </w:r>
          </w:p>
        </w:tc>
        <w:tc>
          <w:tcPr>
            <w:tcW w:w="810" w:type="pct"/>
          </w:tcPr>
          <w:p w14:paraId="045D2A08" w14:textId="030D0C39" w:rsidR="00482E4F" w:rsidRDefault="00482E4F" w:rsidP="000B20B5">
            <w:pPr>
              <w:pStyle w:val="TableText"/>
            </w:pPr>
            <w:r>
              <w:t>Low</w:t>
            </w:r>
          </w:p>
        </w:tc>
        <w:tc>
          <w:tcPr>
            <w:tcW w:w="690" w:type="pct"/>
          </w:tcPr>
          <w:p w14:paraId="05223712" w14:textId="250E90BA" w:rsidR="00482E4F" w:rsidRDefault="00482E4F" w:rsidP="000B20B5">
            <w:pPr>
              <w:pStyle w:val="TableText"/>
            </w:pPr>
            <w:r>
              <w:t>2</w:t>
            </w:r>
          </w:p>
        </w:tc>
        <w:tc>
          <w:tcPr>
            <w:tcW w:w="1148" w:type="pct"/>
            <w:noWrap/>
          </w:tcPr>
          <w:p w14:paraId="0CA76FEE" w14:textId="68A15212" w:rsidR="00482E4F" w:rsidRDefault="00482E4F" w:rsidP="000B20B5">
            <w:pPr>
              <w:pStyle w:val="TableText"/>
            </w:pPr>
            <w:r>
              <w:t>Complete</w:t>
            </w:r>
          </w:p>
        </w:tc>
      </w:tr>
      <w:tr w:rsidR="00482E4F" w:rsidRPr="0016613A" w14:paraId="165F8DF8" w14:textId="77777777" w:rsidTr="00ED447C">
        <w:trPr>
          <w:trHeight w:val="20"/>
        </w:trPr>
        <w:tc>
          <w:tcPr>
            <w:tcW w:w="656" w:type="pct"/>
            <w:noWrap/>
          </w:tcPr>
          <w:p w14:paraId="79ABD283" w14:textId="4C7CAD08" w:rsidR="00482E4F" w:rsidRPr="0055605E" w:rsidRDefault="00C53A6E" w:rsidP="000B20B5">
            <w:pPr>
              <w:pStyle w:val="TableText"/>
            </w:pPr>
            <w:r w:rsidRPr="0089350D">
              <w:t>2019–20</w:t>
            </w:r>
          </w:p>
        </w:tc>
        <w:tc>
          <w:tcPr>
            <w:tcW w:w="1148" w:type="pct"/>
            <w:noWrap/>
          </w:tcPr>
          <w:p w14:paraId="4FB7EC77" w14:textId="56B84E21" w:rsidR="00482E4F" w:rsidRDefault="00482E4F" w:rsidP="000B20B5">
            <w:pPr>
              <w:pStyle w:val="TableText"/>
            </w:pPr>
            <w:r>
              <w:t>Premier and Cabinet</w:t>
            </w:r>
          </w:p>
        </w:tc>
        <w:tc>
          <w:tcPr>
            <w:tcW w:w="549" w:type="pct"/>
          </w:tcPr>
          <w:p w14:paraId="5DF77B41" w14:textId="47B57C02" w:rsidR="00482E4F" w:rsidRDefault="00482E4F" w:rsidP="000B20B5">
            <w:pPr>
              <w:pStyle w:val="TableText"/>
            </w:pPr>
            <w:r>
              <w:t>3</w:t>
            </w:r>
          </w:p>
        </w:tc>
        <w:tc>
          <w:tcPr>
            <w:tcW w:w="810" w:type="pct"/>
          </w:tcPr>
          <w:p w14:paraId="7A404746" w14:textId="2458DB47" w:rsidR="00482E4F" w:rsidRDefault="00482E4F" w:rsidP="000B20B5">
            <w:pPr>
              <w:pStyle w:val="TableText"/>
            </w:pPr>
            <w:r>
              <w:t>Two significant, one low</w:t>
            </w:r>
          </w:p>
        </w:tc>
        <w:tc>
          <w:tcPr>
            <w:tcW w:w="690" w:type="pct"/>
          </w:tcPr>
          <w:p w14:paraId="0EFB4065" w14:textId="261B33C4" w:rsidR="00482E4F" w:rsidRDefault="00482E4F" w:rsidP="000B20B5">
            <w:pPr>
              <w:pStyle w:val="TableText"/>
            </w:pPr>
            <w:r>
              <w:t>6</w:t>
            </w:r>
          </w:p>
        </w:tc>
        <w:tc>
          <w:tcPr>
            <w:tcW w:w="1148" w:type="pct"/>
            <w:noWrap/>
          </w:tcPr>
          <w:p w14:paraId="57E20ED3" w14:textId="0E31DFEF" w:rsidR="00482E4F" w:rsidRDefault="008B5C92" w:rsidP="000B20B5">
            <w:pPr>
              <w:pStyle w:val="TableText"/>
            </w:pPr>
            <w:r>
              <w:t>F</w:t>
            </w:r>
            <w:r w:rsidR="00482E4F">
              <w:t>ive complete, one in progress</w:t>
            </w:r>
          </w:p>
        </w:tc>
      </w:tr>
    </w:tbl>
    <w:bookmarkEnd w:id="84"/>
    <w:p w14:paraId="19AB81B4" w14:textId="779A19CF" w:rsidR="003C179A" w:rsidRDefault="003C179A" w:rsidP="003C179A">
      <w:pPr>
        <w:pStyle w:val="Heading3NoNum"/>
      </w:pPr>
      <w:r>
        <w:t xml:space="preserve">Audit findings in </w:t>
      </w:r>
      <w:r w:rsidR="00371FD3">
        <w:t>2019–20</w:t>
      </w:r>
    </w:p>
    <w:p w14:paraId="6DDD0186" w14:textId="18265DD9" w:rsidR="0022161B" w:rsidRDefault="0022161B" w:rsidP="0022161B">
      <w:pPr>
        <w:pStyle w:val="Heading4NoNum"/>
      </w:pPr>
      <w:r>
        <w:t>Department of Premier and Cabinet</w:t>
      </w:r>
    </w:p>
    <w:p w14:paraId="19B53B58" w14:textId="70A7B2AA" w:rsidR="0022161B" w:rsidRDefault="008B5C92" w:rsidP="0022161B">
      <w:pPr>
        <w:pStyle w:val="Normal1"/>
      </w:pPr>
      <w:r>
        <w:t>The VGPB identified several areas for improvement</w:t>
      </w:r>
      <w:r w:rsidR="00146183">
        <w:t xml:space="preserve"> for the Department of Premier and Cabinet</w:t>
      </w:r>
      <w:r>
        <w:t xml:space="preserve">. The department </w:t>
      </w:r>
      <w:r w:rsidR="0022161B">
        <w:t>has completed 90 per cent of the audit recommendations</w:t>
      </w:r>
      <w:r w:rsidR="00146183">
        <w:t xml:space="preserve">, making </w:t>
      </w:r>
      <w:r>
        <w:t>the following improvements:</w:t>
      </w:r>
    </w:p>
    <w:p w14:paraId="6D68D86C" w14:textId="01F06E5F" w:rsidR="0022161B" w:rsidRDefault="0022161B" w:rsidP="006F3D3F">
      <w:pPr>
        <w:pStyle w:val="Normal1"/>
        <w:numPr>
          <w:ilvl w:val="0"/>
          <w:numId w:val="16"/>
        </w:numPr>
      </w:pPr>
      <w:r>
        <w:t>creating new recordkeeping rules for the business and storing all procurement documents in a shared, central depository;</w:t>
      </w:r>
    </w:p>
    <w:p w14:paraId="7FC6D3ED" w14:textId="0988237C" w:rsidR="0022161B" w:rsidRDefault="0022161B" w:rsidP="006F3D3F">
      <w:pPr>
        <w:pStyle w:val="Normal1"/>
        <w:numPr>
          <w:ilvl w:val="0"/>
          <w:numId w:val="16"/>
        </w:numPr>
      </w:pPr>
      <w:r>
        <w:t>developing contract management plans for all contracts;</w:t>
      </w:r>
    </w:p>
    <w:p w14:paraId="46C5F089" w14:textId="1D8599D5" w:rsidR="0022161B" w:rsidRDefault="0022161B" w:rsidP="006F3D3F">
      <w:pPr>
        <w:pStyle w:val="Normal1"/>
        <w:numPr>
          <w:ilvl w:val="0"/>
          <w:numId w:val="16"/>
        </w:numPr>
      </w:pPr>
      <w:r>
        <w:t>updating the contract management policy and guide to include document retention requirements;</w:t>
      </w:r>
    </w:p>
    <w:p w14:paraId="296B3CB3" w14:textId="14DCF897" w:rsidR="0022161B" w:rsidRDefault="00373AAD" w:rsidP="006F3D3F">
      <w:pPr>
        <w:pStyle w:val="Normal1"/>
        <w:numPr>
          <w:ilvl w:val="0"/>
          <w:numId w:val="16"/>
        </w:numPr>
      </w:pPr>
      <w:r>
        <w:t>communicating cont</w:t>
      </w:r>
      <w:r w:rsidR="00F668A2">
        <w:t>r</w:t>
      </w:r>
      <w:r>
        <w:t>act management requirements to all relevant staff;</w:t>
      </w:r>
    </w:p>
    <w:p w14:paraId="2D2060D0" w14:textId="7777DA42" w:rsidR="00373AAD" w:rsidRDefault="00373AAD" w:rsidP="006F3D3F">
      <w:pPr>
        <w:pStyle w:val="Normal1"/>
        <w:numPr>
          <w:ilvl w:val="0"/>
          <w:numId w:val="16"/>
        </w:numPr>
      </w:pPr>
      <w:r>
        <w:t>setting up the internal procurement unit (the procurement governance committee)</w:t>
      </w:r>
      <w:r w:rsidR="00B41C69">
        <w:t xml:space="preserve"> and updating the department’s procurement policy;</w:t>
      </w:r>
    </w:p>
    <w:p w14:paraId="4BFCFB94" w14:textId="2562C5AE" w:rsidR="00B41C69" w:rsidRDefault="00B41C69" w:rsidP="006F3D3F">
      <w:pPr>
        <w:pStyle w:val="Normal1"/>
        <w:numPr>
          <w:ilvl w:val="0"/>
          <w:numId w:val="16"/>
        </w:numPr>
      </w:pPr>
      <w:r>
        <w:t>checking the complaints management process</w:t>
      </w:r>
      <w:r w:rsidR="00A91166">
        <w:t>;</w:t>
      </w:r>
    </w:p>
    <w:p w14:paraId="082F31DA" w14:textId="70AF8690" w:rsidR="00B41C69" w:rsidRDefault="00B41C69" w:rsidP="006F3D3F">
      <w:pPr>
        <w:pStyle w:val="Normal1"/>
        <w:numPr>
          <w:ilvl w:val="0"/>
          <w:numId w:val="16"/>
        </w:numPr>
      </w:pPr>
      <w:r>
        <w:t>publishing a procurement activity plan with all required details;</w:t>
      </w:r>
    </w:p>
    <w:p w14:paraId="18CA4092" w14:textId="049904B7" w:rsidR="00B41C69" w:rsidRDefault="00B41C69" w:rsidP="006F3D3F">
      <w:pPr>
        <w:pStyle w:val="Normal1"/>
        <w:numPr>
          <w:ilvl w:val="0"/>
          <w:numId w:val="16"/>
        </w:numPr>
      </w:pPr>
      <w:r>
        <w:t>aligning the department’s procurement guide with the VGPB’s market approach policy; and</w:t>
      </w:r>
    </w:p>
    <w:p w14:paraId="7D569AD9" w14:textId="4AF0DC04" w:rsidR="00B41C69" w:rsidRDefault="00B41C69" w:rsidP="006F3D3F">
      <w:pPr>
        <w:pStyle w:val="Normal1"/>
        <w:numPr>
          <w:ilvl w:val="0"/>
          <w:numId w:val="16"/>
        </w:numPr>
      </w:pPr>
      <w:r>
        <w:lastRenderedPageBreak/>
        <w:t>checking contract disclosure processes are in place and correctly implemented.</w:t>
      </w:r>
    </w:p>
    <w:p w14:paraId="12EB1970" w14:textId="15356776" w:rsidR="0022161B" w:rsidRDefault="00B41C69" w:rsidP="0022161B">
      <w:pPr>
        <w:pStyle w:val="Normal1"/>
      </w:pPr>
      <w:r>
        <w:t>The department still needs to train contract managers. This is due to be completed in early 2020–21.</w:t>
      </w:r>
    </w:p>
    <w:p w14:paraId="69D217B1" w14:textId="0168014E" w:rsidR="0022161B" w:rsidRDefault="007478CF" w:rsidP="0022161B">
      <w:pPr>
        <w:pStyle w:val="Heading4NoNum"/>
      </w:pPr>
      <w:r>
        <w:t>Department of Education and Training</w:t>
      </w:r>
    </w:p>
    <w:p w14:paraId="322D472C" w14:textId="7EF5B17A" w:rsidR="00581855" w:rsidRDefault="00581855" w:rsidP="00581855">
      <w:pPr>
        <w:pStyle w:val="Normal1"/>
      </w:pPr>
      <w:r>
        <w:t xml:space="preserve">The </w:t>
      </w:r>
      <w:r w:rsidR="00146183">
        <w:t>D</w:t>
      </w:r>
      <w:r>
        <w:t>epartment</w:t>
      </w:r>
      <w:r w:rsidR="00146183">
        <w:t xml:space="preserve"> of Education and Training</w:t>
      </w:r>
      <w:r>
        <w:t xml:space="preserve"> had a </w:t>
      </w:r>
      <w:r w:rsidR="001C109A">
        <w:t>positive</w:t>
      </w:r>
      <w:r>
        <w:t xml:space="preserve"> </w:t>
      </w:r>
      <w:r w:rsidR="0055461E">
        <w:t xml:space="preserve">audit </w:t>
      </w:r>
      <w:r>
        <w:t>result</w:t>
      </w:r>
      <w:r w:rsidR="0055461E">
        <w:t xml:space="preserve"> with only two recommendations</w:t>
      </w:r>
      <w:r>
        <w:t>. In response to recommendations, the department:</w:t>
      </w:r>
    </w:p>
    <w:p w14:paraId="20E2BBEA" w14:textId="6A7C4CE6" w:rsidR="00581855" w:rsidRDefault="00581855" w:rsidP="00581855">
      <w:pPr>
        <w:pStyle w:val="Bullet1"/>
      </w:pPr>
      <w:r>
        <w:t xml:space="preserve">mandated contract management training for contract managers of </w:t>
      </w:r>
      <w:proofErr w:type="gramStart"/>
      <w:r>
        <w:t>high</w:t>
      </w:r>
      <w:r w:rsidR="00FE3B3A">
        <w:t>-</w:t>
      </w:r>
      <w:r>
        <w:t>value</w:t>
      </w:r>
      <w:proofErr w:type="gramEnd"/>
      <w:r>
        <w:t>/complexity engagements; and</w:t>
      </w:r>
    </w:p>
    <w:p w14:paraId="105D1AA8" w14:textId="10663720" w:rsidR="007478CF" w:rsidRDefault="00581855" w:rsidP="00581855">
      <w:pPr>
        <w:pStyle w:val="Bullet1"/>
      </w:pPr>
      <w:r>
        <w:t>updated procurement document templates to highlight that contract managers must keep valid insurance certificates on file.</w:t>
      </w:r>
    </w:p>
    <w:p w14:paraId="0551C535" w14:textId="77777777" w:rsidR="009353F3" w:rsidRPr="00D250C9" w:rsidRDefault="009353F3" w:rsidP="00D77728">
      <w:pPr>
        <w:pStyle w:val="Heading2NoNum"/>
      </w:pPr>
      <w:bookmarkStart w:id="89" w:name="_Toc52187727"/>
      <w:r w:rsidRPr="00D250C9">
        <w:t>P</w:t>
      </w:r>
      <w:r>
        <w:t>erformance</w:t>
      </w:r>
      <w:r w:rsidRPr="00D250C9">
        <w:t xml:space="preserve"> measures</w:t>
      </w:r>
      <w:bookmarkEnd w:id="89"/>
    </w:p>
    <w:p w14:paraId="2F95437F" w14:textId="47028D3F" w:rsidR="0047394D" w:rsidRDefault="009353F3" w:rsidP="0047394D">
      <w:pPr>
        <w:pStyle w:val="Normal1"/>
      </w:pPr>
      <w:r w:rsidRPr="00EF4510">
        <w:rPr>
          <w:lang w:val="en-US"/>
        </w:rPr>
        <w:t xml:space="preserve">Organisations track their </w:t>
      </w:r>
      <w:r>
        <w:rPr>
          <w:lang w:val="en-US"/>
        </w:rPr>
        <w:t xml:space="preserve">procurement </w:t>
      </w:r>
      <w:r w:rsidRPr="00EF4510">
        <w:rPr>
          <w:lang w:val="en-US"/>
        </w:rPr>
        <w:t xml:space="preserve">performance each year using </w:t>
      </w:r>
      <w:r w:rsidR="00E5638A">
        <w:rPr>
          <w:lang w:val="en-US"/>
        </w:rPr>
        <w:t xml:space="preserve">the </w:t>
      </w:r>
      <w:r w:rsidRPr="00EF4510">
        <w:rPr>
          <w:lang w:val="en-US"/>
        </w:rPr>
        <w:t>performance measures</w:t>
      </w:r>
      <w:r w:rsidR="00E5638A">
        <w:rPr>
          <w:lang w:val="en-US"/>
        </w:rPr>
        <w:t xml:space="preserve"> and methodology listed in </w:t>
      </w:r>
      <w:r w:rsidR="00E5638A">
        <w:rPr>
          <w:lang w:val="en-US"/>
        </w:rPr>
        <w:fldChar w:fldCharType="begin"/>
      </w:r>
      <w:r w:rsidR="00E5638A">
        <w:rPr>
          <w:lang w:val="en-US"/>
        </w:rPr>
        <w:instrText xml:space="preserve"> REF _Ref15495524 \h </w:instrText>
      </w:r>
      <w:r w:rsidR="005672F9">
        <w:rPr>
          <w:lang w:val="en-US"/>
        </w:rPr>
        <w:instrText xml:space="preserve"> \* MERGEFORMAT </w:instrText>
      </w:r>
      <w:r w:rsidR="00E5638A">
        <w:rPr>
          <w:lang w:val="en-US"/>
        </w:rPr>
      </w:r>
      <w:r w:rsidR="00E5638A">
        <w:rPr>
          <w:lang w:val="en-US"/>
        </w:rPr>
        <w:fldChar w:fldCharType="separate"/>
      </w:r>
      <w:r w:rsidR="00152B74" w:rsidRPr="00CB2247">
        <w:t xml:space="preserve">Table </w:t>
      </w:r>
      <w:r w:rsidR="00152B74">
        <w:rPr>
          <w:noProof/>
        </w:rPr>
        <w:t>11</w:t>
      </w:r>
      <w:r w:rsidR="00E5638A">
        <w:rPr>
          <w:lang w:val="en-US"/>
        </w:rPr>
        <w:fldChar w:fldCharType="end"/>
      </w:r>
      <w:r w:rsidR="00A12810">
        <w:rPr>
          <w:lang w:val="en-US"/>
        </w:rPr>
        <w:t>.</w:t>
      </w:r>
      <w:bookmarkStart w:id="90" w:name="_Ref477188393"/>
      <w:r w:rsidR="001933C9">
        <w:rPr>
          <w:lang w:val="en-US"/>
        </w:rPr>
        <w:t xml:space="preserve"> </w:t>
      </w:r>
      <w:r w:rsidR="00842726">
        <w:t xml:space="preserve">Organisations applied </w:t>
      </w:r>
      <w:r w:rsidR="00842726" w:rsidRPr="0047394D">
        <w:t>new measures in 2019–20</w:t>
      </w:r>
      <w:r w:rsidR="00842726">
        <w:t xml:space="preserve">, after measures were revised in consultation with chief procurement officers </w:t>
      </w:r>
      <w:r w:rsidR="0049765E">
        <w:t>in</w:t>
      </w:r>
      <w:r w:rsidR="004A053E">
        <w:t xml:space="preserve"> 2018–19</w:t>
      </w:r>
      <w:r w:rsidR="004A053E" w:rsidRPr="0047394D">
        <w:t>.</w:t>
      </w:r>
    </w:p>
    <w:p w14:paraId="4B69A6B9" w14:textId="35103DD9" w:rsidR="0083711E" w:rsidRPr="00CB2247" w:rsidRDefault="0083711E" w:rsidP="003D31F5">
      <w:pPr>
        <w:pStyle w:val="Caption"/>
      </w:pPr>
      <w:bookmarkStart w:id="91" w:name="_Ref15495524"/>
      <w:bookmarkStart w:id="92" w:name="_Toc17130198"/>
      <w:bookmarkStart w:id="93" w:name="_Toc48837144"/>
      <w:bookmarkStart w:id="94" w:name="_Toc49185534"/>
      <w:r w:rsidRPr="00CB2247">
        <w:t xml:space="preserve">Table </w:t>
      </w:r>
      <w:r w:rsidR="00BE0754">
        <w:fldChar w:fldCharType="begin"/>
      </w:r>
      <w:r w:rsidR="00BE0754">
        <w:instrText xml:space="preserve"> SEQ Table \* ARABIC </w:instrText>
      </w:r>
      <w:r w:rsidR="00BE0754">
        <w:fldChar w:fldCharType="separate"/>
      </w:r>
      <w:r w:rsidR="00152B74">
        <w:rPr>
          <w:noProof/>
        </w:rPr>
        <w:t>11</w:t>
      </w:r>
      <w:r w:rsidR="00BE0754">
        <w:rPr>
          <w:noProof/>
        </w:rPr>
        <w:fldChar w:fldCharType="end"/>
      </w:r>
      <w:bookmarkEnd w:id="90"/>
      <w:bookmarkEnd w:id="91"/>
      <w:r w:rsidRPr="00CB2247">
        <w:t>: Performance measure methodology</w:t>
      </w:r>
      <w:bookmarkEnd w:id="92"/>
      <w:bookmarkEnd w:id="93"/>
      <w:bookmarkEnd w:id="94"/>
    </w:p>
    <w:tbl>
      <w:tblPr>
        <w:tblStyle w:val="ListTable31"/>
        <w:tblW w:w="8363" w:type="dxa"/>
        <w:tblInd w:w="846" w:type="dxa"/>
        <w:tblLook w:val="04A0" w:firstRow="1" w:lastRow="0" w:firstColumn="1" w:lastColumn="0" w:noHBand="0" w:noVBand="1"/>
      </w:tblPr>
      <w:tblGrid>
        <w:gridCol w:w="425"/>
        <w:gridCol w:w="2410"/>
        <w:gridCol w:w="5528"/>
      </w:tblGrid>
      <w:tr w:rsidR="00E5638A" w:rsidRPr="00C53A6E" w14:paraId="45F9688B" w14:textId="77777777" w:rsidTr="0049765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gridSpan w:val="2"/>
            <w:shd w:val="clear" w:color="auto" w:fill="BFBFBF" w:themeFill="background1" w:themeFillShade="BF"/>
          </w:tcPr>
          <w:p w14:paraId="2F2DDF07" w14:textId="77777777" w:rsidR="0083711E" w:rsidRPr="00C53A6E" w:rsidRDefault="0083711E" w:rsidP="00C53A6E">
            <w:pPr>
              <w:pStyle w:val="TableHeader"/>
              <w:rPr>
                <w:b w:val="0"/>
                <w:bCs w:val="0"/>
                <w:color w:val="auto"/>
              </w:rPr>
            </w:pPr>
            <w:bookmarkStart w:id="95" w:name="_Hlk48748038"/>
            <w:r w:rsidRPr="00C53A6E">
              <w:rPr>
                <w:b w:val="0"/>
                <w:bCs w:val="0"/>
                <w:color w:val="auto"/>
              </w:rPr>
              <w:t>Performance measure</w:t>
            </w:r>
          </w:p>
        </w:tc>
        <w:tc>
          <w:tcPr>
            <w:tcW w:w="5528" w:type="dxa"/>
            <w:shd w:val="clear" w:color="auto" w:fill="BFBFBF" w:themeFill="background1" w:themeFillShade="BF"/>
          </w:tcPr>
          <w:p w14:paraId="0DD1D588" w14:textId="77777777" w:rsidR="0083711E" w:rsidRPr="00C53A6E" w:rsidRDefault="0083711E" w:rsidP="00C53A6E">
            <w:pPr>
              <w:pStyle w:val="TableHeader"/>
              <w:cnfStyle w:val="100000000000" w:firstRow="1" w:lastRow="0" w:firstColumn="0" w:lastColumn="0" w:oddVBand="0" w:evenVBand="0" w:oddHBand="0" w:evenHBand="0" w:firstRowFirstColumn="0" w:firstRowLastColumn="0" w:lastRowFirstColumn="0" w:lastRowLastColumn="0"/>
              <w:rPr>
                <w:b w:val="0"/>
                <w:bCs w:val="0"/>
                <w:color w:val="auto"/>
              </w:rPr>
            </w:pPr>
            <w:r w:rsidRPr="00C53A6E">
              <w:rPr>
                <w:b w:val="0"/>
                <w:bCs w:val="0"/>
                <w:color w:val="auto"/>
              </w:rPr>
              <w:t>Definition</w:t>
            </w:r>
          </w:p>
        </w:tc>
      </w:tr>
      <w:tr w:rsidR="0083711E" w:rsidRPr="00CD6245" w14:paraId="60D5BA86" w14:textId="77777777" w:rsidTr="00497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0C2C87CC" w14:textId="77777777" w:rsidR="0083711E" w:rsidRPr="00CD6245" w:rsidRDefault="0083711E" w:rsidP="000B20B5">
            <w:pPr>
              <w:pStyle w:val="TableText"/>
            </w:pPr>
            <w:r w:rsidRPr="00CD6245">
              <w:t>1</w:t>
            </w:r>
          </w:p>
        </w:tc>
        <w:tc>
          <w:tcPr>
            <w:tcW w:w="2410" w:type="dxa"/>
          </w:tcPr>
          <w:p w14:paraId="236254C8" w14:textId="77777777" w:rsidR="0083711E" w:rsidRPr="00CD6245" w:rsidRDefault="0083711E" w:rsidP="000B20B5">
            <w:pPr>
              <w:pStyle w:val="TableText"/>
              <w:cnfStyle w:val="000000100000" w:firstRow="0" w:lastRow="0" w:firstColumn="0" w:lastColumn="0" w:oddVBand="0" w:evenVBand="0" w:oddHBand="1" w:evenHBand="0" w:firstRowFirstColumn="0" w:firstRowLastColumn="0" w:lastRowFirstColumn="0" w:lastRowLastColumn="0"/>
            </w:pPr>
            <w:r w:rsidRPr="00CD6245">
              <w:t>Value created as a consequence of department procurement activity</w:t>
            </w:r>
          </w:p>
        </w:tc>
        <w:tc>
          <w:tcPr>
            <w:tcW w:w="5528" w:type="dxa"/>
          </w:tcPr>
          <w:p w14:paraId="0E5B54ED" w14:textId="5A966B9E" w:rsidR="004A053E" w:rsidRPr="00CD6245" w:rsidRDefault="00C1337E" w:rsidP="000B20B5">
            <w:pPr>
              <w:pStyle w:val="TableText"/>
              <w:cnfStyle w:val="000000100000" w:firstRow="0" w:lastRow="0" w:firstColumn="0" w:lastColumn="0" w:oddVBand="0" w:evenVBand="0" w:oddHBand="1" w:evenHBand="0" w:firstRowFirstColumn="0" w:firstRowLastColumn="0" w:lastRowFirstColumn="0" w:lastRowLastColumn="0"/>
            </w:pPr>
            <w:r>
              <w:t>Value of direct expenditure savings (and potential expenditure avoided) of the organisation’s procurements conducted during the financial year, as a percentage of total value of the organisation’s contracted spend during the financial year.</w:t>
            </w:r>
          </w:p>
        </w:tc>
      </w:tr>
      <w:tr w:rsidR="0083711E" w:rsidRPr="00CD6245" w14:paraId="545EE69F" w14:textId="77777777" w:rsidTr="0049765E">
        <w:tc>
          <w:tcPr>
            <w:cnfStyle w:val="001000000000" w:firstRow="0" w:lastRow="0" w:firstColumn="1" w:lastColumn="0" w:oddVBand="0" w:evenVBand="0" w:oddHBand="0" w:evenHBand="0" w:firstRowFirstColumn="0" w:firstRowLastColumn="0" w:lastRowFirstColumn="0" w:lastRowLastColumn="0"/>
            <w:tcW w:w="425" w:type="dxa"/>
          </w:tcPr>
          <w:p w14:paraId="026189E4" w14:textId="77777777" w:rsidR="0083711E" w:rsidRPr="00CD6245" w:rsidRDefault="0083711E" w:rsidP="000B20B5">
            <w:pPr>
              <w:pStyle w:val="TableText"/>
            </w:pPr>
            <w:r w:rsidRPr="00CD6245">
              <w:t>2</w:t>
            </w:r>
          </w:p>
        </w:tc>
        <w:tc>
          <w:tcPr>
            <w:tcW w:w="2410" w:type="dxa"/>
          </w:tcPr>
          <w:p w14:paraId="72F38FD2" w14:textId="45B604D1" w:rsidR="0083711E" w:rsidRPr="00CD6245" w:rsidRDefault="004A053E" w:rsidP="000B20B5">
            <w:pPr>
              <w:pStyle w:val="TableText"/>
              <w:cnfStyle w:val="000000000000" w:firstRow="0" w:lastRow="0" w:firstColumn="0" w:lastColumn="0" w:oddVBand="0" w:evenVBand="0" w:oddHBand="0" w:evenHBand="0" w:firstRowFirstColumn="0" w:firstRowLastColumn="0" w:lastRowFirstColumn="0" w:lastRowLastColumn="0"/>
            </w:pPr>
            <w:r>
              <w:t xml:space="preserve">Managed spend </w:t>
            </w:r>
          </w:p>
        </w:tc>
        <w:tc>
          <w:tcPr>
            <w:tcW w:w="5528" w:type="dxa"/>
          </w:tcPr>
          <w:p w14:paraId="04E15AA4" w14:textId="7C096971" w:rsidR="0083711E" w:rsidRPr="00CD6245" w:rsidRDefault="00C1337E" w:rsidP="000B20B5">
            <w:pPr>
              <w:pStyle w:val="TableText"/>
              <w:cnfStyle w:val="000000000000" w:firstRow="0" w:lastRow="0" w:firstColumn="0" w:lastColumn="0" w:oddVBand="0" w:evenVBand="0" w:oddHBand="0" w:evenHBand="0" w:firstRowFirstColumn="0" w:firstRowLastColumn="0" w:lastRowFirstColumn="0" w:lastRowLastColumn="0"/>
            </w:pPr>
            <w:r>
              <w:t>The proportion of goods and services procurement spend reviewed or undertaken by an organisation’s central procurement governance unit.</w:t>
            </w:r>
          </w:p>
        </w:tc>
      </w:tr>
      <w:tr w:rsidR="0083711E" w:rsidRPr="00CD6245" w14:paraId="5243505B" w14:textId="77777777" w:rsidTr="00497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7C23F92" w14:textId="77777777" w:rsidR="0083711E" w:rsidRPr="00CD6245" w:rsidRDefault="0083711E" w:rsidP="000B20B5">
            <w:pPr>
              <w:pStyle w:val="TableText"/>
            </w:pPr>
            <w:r w:rsidRPr="00CD6245">
              <w:t>3</w:t>
            </w:r>
          </w:p>
        </w:tc>
        <w:tc>
          <w:tcPr>
            <w:tcW w:w="2410" w:type="dxa"/>
          </w:tcPr>
          <w:p w14:paraId="520DADC3" w14:textId="77777777" w:rsidR="0083711E" w:rsidRPr="00CD6245" w:rsidRDefault="0083711E" w:rsidP="000B20B5">
            <w:pPr>
              <w:pStyle w:val="TableText"/>
              <w:cnfStyle w:val="000000100000" w:firstRow="0" w:lastRow="0" w:firstColumn="0" w:lastColumn="0" w:oddVBand="0" w:evenVBand="0" w:oddHBand="1" w:evenHBand="0" w:firstRowFirstColumn="0" w:firstRowLastColumn="0" w:lastRowFirstColumn="0" w:lastRowLastColumn="0"/>
            </w:pPr>
            <w:r w:rsidRPr="00CD6245">
              <w:t>Increase in procurement capability</w:t>
            </w:r>
          </w:p>
        </w:tc>
        <w:tc>
          <w:tcPr>
            <w:tcW w:w="5528" w:type="dxa"/>
          </w:tcPr>
          <w:p w14:paraId="71CFF6FE" w14:textId="74D11A8A" w:rsidR="0083711E" w:rsidRPr="00CD6245" w:rsidRDefault="00C1337E" w:rsidP="000B20B5">
            <w:pPr>
              <w:pStyle w:val="TableText"/>
              <w:cnfStyle w:val="000000100000" w:firstRow="0" w:lastRow="0" w:firstColumn="0" w:lastColumn="0" w:oddVBand="0" w:evenVBand="0" w:oddHBand="1" w:evenHBand="0" w:firstRowFirstColumn="0" w:firstRowLastColumn="0" w:lastRowFirstColumn="0" w:lastRowLastColumn="0"/>
            </w:pPr>
            <w:r>
              <w:t>Annual assessment of change in organisational procurement capability year-on-year, measured by the VGPB capability assessment tool.</w:t>
            </w:r>
          </w:p>
        </w:tc>
      </w:tr>
      <w:tr w:rsidR="0083711E" w:rsidRPr="00CD6245" w14:paraId="4AB85984" w14:textId="77777777" w:rsidTr="0049765E">
        <w:tc>
          <w:tcPr>
            <w:cnfStyle w:val="001000000000" w:firstRow="0" w:lastRow="0" w:firstColumn="1" w:lastColumn="0" w:oddVBand="0" w:evenVBand="0" w:oddHBand="0" w:evenHBand="0" w:firstRowFirstColumn="0" w:firstRowLastColumn="0" w:lastRowFirstColumn="0" w:lastRowLastColumn="0"/>
            <w:tcW w:w="425" w:type="dxa"/>
          </w:tcPr>
          <w:p w14:paraId="71E29AED" w14:textId="6DBE7A5C" w:rsidR="0083711E" w:rsidRPr="00CD6245" w:rsidRDefault="004A053E" w:rsidP="000B20B5">
            <w:pPr>
              <w:pStyle w:val="TableText"/>
            </w:pPr>
            <w:r>
              <w:t>4</w:t>
            </w:r>
          </w:p>
        </w:tc>
        <w:tc>
          <w:tcPr>
            <w:tcW w:w="2410" w:type="dxa"/>
          </w:tcPr>
          <w:p w14:paraId="1D5E76FB" w14:textId="77777777" w:rsidR="0083711E" w:rsidRPr="00CD6245" w:rsidRDefault="0083711E" w:rsidP="000B20B5">
            <w:pPr>
              <w:pStyle w:val="TableText"/>
              <w:cnfStyle w:val="000000000000" w:firstRow="0" w:lastRow="0" w:firstColumn="0" w:lastColumn="0" w:oddVBand="0" w:evenVBand="0" w:oddHBand="0" w:evenHBand="0" w:firstRowFirstColumn="0" w:firstRowLastColumn="0" w:lastRowFirstColumn="0" w:lastRowLastColumn="0"/>
            </w:pPr>
            <w:r w:rsidRPr="00CD6245">
              <w:t>Supplier satisfaction assessment</w:t>
            </w:r>
          </w:p>
        </w:tc>
        <w:tc>
          <w:tcPr>
            <w:tcW w:w="5528" w:type="dxa"/>
          </w:tcPr>
          <w:p w14:paraId="4C072F8F" w14:textId="46FA7275" w:rsidR="0083711E" w:rsidRPr="00CD6245" w:rsidRDefault="00C1337E" w:rsidP="000B20B5">
            <w:pPr>
              <w:pStyle w:val="TableText"/>
              <w:cnfStyle w:val="000000000000" w:firstRow="0" w:lastRow="0" w:firstColumn="0" w:lastColumn="0" w:oddVBand="0" w:evenVBand="0" w:oddHBand="0" w:evenHBand="0" w:firstRowFirstColumn="0" w:firstRowLastColumn="0" w:lastRowFirstColumn="0" w:lastRowLastColumn="0"/>
            </w:pPr>
            <w:r>
              <w:t>Satisfaction with the procurement process and service provided by the organisation’s procurement function, based on a survey of supplier experience of individual procurement activities. The survey is conducted with successful and unsuccessful suppliers.</w:t>
            </w:r>
          </w:p>
        </w:tc>
      </w:tr>
      <w:tr w:rsidR="0083711E" w:rsidRPr="00CD6245" w14:paraId="0AEF666B" w14:textId="77777777" w:rsidTr="00497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D4EEB41" w14:textId="3CCEAC76" w:rsidR="0083711E" w:rsidRPr="00CD6245" w:rsidRDefault="004A053E" w:rsidP="000B20B5">
            <w:pPr>
              <w:pStyle w:val="TableText"/>
            </w:pPr>
            <w:r>
              <w:t>5</w:t>
            </w:r>
          </w:p>
        </w:tc>
        <w:tc>
          <w:tcPr>
            <w:tcW w:w="2410" w:type="dxa"/>
          </w:tcPr>
          <w:p w14:paraId="77A3EF55" w14:textId="77777777" w:rsidR="0083711E" w:rsidRPr="00CD6245" w:rsidRDefault="0083711E" w:rsidP="000B20B5">
            <w:pPr>
              <w:pStyle w:val="TableText"/>
              <w:cnfStyle w:val="000000100000" w:firstRow="0" w:lastRow="0" w:firstColumn="0" w:lastColumn="0" w:oddVBand="0" w:evenVBand="0" w:oddHBand="1" w:evenHBand="0" w:firstRowFirstColumn="0" w:firstRowLastColumn="0" w:lastRowFirstColumn="0" w:lastRowLastColumn="0"/>
            </w:pPr>
            <w:r w:rsidRPr="00CD6245">
              <w:t>Planned procurement activity as a percentage of actual procurement activity</w:t>
            </w:r>
          </w:p>
        </w:tc>
        <w:tc>
          <w:tcPr>
            <w:tcW w:w="5528" w:type="dxa"/>
          </w:tcPr>
          <w:p w14:paraId="67217E19" w14:textId="5C0A9BA9" w:rsidR="0083711E" w:rsidRPr="00CD6245" w:rsidRDefault="00C1337E" w:rsidP="000B20B5">
            <w:pPr>
              <w:pStyle w:val="TableText"/>
              <w:cnfStyle w:val="000000100000" w:firstRow="0" w:lastRow="0" w:firstColumn="0" w:lastColumn="0" w:oddVBand="0" w:evenVBand="0" w:oddHBand="1" w:evenHBand="0" w:firstRowFirstColumn="0" w:firstRowLastColumn="0" w:lastRowFirstColumn="0" w:lastRowLastColumn="0"/>
            </w:pPr>
            <w:r>
              <w:t>Number of planned procurements documented in the organisation’s internal forward activity plan against the number of market approaches actually undertaken during the financial year.</w:t>
            </w:r>
          </w:p>
        </w:tc>
      </w:tr>
    </w:tbl>
    <w:p w14:paraId="5FD0D192" w14:textId="77777777" w:rsidR="0049765E" w:rsidRPr="0047394D" w:rsidRDefault="0049765E" w:rsidP="0049765E">
      <w:pPr>
        <w:pStyle w:val="Normal1"/>
      </w:pPr>
      <w:bookmarkStart w:id="96" w:name="_Ref457122529"/>
      <w:bookmarkStart w:id="97" w:name="_Ref15302414"/>
      <w:bookmarkEnd w:id="95"/>
      <w:r w:rsidRPr="00B93A1D">
        <w:t xml:space="preserve">The supplier satisfaction survey moved from an annual data collection to an event-based survey sent out by organisations at the end of each procurement process. This </w:t>
      </w:r>
      <w:r>
        <w:t xml:space="preserve">has </w:t>
      </w:r>
      <w:r w:rsidRPr="00B93A1D">
        <w:t xml:space="preserve">resulted in </w:t>
      </w:r>
      <w:r>
        <w:t xml:space="preserve">a </w:t>
      </w:r>
      <w:r w:rsidRPr="00B93A1D">
        <w:t>highe</w:t>
      </w:r>
      <w:r>
        <w:t>r</w:t>
      </w:r>
      <w:r w:rsidRPr="00B93A1D">
        <w:t xml:space="preserve"> response rate (15 per cent) and has given organisations more meaningful results to guide their supplier engagement.</w:t>
      </w:r>
    </w:p>
    <w:p w14:paraId="6904B404" w14:textId="719DF74A" w:rsidR="0049765E" w:rsidRDefault="0049765E" w:rsidP="0049765E">
      <w:pPr>
        <w:pStyle w:val="Normal1"/>
      </w:pPr>
      <w:r w:rsidRPr="0047394D">
        <w:t xml:space="preserve">Results </w:t>
      </w:r>
      <w:r>
        <w:t xml:space="preserve">from 2019-20 </w:t>
      </w:r>
      <w:r w:rsidRPr="0047394D">
        <w:t>are listed in Table 12.</w:t>
      </w:r>
      <w:r w:rsidR="00146183">
        <w:t xml:space="preserve"> </w:t>
      </w:r>
      <w:r w:rsidRPr="00D250C9">
        <w:t xml:space="preserve">More information on </w:t>
      </w:r>
      <w:r>
        <w:t xml:space="preserve">organisational </w:t>
      </w:r>
      <w:r w:rsidRPr="00D250C9">
        <w:t>performance</w:t>
      </w:r>
      <w:r>
        <w:t>,</w:t>
      </w:r>
      <w:r w:rsidRPr="00D250C9">
        <w:t xml:space="preserve"> including a comparison with</w:t>
      </w:r>
      <w:r>
        <w:t xml:space="preserve"> the previous two years, </w:t>
      </w:r>
      <w:r w:rsidRPr="00D250C9">
        <w:t xml:space="preserve">can be found </w:t>
      </w:r>
      <w:r>
        <w:t xml:space="preserve">under each organisation’s profile in the </w:t>
      </w:r>
      <w:r>
        <w:rPr>
          <w:i/>
          <w:iCs/>
        </w:rPr>
        <w:t>P</w:t>
      </w:r>
      <w:r w:rsidRPr="00A12810">
        <w:rPr>
          <w:i/>
          <w:iCs/>
        </w:rPr>
        <w:t>rocurement profiles</w:t>
      </w:r>
      <w:r w:rsidRPr="00D250C9">
        <w:t xml:space="preserve"> section.</w:t>
      </w:r>
    </w:p>
    <w:p w14:paraId="1D38C87A" w14:textId="77777777" w:rsidR="00E5638A" w:rsidRDefault="00E5638A" w:rsidP="00293BBA"/>
    <w:p w14:paraId="2A7EBA25" w14:textId="77777777" w:rsidR="001933C9" w:rsidRDefault="001933C9">
      <w:pPr>
        <w:rPr>
          <w:rFonts w:ascii="Calibri" w:hAnsi="Calibri" w:cs="Calibri"/>
          <w:b/>
          <w:sz w:val="22"/>
          <w:szCs w:val="22"/>
        </w:rPr>
      </w:pPr>
      <w:bookmarkStart w:id="98" w:name="_Ref16539627"/>
      <w:bookmarkStart w:id="99" w:name="_Toc17130199"/>
      <w:bookmarkStart w:id="100" w:name="_Toc48837145"/>
      <w:r>
        <w:br w:type="page"/>
      </w:r>
    </w:p>
    <w:p w14:paraId="66A21757" w14:textId="031D64BF" w:rsidR="009353F3" w:rsidRPr="00CB2247" w:rsidRDefault="009353F3" w:rsidP="003D31F5">
      <w:pPr>
        <w:pStyle w:val="Caption"/>
      </w:pPr>
      <w:bookmarkStart w:id="101" w:name="_Toc49185535"/>
      <w:r w:rsidRPr="00CB2247">
        <w:lastRenderedPageBreak/>
        <w:t xml:space="preserve">Table </w:t>
      </w:r>
      <w:r w:rsidR="00BE0754">
        <w:fldChar w:fldCharType="begin"/>
      </w:r>
      <w:r w:rsidR="00BE0754">
        <w:instrText xml:space="preserve"> SEQ Table \* ARABIC </w:instrText>
      </w:r>
      <w:r w:rsidR="00BE0754">
        <w:fldChar w:fldCharType="separate"/>
      </w:r>
      <w:r w:rsidR="00152B74">
        <w:rPr>
          <w:noProof/>
        </w:rPr>
        <w:t>12</w:t>
      </w:r>
      <w:r w:rsidR="00BE0754">
        <w:rPr>
          <w:noProof/>
        </w:rPr>
        <w:fldChar w:fldCharType="end"/>
      </w:r>
      <w:bookmarkEnd w:id="96"/>
      <w:bookmarkEnd w:id="97"/>
      <w:bookmarkEnd w:id="98"/>
      <w:r w:rsidRPr="00CB2247">
        <w:t>: Summary of performance measure results in 201</w:t>
      </w:r>
      <w:bookmarkEnd w:id="99"/>
      <w:r w:rsidR="004A053E">
        <w:t>9–20</w:t>
      </w:r>
      <w:bookmarkEnd w:id="100"/>
      <w:bookmarkEnd w:id="101"/>
    </w:p>
    <w:tbl>
      <w:tblPr>
        <w:tblStyle w:val="TableGrid1"/>
        <w:tblW w:w="8729" w:type="dxa"/>
        <w:tblInd w:w="704" w:type="dxa"/>
        <w:tblLook w:val="04A0" w:firstRow="1" w:lastRow="0" w:firstColumn="1" w:lastColumn="0" w:noHBand="0" w:noVBand="1"/>
      </w:tblPr>
      <w:tblGrid>
        <w:gridCol w:w="318"/>
        <w:gridCol w:w="2323"/>
        <w:gridCol w:w="571"/>
        <w:gridCol w:w="571"/>
        <w:gridCol w:w="571"/>
        <w:gridCol w:w="653"/>
        <w:gridCol w:w="671"/>
        <w:gridCol w:w="571"/>
        <w:gridCol w:w="571"/>
        <w:gridCol w:w="571"/>
        <w:gridCol w:w="667"/>
        <w:gridCol w:w="671"/>
      </w:tblGrid>
      <w:tr w:rsidR="00F50101" w:rsidRPr="00554B10" w14:paraId="4171A590" w14:textId="77777777" w:rsidTr="009117E3">
        <w:trPr>
          <w:trHeight w:val="3817"/>
        </w:trPr>
        <w:tc>
          <w:tcPr>
            <w:tcW w:w="2692" w:type="dxa"/>
            <w:gridSpan w:val="2"/>
            <w:shd w:val="clear" w:color="auto" w:fill="BFBFBF" w:themeFill="background1" w:themeFillShade="BF"/>
          </w:tcPr>
          <w:p w14:paraId="0934312F" w14:textId="77777777" w:rsidR="00F50101" w:rsidRPr="00554B10" w:rsidRDefault="00F50101" w:rsidP="000B20B5">
            <w:pPr>
              <w:pStyle w:val="TableHeader"/>
            </w:pPr>
          </w:p>
        </w:tc>
        <w:tc>
          <w:tcPr>
            <w:tcW w:w="571" w:type="dxa"/>
            <w:shd w:val="clear" w:color="auto" w:fill="BFBFBF" w:themeFill="background1" w:themeFillShade="BF"/>
            <w:textDirection w:val="btLr"/>
          </w:tcPr>
          <w:p w14:paraId="324F94C4" w14:textId="77777777" w:rsidR="00F50101" w:rsidRPr="00B16952" w:rsidRDefault="00F50101" w:rsidP="00C53A6E">
            <w:pPr>
              <w:pStyle w:val="TableText"/>
            </w:pPr>
            <w:r w:rsidRPr="00B16952">
              <w:t>Education and Training</w:t>
            </w:r>
          </w:p>
        </w:tc>
        <w:tc>
          <w:tcPr>
            <w:tcW w:w="571" w:type="dxa"/>
            <w:shd w:val="clear" w:color="auto" w:fill="BFBFBF" w:themeFill="background1" w:themeFillShade="BF"/>
            <w:textDirection w:val="btLr"/>
          </w:tcPr>
          <w:p w14:paraId="320B01FD" w14:textId="77777777" w:rsidR="00F50101" w:rsidRPr="00B16952" w:rsidRDefault="00F50101" w:rsidP="00C53A6E">
            <w:pPr>
              <w:pStyle w:val="TableText"/>
            </w:pPr>
            <w:r w:rsidRPr="00B16952">
              <w:t>Environment, Land, Water and Planning</w:t>
            </w:r>
          </w:p>
        </w:tc>
        <w:tc>
          <w:tcPr>
            <w:tcW w:w="571" w:type="dxa"/>
            <w:shd w:val="clear" w:color="auto" w:fill="BFBFBF" w:themeFill="background1" w:themeFillShade="BF"/>
            <w:textDirection w:val="btLr"/>
          </w:tcPr>
          <w:p w14:paraId="6B581821" w14:textId="77777777" w:rsidR="00F50101" w:rsidRPr="00B16952" w:rsidRDefault="00F50101" w:rsidP="00C53A6E">
            <w:pPr>
              <w:pStyle w:val="TableText"/>
            </w:pPr>
            <w:r w:rsidRPr="00B16952">
              <w:t>Health and Human Services</w:t>
            </w:r>
          </w:p>
        </w:tc>
        <w:tc>
          <w:tcPr>
            <w:tcW w:w="657" w:type="dxa"/>
            <w:shd w:val="clear" w:color="auto" w:fill="BFBFBF" w:themeFill="background1" w:themeFillShade="BF"/>
            <w:textDirection w:val="btLr"/>
          </w:tcPr>
          <w:p w14:paraId="72E5E816" w14:textId="72E3AB9A" w:rsidR="00F50101" w:rsidRPr="00B16952" w:rsidRDefault="00F50101" w:rsidP="00C53A6E">
            <w:pPr>
              <w:pStyle w:val="TableText"/>
            </w:pPr>
            <w:r w:rsidRPr="00B16952">
              <w:t xml:space="preserve">Jobs, Precincts and </w:t>
            </w:r>
            <w:r w:rsidR="0089350D" w:rsidRPr="00B16952">
              <w:t>Regions</w:t>
            </w:r>
          </w:p>
        </w:tc>
        <w:tc>
          <w:tcPr>
            <w:tcW w:w="657" w:type="dxa"/>
            <w:shd w:val="clear" w:color="auto" w:fill="BFBFBF" w:themeFill="background1" w:themeFillShade="BF"/>
            <w:textDirection w:val="btLr"/>
          </w:tcPr>
          <w:p w14:paraId="2DA2A64C" w14:textId="36082E53" w:rsidR="00F50101" w:rsidRPr="00B16952" w:rsidRDefault="00F50101" w:rsidP="00C53A6E">
            <w:pPr>
              <w:pStyle w:val="TableText"/>
            </w:pPr>
            <w:r w:rsidRPr="00B16952">
              <w:t>Justice and Community Safety</w:t>
            </w:r>
          </w:p>
        </w:tc>
        <w:tc>
          <w:tcPr>
            <w:tcW w:w="571" w:type="dxa"/>
            <w:shd w:val="clear" w:color="auto" w:fill="BFBFBF" w:themeFill="background1" w:themeFillShade="BF"/>
            <w:textDirection w:val="btLr"/>
          </w:tcPr>
          <w:p w14:paraId="53D27246" w14:textId="77777777" w:rsidR="00F50101" w:rsidRPr="00B16952" w:rsidRDefault="00F50101" w:rsidP="00C53A6E">
            <w:pPr>
              <w:pStyle w:val="TableText"/>
            </w:pPr>
            <w:r w:rsidRPr="00B16952">
              <w:t>Premier and Cabinet</w:t>
            </w:r>
          </w:p>
        </w:tc>
        <w:tc>
          <w:tcPr>
            <w:tcW w:w="571" w:type="dxa"/>
            <w:shd w:val="clear" w:color="auto" w:fill="BFBFBF" w:themeFill="background1" w:themeFillShade="BF"/>
            <w:textDirection w:val="btLr"/>
          </w:tcPr>
          <w:p w14:paraId="4B76B7E7" w14:textId="77777777" w:rsidR="00F50101" w:rsidRPr="00B16952" w:rsidRDefault="00F50101" w:rsidP="00C53A6E">
            <w:pPr>
              <w:pStyle w:val="TableText"/>
            </w:pPr>
            <w:r w:rsidRPr="00B16952">
              <w:t>Transport</w:t>
            </w:r>
          </w:p>
        </w:tc>
        <w:tc>
          <w:tcPr>
            <w:tcW w:w="571" w:type="dxa"/>
            <w:shd w:val="clear" w:color="auto" w:fill="BFBFBF" w:themeFill="background1" w:themeFillShade="BF"/>
            <w:textDirection w:val="btLr"/>
          </w:tcPr>
          <w:p w14:paraId="2479F5E8" w14:textId="77777777" w:rsidR="00F50101" w:rsidRPr="00B16952" w:rsidRDefault="00F50101" w:rsidP="00C53A6E">
            <w:pPr>
              <w:pStyle w:val="TableText"/>
            </w:pPr>
            <w:r w:rsidRPr="00B16952">
              <w:t>Treasury and Finance</w:t>
            </w:r>
          </w:p>
        </w:tc>
        <w:tc>
          <w:tcPr>
            <w:tcW w:w="672" w:type="dxa"/>
            <w:shd w:val="clear" w:color="auto" w:fill="BFBFBF" w:themeFill="background1" w:themeFillShade="BF"/>
            <w:textDirection w:val="btLr"/>
          </w:tcPr>
          <w:p w14:paraId="75DB88B7" w14:textId="77777777" w:rsidR="00F50101" w:rsidRPr="00B16952" w:rsidRDefault="00F50101" w:rsidP="00C53A6E">
            <w:pPr>
              <w:pStyle w:val="TableText"/>
            </w:pPr>
            <w:r w:rsidRPr="00B16952">
              <w:t>Cenitex</w:t>
            </w:r>
          </w:p>
        </w:tc>
        <w:tc>
          <w:tcPr>
            <w:tcW w:w="625" w:type="dxa"/>
            <w:shd w:val="clear" w:color="auto" w:fill="BFBFBF" w:themeFill="background1" w:themeFillShade="BF"/>
            <w:textDirection w:val="btLr"/>
          </w:tcPr>
          <w:p w14:paraId="7835C273" w14:textId="77777777" w:rsidR="00F50101" w:rsidRPr="00B16952" w:rsidRDefault="00F50101" w:rsidP="00C53A6E">
            <w:pPr>
              <w:pStyle w:val="TableText"/>
            </w:pPr>
            <w:r w:rsidRPr="00B16952">
              <w:t>Victoria Police</w:t>
            </w:r>
          </w:p>
        </w:tc>
      </w:tr>
      <w:tr w:rsidR="00F50101" w:rsidRPr="00554B10" w14:paraId="3B9CF794" w14:textId="77777777" w:rsidTr="009117E3">
        <w:tc>
          <w:tcPr>
            <w:tcW w:w="318" w:type="dxa"/>
          </w:tcPr>
          <w:p w14:paraId="3FE95051" w14:textId="77777777" w:rsidR="00F50101" w:rsidRPr="00554B10" w:rsidRDefault="00F50101" w:rsidP="000B20B5">
            <w:pPr>
              <w:pStyle w:val="TableText"/>
              <w:rPr>
                <w:sz w:val="16"/>
                <w:szCs w:val="16"/>
              </w:rPr>
            </w:pPr>
            <w:r w:rsidRPr="00554B10">
              <w:t>1</w:t>
            </w:r>
          </w:p>
        </w:tc>
        <w:tc>
          <w:tcPr>
            <w:tcW w:w="2374" w:type="dxa"/>
          </w:tcPr>
          <w:p w14:paraId="74BB0672" w14:textId="77777777" w:rsidR="00F50101" w:rsidRPr="00554B10" w:rsidRDefault="00F50101" w:rsidP="000B20B5">
            <w:pPr>
              <w:pStyle w:val="TableText"/>
            </w:pPr>
            <w:r w:rsidRPr="00554B10">
              <w:t>Value created through procurement (%)</w:t>
            </w:r>
          </w:p>
        </w:tc>
        <w:tc>
          <w:tcPr>
            <w:tcW w:w="571" w:type="dxa"/>
          </w:tcPr>
          <w:p w14:paraId="45F32725" w14:textId="7D636E3B" w:rsidR="00F50101" w:rsidRPr="006D2032" w:rsidRDefault="008237E6" w:rsidP="000B20B5">
            <w:pPr>
              <w:pStyle w:val="Tablenumbers"/>
            </w:pPr>
            <w:r w:rsidRPr="006D2032">
              <w:t>8.9</w:t>
            </w:r>
          </w:p>
        </w:tc>
        <w:tc>
          <w:tcPr>
            <w:tcW w:w="571" w:type="dxa"/>
            <w:shd w:val="clear" w:color="auto" w:fill="auto"/>
          </w:tcPr>
          <w:p w14:paraId="1C31874B" w14:textId="1F3B4FF9" w:rsidR="00F50101" w:rsidRPr="006D2032" w:rsidRDefault="0047768B" w:rsidP="000B20B5">
            <w:pPr>
              <w:pStyle w:val="Tablenumbers"/>
            </w:pPr>
            <w:r w:rsidRPr="006D2032">
              <w:t>5.3</w:t>
            </w:r>
          </w:p>
        </w:tc>
        <w:tc>
          <w:tcPr>
            <w:tcW w:w="571" w:type="dxa"/>
          </w:tcPr>
          <w:p w14:paraId="331FFB59" w14:textId="1137A078" w:rsidR="00F50101" w:rsidRPr="006D2032" w:rsidRDefault="008237E6" w:rsidP="000B20B5">
            <w:pPr>
              <w:pStyle w:val="Tablenumbers"/>
            </w:pPr>
            <w:r w:rsidRPr="006D2032">
              <w:t>4.1</w:t>
            </w:r>
          </w:p>
        </w:tc>
        <w:tc>
          <w:tcPr>
            <w:tcW w:w="657" w:type="dxa"/>
          </w:tcPr>
          <w:p w14:paraId="652D1E41" w14:textId="0537B3A1" w:rsidR="00F50101" w:rsidRPr="006D2032" w:rsidRDefault="00A7030D" w:rsidP="000B20B5">
            <w:pPr>
              <w:pStyle w:val="Tablenumbers"/>
            </w:pPr>
            <w:r w:rsidRPr="00F65579">
              <w:t>–</w:t>
            </w:r>
            <w:r w:rsidR="009117E3">
              <w:t>*</w:t>
            </w:r>
          </w:p>
        </w:tc>
        <w:tc>
          <w:tcPr>
            <w:tcW w:w="657" w:type="dxa"/>
          </w:tcPr>
          <w:p w14:paraId="6CFA5A86" w14:textId="15A20E9A" w:rsidR="00F50101" w:rsidRPr="006D2032" w:rsidRDefault="002A3F51" w:rsidP="000B20B5">
            <w:pPr>
              <w:pStyle w:val="Tablenumbers"/>
            </w:pPr>
            <w:r w:rsidRPr="006D2032">
              <w:t>10.0</w:t>
            </w:r>
          </w:p>
        </w:tc>
        <w:tc>
          <w:tcPr>
            <w:tcW w:w="571" w:type="dxa"/>
          </w:tcPr>
          <w:p w14:paraId="5B6FB4AC" w14:textId="539B5ABF" w:rsidR="00F50101" w:rsidRPr="006D2032" w:rsidRDefault="002A3F51" w:rsidP="000B20B5">
            <w:pPr>
              <w:pStyle w:val="Tablenumbers"/>
            </w:pPr>
            <w:r w:rsidRPr="006D2032">
              <w:t>1.9</w:t>
            </w:r>
          </w:p>
        </w:tc>
        <w:tc>
          <w:tcPr>
            <w:tcW w:w="571" w:type="dxa"/>
          </w:tcPr>
          <w:p w14:paraId="67731D33" w14:textId="3FC50788" w:rsidR="00F50101" w:rsidRPr="006D2032" w:rsidRDefault="008237E6" w:rsidP="000B20B5">
            <w:pPr>
              <w:pStyle w:val="Tablenumbers"/>
            </w:pPr>
            <w:r w:rsidRPr="006D2032">
              <w:t>2.2</w:t>
            </w:r>
          </w:p>
        </w:tc>
        <w:tc>
          <w:tcPr>
            <w:tcW w:w="571" w:type="dxa"/>
          </w:tcPr>
          <w:p w14:paraId="46340AE3" w14:textId="4125ECC6" w:rsidR="00F50101" w:rsidRPr="006D2032" w:rsidRDefault="002A3F51" w:rsidP="000B20B5">
            <w:pPr>
              <w:pStyle w:val="Tablenumbers"/>
            </w:pPr>
            <w:r w:rsidRPr="006D2032">
              <w:t>11.9</w:t>
            </w:r>
          </w:p>
        </w:tc>
        <w:tc>
          <w:tcPr>
            <w:tcW w:w="672" w:type="dxa"/>
          </w:tcPr>
          <w:p w14:paraId="55928CBE" w14:textId="72ACFC77" w:rsidR="00F50101" w:rsidRPr="006D2032" w:rsidRDefault="008237E6" w:rsidP="000B20B5">
            <w:pPr>
              <w:pStyle w:val="Tablenumbers"/>
            </w:pPr>
            <w:r w:rsidRPr="006D2032">
              <w:t>10.8</w:t>
            </w:r>
          </w:p>
        </w:tc>
        <w:tc>
          <w:tcPr>
            <w:tcW w:w="625" w:type="dxa"/>
          </w:tcPr>
          <w:p w14:paraId="020CAEDD" w14:textId="5197CF6A" w:rsidR="00F50101" w:rsidRPr="006D2032" w:rsidRDefault="002A3F51" w:rsidP="000B20B5">
            <w:pPr>
              <w:pStyle w:val="Tablenumbers"/>
            </w:pPr>
            <w:r w:rsidRPr="006D2032">
              <w:t>4.3</w:t>
            </w:r>
          </w:p>
        </w:tc>
      </w:tr>
      <w:tr w:rsidR="00F50101" w:rsidRPr="00554B10" w14:paraId="6DC06A04" w14:textId="77777777" w:rsidTr="009117E3">
        <w:trPr>
          <w:trHeight w:val="310"/>
        </w:trPr>
        <w:tc>
          <w:tcPr>
            <w:tcW w:w="318" w:type="dxa"/>
          </w:tcPr>
          <w:p w14:paraId="0FD2B174" w14:textId="77777777" w:rsidR="00F50101" w:rsidRPr="00554B10" w:rsidRDefault="00F50101" w:rsidP="000B20B5">
            <w:pPr>
              <w:pStyle w:val="TableText"/>
              <w:rPr>
                <w:sz w:val="16"/>
                <w:szCs w:val="16"/>
              </w:rPr>
            </w:pPr>
            <w:r w:rsidRPr="00554B10">
              <w:t>2</w:t>
            </w:r>
          </w:p>
        </w:tc>
        <w:tc>
          <w:tcPr>
            <w:tcW w:w="2374" w:type="dxa"/>
          </w:tcPr>
          <w:p w14:paraId="20EE5A9A" w14:textId="19813332" w:rsidR="00F50101" w:rsidRPr="00554B10" w:rsidRDefault="00F50101" w:rsidP="000B20B5">
            <w:pPr>
              <w:pStyle w:val="TableText"/>
            </w:pPr>
            <w:r>
              <w:t>Managed spend (%)</w:t>
            </w:r>
          </w:p>
        </w:tc>
        <w:tc>
          <w:tcPr>
            <w:tcW w:w="571" w:type="dxa"/>
          </w:tcPr>
          <w:p w14:paraId="731686E8" w14:textId="15686E2D" w:rsidR="00F50101" w:rsidRPr="006D2032" w:rsidRDefault="008237E6" w:rsidP="000B20B5">
            <w:pPr>
              <w:pStyle w:val="Tablenumbers"/>
            </w:pPr>
            <w:r w:rsidRPr="006D2032">
              <w:t>49.7</w:t>
            </w:r>
          </w:p>
        </w:tc>
        <w:tc>
          <w:tcPr>
            <w:tcW w:w="571" w:type="dxa"/>
            <w:shd w:val="clear" w:color="auto" w:fill="auto"/>
          </w:tcPr>
          <w:p w14:paraId="42425EA1" w14:textId="5A28F202" w:rsidR="00F50101" w:rsidRPr="006D2032" w:rsidRDefault="0047768B" w:rsidP="000B20B5">
            <w:pPr>
              <w:pStyle w:val="Tablenumbers"/>
            </w:pPr>
            <w:r w:rsidRPr="006D2032">
              <w:t>26.9</w:t>
            </w:r>
          </w:p>
        </w:tc>
        <w:tc>
          <w:tcPr>
            <w:tcW w:w="571" w:type="dxa"/>
          </w:tcPr>
          <w:p w14:paraId="07351325" w14:textId="6408B5CA" w:rsidR="00F50101" w:rsidRPr="006D2032" w:rsidRDefault="008237E6" w:rsidP="000B20B5">
            <w:pPr>
              <w:pStyle w:val="Tablenumbers"/>
            </w:pPr>
            <w:r w:rsidRPr="006D2032">
              <w:t>93.0</w:t>
            </w:r>
          </w:p>
        </w:tc>
        <w:tc>
          <w:tcPr>
            <w:tcW w:w="657" w:type="dxa"/>
          </w:tcPr>
          <w:p w14:paraId="72B66A1D" w14:textId="596F49BC" w:rsidR="00F50101" w:rsidRPr="006D2032" w:rsidRDefault="008237E6" w:rsidP="000B20B5">
            <w:pPr>
              <w:pStyle w:val="Tablenumbers"/>
            </w:pPr>
            <w:r w:rsidRPr="006D2032">
              <w:t>8.2</w:t>
            </w:r>
          </w:p>
        </w:tc>
        <w:tc>
          <w:tcPr>
            <w:tcW w:w="657" w:type="dxa"/>
            <w:shd w:val="clear" w:color="auto" w:fill="auto"/>
          </w:tcPr>
          <w:p w14:paraId="1A2C1EF4" w14:textId="331D6F09" w:rsidR="00F50101" w:rsidRPr="006D2032" w:rsidRDefault="00A7030D" w:rsidP="000B20B5">
            <w:pPr>
              <w:pStyle w:val="Tablenumbers"/>
            </w:pPr>
            <w:r w:rsidRPr="00F65579">
              <w:t>–</w:t>
            </w:r>
            <w:r w:rsidR="009117E3" w:rsidRPr="009117E3">
              <w:t>†</w:t>
            </w:r>
          </w:p>
        </w:tc>
        <w:tc>
          <w:tcPr>
            <w:tcW w:w="571" w:type="dxa"/>
          </w:tcPr>
          <w:p w14:paraId="29AC2612" w14:textId="6EEBEB16" w:rsidR="00F50101" w:rsidRPr="006D2032" w:rsidRDefault="002A3F51" w:rsidP="000B20B5">
            <w:pPr>
              <w:pStyle w:val="Tablenumbers"/>
            </w:pPr>
            <w:r w:rsidRPr="006D2032">
              <w:t>29.3</w:t>
            </w:r>
          </w:p>
        </w:tc>
        <w:tc>
          <w:tcPr>
            <w:tcW w:w="571" w:type="dxa"/>
          </w:tcPr>
          <w:p w14:paraId="4C3D598E" w14:textId="2D02381F" w:rsidR="00F50101" w:rsidRPr="006D2032" w:rsidRDefault="008237E6" w:rsidP="000B20B5">
            <w:pPr>
              <w:pStyle w:val="Tablenumbers"/>
            </w:pPr>
            <w:r w:rsidRPr="006D2032">
              <w:t>79.8</w:t>
            </w:r>
          </w:p>
        </w:tc>
        <w:tc>
          <w:tcPr>
            <w:tcW w:w="571" w:type="dxa"/>
            <w:shd w:val="clear" w:color="auto" w:fill="auto"/>
          </w:tcPr>
          <w:p w14:paraId="68A16E55" w14:textId="72920C44" w:rsidR="00F50101" w:rsidRPr="006D2032" w:rsidRDefault="00007EED" w:rsidP="000B20B5">
            <w:pPr>
              <w:pStyle w:val="Tablenumbers"/>
            </w:pPr>
            <w:r w:rsidRPr="00007EED">
              <w:t>97.6</w:t>
            </w:r>
          </w:p>
        </w:tc>
        <w:tc>
          <w:tcPr>
            <w:tcW w:w="672" w:type="dxa"/>
          </w:tcPr>
          <w:p w14:paraId="1412933D" w14:textId="51D4A6B2" w:rsidR="00F50101" w:rsidRPr="006D2032" w:rsidRDefault="008237E6" w:rsidP="000B20B5">
            <w:pPr>
              <w:pStyle w:val="Tablenumbers"/>
            </w:pPr>
            <w:r w:rsidRPr="006D2032">
              <w:t>100</w:t>
            </w:r>
          </w:p>
        </w:tc>
        <w:tc>
          <w:tcPr>
            <w:tcW w:w="625" w:type="dxa"/>
          </w:tcPr>
          <w:p w14:paraId="3A58A76B" w14:textId="660BD83F" w:rsidR="00F50101" w:rsidRPr="006D2032" w:rsidRDefault="001C109A" w:rsidP="000B20B5">
            <w:pPr>
              <w:pStyle w:val="Tablenumbers"/>
            </w:pPr>
            <w:r>
              <w:t>86.1</w:t>
            </w:r>
          </w:p>
          <w:p w14:paraId="7310FCD5" w14:textId="746DFB90" w:rsidR="002A3F51" w:rsidRPr="006D2032" w:rsidRDefault="002A3F51" w:rsidP="000B20B5">
            <w:pPr>
              <w:pStyle w:val="Tablenumbers"/>
            </w:pPr>
          </w:p>
        </w:tc>
      </w:tr>
      <w:tr w:rsidR="00F50101" w:rsidRPr="00554B10" w14:paraId="011A9957" w14:textId="77777777" w:rsidTr="009117E3">
        <w:tc>
          <w:tcPr>
            <w:tcW w:w="318" w:type="dxa"/>
          </w:tcPr>
          <w:p w14:paraId="09B0185D" w14:textId="77777777" w:rsidR="00F50101" w:rsidRPr="00554B10" w:rsidRDefault="00F50101" w:rsidP="000B20B5">
            <w:pPr>
              <w:pStyle w:val="TableText"/>
              <w:rPr>
                <w:sz w:val="16"/>
                <w:szCs w:val="16"/>
              </w:rPr>
            </w:pPr>
            <w:r w:rsidRPr="00554B10">
              <w:t>3</w:t>
            </w:r>
          </w:p>
        </w:tc>
        <w:tc>
          <w:tcPr>
            <w:tcW w:w="2374" w:type="dxa"/>
          </w:tcPr>
          <w:p w14:paraId="43A35378" w14:textId="77777777" w:rsidR="00F50101" w:rsidRPr="00554B10" w:rsidRDefault="00F50101" w:rsidP="000B20B5">
            <w:pPr>
              <w:pStyle w:val="TableText"/>
            </w:pPr>
            <w:r w:rsidRPr="00554B10">
              <w:t>Increase in procurement capability (%)</w:t>
            </w:r>
          </w:p>
        </w:tc>
        <w:tc>
          <w:tcPr>
            <w:tcW w:w="571" w:type="dxa"/>
          </w:tcPr>
          <w:p w14:paraId="6BC5F876" w14:textId="1DC228D7" w:rsidR="00F50101" w:rsidRPr="006D2032" w:rsidRDefault="008237E6" w:rsidP="000B20B5">
            <w:pPr>
              <w:pStyle w:val="Tablenumbers"/>
            </w:pPr>
            <w:r w:rsidRPr="006D2032">
              <w:t>2.3</w:t>
            </w:r>
          </w:p>
        </w:tc>
        <w:tc>
          <w:tcPr>
            <w:tcW w:w="571" w:type="dxa"/>
            <w:shd w:val="clear" w:color="auto" w:fill="auto"/>
          </w:tcPr>
          <w:p w14:paraId="24D9A6DA" w14:textId="3A9D526B" w:rsidR="00F50101" w:rsidRPr="006D2032" w:rsidRDefault="0047768B" w:rsidP="000B20B5">
            <w:pPr>
              <w:pStyle w:val="Tablenumbers"/>
            </w:pPr>
            <w:r w:rsidRPr="006D2032">
              <w:t>6.3</w:t>
            </w:r>
          </w:p>
        </w:tc>
        <w:tc>
          <w:tcPr>
            <w:tcW w:w="571" w:type="dxa"/>
          </w:tcPr>
          <w:p w14:paraId="4CE2C6E5" w14:textId="1E5AAE93" w:rsidR="00F50101" w:rsidRPr="006D2032" w:rsidRDefault="008237E6" w:rsidP="000B20B5">
            <w:pPr>
              <w:pStyle w:val="Tablenumbers"/>
            </w:pPr>
            <w:r w:rsidRPr="006D2032">
              <w:t>2.8</w:t>
            </w:r>
          </w:p>
        </w:tc>
        <w:tc>
          <w:tcPr>
            <w:tcW w:w="657" w:type="dxa"/>
          </w:tcPr>
          <w:p w14:paraId="564F1E6D" w14:textId="60B98818" w:rsidR="00F50101" w:rsidRPr="006D2032" w:rsidRDefault="008237E6" w:rsidP="000B20B5">
            <w:pPr>
              <w:pStyle w:val="Tablenumbers"/>
            </w:pPr>
            <w:r w:rsidRPr="006D2032">
              <w:t>10.6</w:t>
            </w:r>
          </w:p>
        </w:tc>
        <w:tc>
          <w:tcPr>
            <w:tcW w:w="657" w:type="dxa"/>
          </w:tcPr>
          <w:p w14:paraId="32F526E5" w14:textId="42EF27B6" w:rsidR="00F50101" w:rsidRPr="006D2032" w:rsidRDefault="00146183" w:rsidP="000B20B5">
            <w:pPr>
              <w:pStyle w:val="Tablenumbers"/>
            </w:pPr>
            <w:r>
              <w:rPr>
                <w:rFonts w:cs="Calibri"/>
              </w:rPr>
              <w:t>−</w:t>
            </w:r>
            <w:r w:rsidR="002A3F51" w:rsidRPr="006D2032">
              <w:t>20.7</w:t>
            </w:r>
          </w:p>
        </w:tc>
        <w:tc>
          <w:tcPr>
            <w:tcW w:w="571" w:type="dxa"/>
          </w:tcPr>
          <w:p w14:paraId="01E1E1A8" w14:textId="461DE71E" w:rsidR="00F50101" w:rsidRPr="006D2032" w:rsidRDefault="002A3F51" w:rsidP="000B20B5">
            <w:pPr>
              <w:pStyle w:val="Tablenumbers"/>
            </w:pPr>
            <w:r w:rsidRPr="006D2032">
              <w:t>14.1</w:t>
            </w:r>
          </w:p>
        </w:tc>
        <w:tc>
          <w:tcPr>
            <w:tcW w:w="571" w:type="dxa"/>
          </w:tcPr>
          <w:p w14:paraId="519AA1ED" w14:textId="1CB1CE81" w:rsidR="00F50101" w:rsidRPr="006D2032" w:rsidRDefault="008237E6" w:rsidP="000B20B5">
            <w:pPr>
              <w:pStyle w:val="Tablenumbers"/>
            </w:pPr>
            <w:r w:rsidRPr="006D2032">
              <w:t>18.7</w:t>
            </w:r>
          </w:p>
        </w:tc>
        <w:tc>
          <w:tcPr>
            <w:tcW w:w="571" w:type="dxa"/>
          </w:tcPr>
          <w:p w14:paraId="3442EE46" w14:textId="761A4C01" w:rsidR="00F50101" w:rsidRPr="006D2032" w:rsidRDefault="002A3F51" w:rsidP="000B20B5">
            <w:pPr>
              <w:pStyle w:val="Tablenumbers"/>
            </w:pPr>
            <w:r w:rsidRPr="006D2032">
              <w:t>3.4</w:t>
            </w:r>
          </w:p>
        </w:tc>
        <w:tc>
          <w:tcPr>
            <w:tcW w:w="672" w:type="dxa"/>
          </w:tcPr>
          <w:p w14:paraId="06BBB080" w14:textId="70F955CD" w:rsidR="00F50101" w:rsidRPr="006D2032" w:rsidRDefault="008237E6" w:rsidP="000B20B5">
            <w:pPr>
              <w:pStyle w:val="Tablenumbers"/>
            </w:pPr>
            <w:r w:rsidRPr="006D2032">
              <w:t>8.6</w:t>
            </w:r>
          </w:p>
        </w:tc>
        <w:tc>
          <w:tcPr>
            <w:tcW w:w="625" w:type="dxa"/>
          </w:tcPr>
          <w:p w14:paraId="299CD816" w14:textId="3B58E440" w:rsidR="00F50101" w:rsidRPr="006D2032" w:rsidRDefault="00146183" w:rsidP="000B20B5">
            <w:pPr>
              <w:pStyle w:val="Tablenumbers"/>
            </w:pPr>
            <w:r>
              <w:rPr>
                <w:rFonts w:cs="Calibri"/>
              </w:rPr>
              <w:t>−</w:t>
            </w:r>
            <w:r w:rsidR="002A3F51" w:rsidRPr="006D2032">
              <w:t>10.4</w:t>
            </w:r>
          </w:p>
        </w:tc>
      </w:tr>
      <w:tr w:rsidR="00F50101" w:rsidRPr="00554B10" w14:paraId="530B7433" w14:textId="77777777" w:rsidTr="009117E3">
        <w:tc>
          <w:tcPr>
            <w:tcW w:w="318" w:type="dxa"/>
            <w:vMerge w:val="restart"/>
          </w:tcPr>
          <w:p w14:paraId="2D988F0D" w14:textId="5870CA58" w:rsidR="00F50101" w:rsidRPr="00554B10" w:rsidRDefault="00F50101" w:rsidP="000B20B5">
            <w:pPr>
              <w:pStyle w:val="TableText"/>
            </w:pPr>
            <w:r>
              <w:t>4</w:t>
            </w:r>
          </w:p>
        </w:tc>
        <w:tc>
          <w:tcPr>
            <w:tcW w:w="2374" w:type="dxa"/>
          </w:tcPr>
          <w:p w14:paraId="50B4BB71" w14:textId="77777777" w:rsidR="00F50101" w:rsidRPr="00554B10" w:rsidRDefault="00F50101" w:rsidP="000B20B5">
            <w:pPr>
              <w:pStyle w:val="TableText"/>
            </w:pPr>
            <w:r w:rsidRPr="00554B10">
              <w:t>Successful suppliers satisfied (%)</w:t>
            </w:r>
          </w:p>
        </w:tc>
        <w:tc>
          <w:tcPr>
            <w:tcW w:w="571" w:type="dxa"/>
          </w:tcPr>
          <w:p w14:paraId="4087B019" w14:textId="35244C36" w:rsidR="00F50101" w:rsidRPr="006D2032" w:rsidRDefault="008237E6" w:rsidP="000B20B5">
            <w:pPr>
              <w:pStyle w:val="Tablenumbers"/>
            </w:pPr>
            <w:r w:rsidRPr="006D2032">
              <w:t>79</w:t>
            </w:r>
          </w:p>
        </w:tc>
        <w:tc>
          <w:tcPr>
            <w:tcW w:w="571" w:type="dxa"/>
            <w:shd w:val="clear" w:color="auto" w:fill="auto"/>
          </w:tcPr>
          <w:p w14:paraId="307B84F3" w14:textId="156FE8BE" w:rsidR="00F50101" w:rsidRPr="006D2032" w:rsidRDefault="0047768B" w:rsidP="000B20B5">
            <w:pPr>
              <w:pStyle w:val="Tablenumbers"/>
            </w:pPr>
            <w:r w:rsidRPr="006D2032">
              <w:t>60</w:t>
            </w:r>
          </w:p>
        </w:tc>
        <w:tc>
          <w:tcPr>
            <w:tcW w:w="571" w:type="dxa"/>
          </w:tcPr>
          <w:p w14:paraId="0DA83E44" w14:textId="3CED616A" w:rsidR="00F50101" w:rsidRPr="006D2032" w:rsidRDefault="008237E6" w:rsidP="000B20B5">
            <w:pPr>
              <w:pStyle w:val="Tablenumbers"/>
            </w:pPr>
            <w:r w:rsidRPr="006D2032">
              <w:t>83</w:t>
            </w:r>
          </w:p>
        </w:tc>
        <w:tc>
          <w:tcPr>
            <w:tcW w:w="657" w:type="dxa"/>
          </w:tcPr>
          <w:p w14:paraId="57FC269C" w14:textId="46183ABB" w:rsidR="00F50101" w:rsidRPr="006D2032" w:rsidRDefault="008237E6" w:rsidP="000B20B5">
            <w:pPr>
              <w:pStyle w:val="Tablenumbers"/>
            </w:pPr>
            <w:r w:rsidRPr="006D2032">
              <w:t>86</w:t>
            </w:r>
          </w:p>
        </w:tc>
        <w:tc>
          <w:tcPr>
            <w:tcW w:w="657" w:type="dxa"/>
          </w:tcPr>
          <w:p w14:paraId="0A695DF8" w14:textId="7BD4EAEF" w:rsidR="00F50101" w:rsidRPr="006D2032" w:rsidRDefault="002A3F51" w:rsidP="000B20B5">
            <w:pPr>
              <w:pStyle w:val="Tablenumbers"/>
            </w:pPr>
            <w:r w:rsidRPr="006D2032">
              <w:t>69</w:t>
            </w:r>
          </w:p>
        </w:tc>
        <w:tc>
          <w:tcPr>
            <w:tcW w:w="571" w:type="dxa"/>
          </w:tcPr>
          <w:p w14:paraId="0746AD77" w14:textId="225925E0" w:rsidR="00F50101" w:rsidRPr="006D2032" w:rsidRDefault="002A3F51" w:rsidP="000B20B5">
            <w:pPr>
              <w:pStyle w:val="Tablenumbers"/>
            </w:pPr>
            <w:r w:rsidRPr="006D2032">
              <w:t>100</w:t>
            </w:r>
          </w:p>
        </w:tc>
        <w:tc>
          <w:tcPr>
            <w:tcW w:w="571" w:type="dxa"/>
          </w:tcPr>
          <w:p w14:paraId="3D7974D0" w14:textId="3516675B" w:rsidR="00F50101" w:rsidRPr="006D2032" w:rsidRDefault="008237E6" w:rsidP="000B20B5">
            <w:pPr>
              <w:pStyle w:val="Tablenumbers"/>
            </w:pPr>
            <w:r w:rsidRPr="006D2032">
              <w:t>69</w:t>
            </w:r>
          </w:p>
        </w:tc>
        <w:tc>
          <w:tcPr>
            <w:tcW w:w="571" w:type="dxa"/>
          </w:tcPr>
          <w:p w14:paraId="77832D72" w14:textId="193839CC" w:rsidR="00F50101" w:rsidRPr="006D2032" w:rsidRDefault="002A3F51" w:rsidP="000B20B5">
            <w:pPr>
              <w:pStyle w:val="Tablenumbers"/>
            </w:pPr>
            <w:r w:rsidRPr="006D2032">
              <w:t>100</w:t>
            </w:r>
          </w:p>
        </w:tc>
        <w:tc>
          <w:tcPr>
            <w:tcW w:w="672" w:type="dxa"/>
          </w:tcPr>
          <w:p w14:paraId="7E735F1A" w14:textId="285944FB" w:rsidR="00F50101" w:rsidRPr="006D2032" w:rsidRDefault="008237E6" w:rsidP="000B20B5">
            <w:pPr>
              <w:pStyle w:val="Tablenumbers"/>
            </w:pPr>
            <w:r w:rsidRPr="006D2032">
              <w:t>67</w:t>
            </w:r>
          </w:p>
        </w:tc>
        <w:tc>
          <w:tcPr>
            <w:tcW w:w="625" w:type="dxa"/>
          </w:tcPr>
          <w:p w14:paraId="6661DA95" w14:textId="2E2CAED7" w:rsidR="00F50101" w:rsidRPr="006D2032" w:rsidRDefault="002A3F51" w:rsidP="000B20B5">
            <w:pPr>
              <w:pStyle w:val="Tablenumbers"/>
            </w:pPr>
            <w:r w:rsidRPr="006D2032">
              <w:t>93</w:t>
            </w:r>
          </w:p>
        </w:tc>
      </w:tr>
      <w:tr w:rsidR="00F50101" w:rsidRPr="00554B10" w14:paraId="1ADD3FF1" w14:textId="77777777" w:rsidTr="009117E3">
        <w:tc>
          <w:tcPr>
            <w:tcW w:w="318" w:type="dxa"/>
            <w:vMerge/>
          </w:tcPr>
          <w:p w14:paraId="79759BD8" w14:textId="77777777" w:rsidR="00F50101" w:rsidRPr="00554B10" w:rsidRDefault="00F50101" w:rsidP="000B20B5">
            <w:pPr>
              <w:pStyle w:val="TableText"/>
            </w:pPr>
          </w:p>
        </w:tc>
        <w:tc>
          <w:tcPr>
            <w:tcW w:w="2374" w:type="dxa"/>
          </w:tcPr>
          <w:p w14:paraId="2FE8AD13" w14:textId="77777777" w:rsidR="00F50101" w:rsidRPr="00554B10" w:rsidRDefault="00F50101" w:rsidP="000B20B5">
            <w:pPr>
              <w:pStyle w:val="TableText"/>
            </w:pPr>
            <w:r w:rsidRPr="00554B10">
              <w:t>Unsuccessful suppliers satisfied (%)</w:t>
            </w:r>
          </w:p>
        </w:tc>
        <w:tc>
          <w:tcPr>
            <w:tcW w:w="571" w:type="dxa"/>
          </w:tcPr>
          <w:p w14:paraId="0C447245" w14:textId="46A2D89B" w:rsidR="00F50101" w:rsidRPr="006D2032" w:rsidRDefault="008237E6" w:rsidP="000B20B5">
            <w:pPr>
              <w:pStyle w:val="Tablenumbers"/>
            </w:pPr>
            <w:r w:rsidRPr="006D2032">
              <w:t>52</w:t>
            </w:r>
          </w:p>
        </w:tc>
        <w:tc>
          <w:tcPr>
            <w:tcW w:w="571" w:type="dxa"/>
            <w:shd w:val="clear" w:color="auto" w:fill="auto"/>
          </w:tcPr>
          <w:p w14:paraId="38E075AB" w14:textId="23010A4F" w:rsidR="00F50101" w:rsidRPr="006D2032" w:rsidRDefault="0047768B" w:rsidP="000B20B5">
            <w:pPr>
              <w:pStyle w:val="Tablenumbers"/>
            </w:pPr>
            <w:r w:rsidRPr="006D2032">
              <w:t>32</w:t>
            </w:r>
          </w:p>
        </w:tc>
        <w:tc>
          <w:tcPr>
            <w:tcW w:w="571" w:type="dxa"/>
          </w:tcPr>
          <w:p w14:paraId="160EE83B" w14:textId="2B6B5FCB" w:rsidR="00F50101" w:rsidRPr="006D2032" w:rsidRDefault="008237E6" w:rsidP="000B20B5">
            <w:pPr>
              <w:pStyle w:val="Tablenumbers"/>
            </w:pPr>
            <w:r w:rsidRPr="006D2032">
              <w:t>38</w:t>
            </w:r>
          </w:p>
        </w:tc>
        <w:tc>
          <w:tcPr>
            <w:tcW w:w="657" w:type="dxa"/>
          </w:tcPr>
          <w:p w14:paraId="70D8E525" w14:textId="3BCFAC49" w:rsidR="00F50101" w:rsidRPr="006D2032" w:rsidRDefault="008237E6" w:rsidP="000B20B5">
            <w:pPr>
              <w:pStyle w:val="Tablenumbers"/>
            </w:pPr>
            <w:r w:rsidRPr="006D2032">
              <w:t>57</w:t>
            </w:r>
          </w:p>
        </w:tc>
        <w:tc>
          <w:tcPr>
            <w:tcW w:w="657" w:type="dxa"/>
          </w:tcPr>
          <w:p w14:paraId="54EFE15F" w14:textId="39FA39AB" w:rsidR="00F50101" w:rsidRPr="006D2032" w:rsidRDefault="002A3F51" w:rsidP="000B20B5">
            <w:pPr>
              <w:pStyle w:val="Tablenumbers"/>
            </w:pPr>
            <w:r w:rsidRPr="006D2032">
              <w:t>33</w:t>
            </w:r>
          </w:p>
        </w:tc>
        <w:tc>
          <w:tcPr>
            <w:tcW w:w="571" w:type="dxa"/>
          </w:tcPr>
          <w:p w14:paraId="11A5CD5C" w14:textId="40B30C35" w:rsidR="00F50101" w:rsidRPr="006D2032" w:rsidRDefault="002A3F51" w:rsidP="000B20B5">
            <w:pPr>
              <w:pStyle w:val="Tablenumbers"/>
            </w:pPr>
            <w:r w:rsidRPr="006D2032">
              <w:t>75</w:t>
            </w:r>
          </w:p>
        </w:tc>
        <w:tc>
          <w:tcPr>
            <w:tcW w:w="571" w:type="dxa"/>
          </w:tcPr>
          <w:p w14:paraId="20C3FFB7" w14:textId="7411B1A3" w:rsidR="00F50101" w:rsidRPr="006D2032" w:rsidRDefault="008237E6" w:rsidP="000B20B5">
            <w:pPr>
              <w:pStyle w:val="Tablenumbers"/>
            </w:pPr>
            <w:r w:rsidRPr="006D2032">
              <w:t>26</w:t>
            </w:r>
          </w:p>
        </w:tc>
        <w:tc>
          <w:tcPr>
            <w:tcW w:w="571" w:type="dxa"/>
          </w:tcPr>
          <w:p w14:paraId="1A35D94A" w14:textId="3D1C551D" w:rsidR="00F50101" w:rsidRPr="006D2032" w:rsidRDefault="002A3F51" w:rsidP="000B20B5">
            <w:pPr>
              <w:pStyle w:val="Tablenumbers"/>
            </w:pPr>
            <w:r w:rsidRPr="006D2032">
              <w:t>55</w:t>
            </w:r>
          </w:p>
        </w:tc>
        <w:tc>
          <w:tcPr>
            <w:tcW w:w="672" w:type="dxa"/>
          </w:tcPr>
          <w:p w14:paraId="1EDD9C24" w14:textId="484C2F78" w:rsidR="00F50101" w:rsidRPr="006D2032" w:rsidRDefault="003B5F42" w:rsidP="000B20B5">
            <w:pPr>
              <w:pStyle w:val="Tablenumbers"/>
            </w:pPr>
            <w:r w:rsidRPr="006D2032">
              <w:t>40</w:t>
            </w:r>
          </w:p>
        </w:tc>
        <w:tc>
          <w:tcPr>
            <w:tcW w:w="625" w:type="dxa"/>
          </w:tcPr>
          <w:p w14:paraId="3003BFAE" w14:textId="36D54C4D" w:rsidR="00F50101" w:rsidRPr="006D2032" w:rsidRDefault="002A3F51" w:rsidP="000B20B5">
            <w:pPr>
              <w:pStyle w:val="Tablenumbers"/>
            </w:pPr>
            <w:r w:rsidRPr="006D2032">
              <w:t>33</w:t>
            </w:r>
          </w:p>
        </w:tc>
      </w:tr>
      <w:tr w:rsidR="00F50101" w:rsidRPr="00554B10" w14:paraId="3DAC5DA7" w14:textId="77777777" w:rsidTr="009117E3">
        <w:tc>
          <w:tcPr>
            <w:tcW w:w="318" w:type="dxa"/>
          </w:tcPr>
          <w:p w14:paraId="34EAD033" w14:textId="3BADA11F" w:rsidR="00F50101" w:rsidRPr="00554B10" w:rsidRDefault="00F50101" w:rsidP="000B20B5">
            <w:pPr>
              <w:pStyle w:val="TableText"/>
            </w:pPr>
            <w:r>
              <w:t>5</w:t>
            </w:r>
          </w:p>
        </w:tc>
        <w:tc>
          <w:tcPr>
            <w:tcW w:w="2374" w:type="dxa"/>
          </w:tcPr>
          <w:p w14:paraId="2F421197" w14:textId="77777777" w:rsidR="00F50101" w:rsidRPr="00554B10" w:rsidRDefault="00F50101" w:rsidP="000B20B5">
            <w:pPr>
              <w:pStyle w:val="TableText"/>
            </w:pPr>
            <w:r w:rsidRPr="00554B10">
              <w:t>Planned procurement activity (%)</w:t>
            </w:r>
          </w:p>
        </w:tc>
        <w:tc>
          <w:tcPr>
            <w:tcW w:w="571" w:type="dxa"/>
          </w:tcPr>
          <w:p w14:paraId="14A99843" w14:textId="6D219BFD" w:rsidR="00F50101" w:rsidRPr="006D2032" w:rsidRDefault="008237E6" w:rsidP="000B20B5">
            <w:pPr>
              <w:pStyle w:val="Tablenumbers"/>
            </w:pPr>
            <w:r w:rsidRPr="006D2032">
              <w:t>46.7</w:t>
            </w:r>
          </w:p>
        </w:tc>
        <w:tc>
          <w:tcPr>
            <w:tcW w:w="571" w:type="dxa"/>
            <w:shd w:val="clear" w:color="auto" w:fill="auto"/>
          </w:tcPr>
          <w:p w14:paraId="494303FA" w14:textId="6F73E411" w:rsidR="00F50101" w:rsidRPr="006D2032" w:rsidRDefault="001C109A" w:rsidP="000B20B5">
            <w:pPr>
              <w:pStyle w:val="Tablenumbers"/>
            </w:pPr>
            <w:r>
              <w:t>71.7</w:t>
            </w:r>
          </w:p>
        </w:tc>
        <w:tc>
          <w:tcPr>
            <w:tcW w:w="571" w:type="dxa"/>
          </w:tcPr>
          <w:p w14:paraId="2AFC6C28" w14:textId="559C2AC5" w:rsidR="00F50101" w:rsidRPr="006D2032" w:rsidRDefault="008237E6" w:rsidP="000B20B5">
            <w:pPr>
              <w:pStyle w:val="Tablenumbers"/>
            </w:pPr>
            <w:r w:rsidRPr="006D2032">
              <w:t>22.4</w:t>
            </w:r>
          </w:p>
        </w:tc>
        <w:tc>
          <w:tcPr>
            <w:tcW w:w="657" w:type="dxa"/>
          </w:tcPr>
          <w:p w14:paraId="45B330C7" w14:textId="6168CB86" w:rsidR="00F50101" w:rsidRPr="006D2032" w:rsidRDefault="008237E6" w:rsidP="000B20B5">
            <w:pPr>
              <w:pStyle w:val="Tablenumbers"/>
            </w:pPr>
            <w:r w:rsidRPr="006D2032">
              <w:t>38.5</w:t>
            </w:r>
          </w:p>
        </w:tc>
        <w:tc>
          <w:tcPr>
            <w:tcW w:w="657" w:type="dxa"/>
          </w:tcPr>
          <w:p w14:paraId="30CE084F" w14:textId="0B461CEA" w:rsidR="00F50101" w:rsidRPr="006D2032" w:rsidRDefault="002A3F51" w:rsidP="000B20B5">
            <w:pPr>
              <w:pStyle w:val="Tablenumbers"/>
            </w:pPr>
            <w:r w:rsidRPr="006D2032">
              <w:t>24.9</w:t>
            </w:r>
          </w:p>
        </w:tc>
        <w:tc>
          <w:tcPr>
            <w:tcW w:w="571" w:type="dxa"/>
          </w:tcPr>
          <w:p w14:paraId="6B218701" w14:textId="37AA28B5" w:rsidR="00F50101" w:rsidRPr="006D2032" w:rsidRDefault="008237E6" w:rsidP="000B20B5">
            <w:pPr>
              <w:pStyle w:val="Tablenumbers"/>
            </w:pPr>
            <w:r w:rsidRPr="006D2032">
              <w:t>50.0</w:t>
            </w:r>
          </w:p>
        </w:tc>
        <w:tc>
          <w:tcPr>
            <w:tcW w:w="571" w:type="dxa"/>
          </w:tcPr>
          <w:p w14:paraId="00451612" w14:textId="2F1230F5" w:rsidR="00F50101" w:rsidRPr="006D2032" w:rsidRDefault="008237E6" w:rsidP="000B20B5">
            <w:pPr>
              <w:pStyle w:val="Tablenumbers"/>
            </w:pPr>
            <w:r w:rsidRPr="006D2032">
              <w:t>10.5</w:t>
            </w:r>
          </w:p>
        </w:tc>
        <w:tc>
          <w:tcPr>
            <w:tcW w:w="571" w:type="dxa"/>
          </w:tcPr>
          <w:p w14:paraId="756C68CF" w14:textId="21240E7B" w:rsidR="00F50101" w:rsidRPr="006D2032" w:rsidRDefault="00673909" w:rsidP="000B20B5">
            <w:pPr>
              <w:pStyle w:val="Tablenumbers"/>
            </w:pPr>
            <w:r w:rsidRPr="006D2032">
              <w:t>59.1</w:t>
            </w:r>
          </w:p>
        </w:tc>
        <w:tc>
          <w:tcPr>
            <w:tcW w:w="672" w:type="dxa"/>
          </w:tcPr>
          <w:p w14:paraId="5AFDB6D9" w14:textId="5F93E231" w:rsidR="00F50101" w:rsidRPr="006D2032" w:rsidRDefault="003B5F42" w:rsidP="000B20B5">
            <w:pPr>
              <w:pStyle w:val="Tablenumbers"/>
            </w:pPr>
            <w:r w:rsidRPr="006D2032">
              <w:t>35.7</w:t>
            </w:r>
          </w:p>
        </w:tc>
        <w:tc>
          <w:tcPr>
            <w:tcW w:w="625" w:type="dxa"/>
          </w:tcPr>
          <w:p w14:paraId="5994D496" w14:textId="20E8EE1A" w:rsidR="00F50101" w:rsidRPr="006D2032" w:rsidRDefault="002A3F51" w:rsidP="000B20B5">
            <w:pPr>
              <w:pStyle w:val="Tablenumbers"/>
            </w:pPr>
            <w:r w:rsidRPr="006D2032">
              <w:t>82.6</w:t>
            </w:r>
          </w:p>
        </w:tc>
      </w:tr>
    </w:tbl>
    <w:p w14:paraId="37CE219A" w14:textId="5C64DDB4" w:rsidR="009117E3" w:rsidRDefault="009117E3" w:rsidP="009117E3">
      <w:pPr>
        <w:pStyle w:val="Tablenotes"/>
        <w:rPr>
          <w:rStyle w:val="hgkelc"/>
        </w:rPr>
      </w:pPr>
      <w:bookmarkStart w:id="102" w:name="_Hlk520470346"/>
      <w:r w:rsidRPr="009117E3">
        <w:rPr>
          <w:rStyle w:val="hgkelc"/>
        </w:rPr>
        <w:t>*</w:t>
      </w:r>
      <w:r>
        <w:rPr>
          <w:rStyle w:val="hgkelc"/>
        </w:rPr>
        <w:t xml:space="preserve"> The Department of Jobs, Precincts and Regions </w:t>
      </w:r>
      <w:r w:rsidRPr="007A12CC">
        <w:t xml:space="preserve">operates a decentralised procurement model with mandatory requirements to demonstrate value for money. However, the model does not currently capture monetary value from procurement activity. </w:t>
      </w:r>
      <w:r>
        <w:t xml:space="preserve">The department </w:t>
      </w:r>
      <w:r w:rsidRPr="007A12CC">
        <w:t xml:space="preserve">is considering initiatives to increase visibility of cost saving achievements across the </w:t>
      </w:r>
      <w:r w:rsidR="008466A8">
        <w:t>d</w:t>
      </w:r>
      <w:r w:rsidRPr="007A12CC">
        <w:t>epartment.</w:t>
      </w:r>
    </w:p>
    <w:p w14:paraId="18919D5F" w14:textId="567CBAF1" w:rsidR="003808BB" w:rsidRDefault="009117E3" w:rsidP="009467D3">
      <w:pPr>
        <w:pStyle w:val="Tablenotes"/>
      </w:pPr>
      <w:r>
        <w:rPr>
          <w:rStyle w:val="hgkelc"/>
        </w:rPr>
        <w:t>†</w:t>
      </w:r>
      <w:r w:rsidR="000019EF" w:rsidRPr="009467D3">
        <w:t xml:space="preserve"> The Department of Justice and Community Safety could not provide data for this metric</w:t>
      </w:r>
      <w:r w:rsidR="001C109A">
        <w:t xml:space="preserve"> and </w:t>
      </w:r>
      <w:r w:rsidR="000019EF" w:rsidRPr="009467D3">
        <w:t>is implementing a new system which will help provide this data in future.</w:t>
      </w:r>
    </w:p>
    <w:p w14:paraId="312E9CEC" w14:textId="77777777" w:rsidR="005B598F" w:rsidRDefault="005B598F" w:rsidP="00043C3A">
      <w:pPr>
        <w:pStyle w:val="Heading2NoNum"/>
      </w:pPr>
      <w:bookmarkStart w:id="103" w:name="_Toc52187728"/>
      <w:r>
        <w:t>Engagement</w:t>
      </w:r>
      <w:bookmarkEnd w:id="103"/>
    </w:p>
    <w:p w14:paraId="1764FBBF" w14:textId="72791617" w:rsidR="001C109A" w:rsidRDefault="0049765E" w:rsidP="001C109A">
      <w:pPr>
        <w:pStyle w:val="Normal1"/>
      </w:pPr>
      <w:r>
        <w:t xml:space="preserve">In 2018–19, </w:t>
      </w:r>
      <w:r w:rsidR="001C109A">
        <w:t xml:space="preserve">the VGPB moved from an organisational oversight model focused on risk and complexity to an engagement model. </w:t>
      </w:r>
      <w:r>
        <w:t>Under t</w:t>
      </w:r>
      <w:r w:rsidR="001C109A">
        <w:t>he new model</w:t>
      </w:r>
      <w:r>
        <w:t xml:space="preserve">, </w:t>
      </w:r>
      <w:r w:rsidR="001C109A">
        <w:t>organisations engag</w:t>
      </w:r>
      <w:r>
        <w:t>e</w:t>
      </w:r>
      <w:r w:rsidR="001C109A">
        <w:t xml:space="preserve"> with the VGPB on a broader range of procurement activities, providing the opportunity for the VGPB to monitor compliance more widely, engage and interact with procurement personnel across government and give strategic advice.</w:t>
      </w:r>
    </w:p>
    <w:p w14:paraId="181A81DD" w14:textId="2A516492" w:rsidR="001C109A" w:rsidRDefault="001C109A" w:rsidP="001C109A">
      <w:pPr>
        <w:pStyle w:val="Normal1"/>
      </w:pPr>
      <w:r>
        <w:t>Under this new engagement model, the VGPB received eight submissions from organisations in 2019–20</w:t>
      </w:r>
      <w:r w:rsidR="00550A3B">
        <w:t xml:space="preserve">. The </w:t>
      </w:r>
      <w:r w:rsidR="00212191">
        <w:t xml:space="preserve">VGPB </w:t>
      </w:r>
      <w:r w:rsidR="00550A3B">
        <w:t xml:space="preserve">gave </w:t>
      </w:r>
      <w:r>
        <w:t xml:space="preserve">strategic advice to </w:t>
      </w:r>
      <w:r w:rsidR="0049765E">
        <w:t>chief procurement officers</w:t>
      </w:r>
      <w:r>
        <w:t>, procurement practitioners and stakeholders on a range of procurement matters. VGPB members also attended and presented at meetings with several departments’ internal procurement units and procurement boards to discuss a range of procurement-related matters and priorities during the year.</w:t>
      </w:r>
    </w:p>
    <w:p w14:paraId="4BF4CCF5" w14:textId="0F8C0464" w:rsidR="001C109A" w:rsidRDefault="00550A3B" w:rsidP="001C109A">
      <w:pPr>
        <w:pStyle w:val="Normal1"/>
      </w:pPr>
      <w:r>
        <w:t>VGPB members supported and attended procurement reform subcommittee meetings, providing strategic procurement advice.</w:t>
      </w:r>
      <w:r w:rsidR="001C109A">
        <w:t>. Relevant VGPB members also provided oversight and advice on developing business cases and market engagement strategies for the renewal of four state purchase contracts (SPCs) and the establishment of two new SPCs during 2019–20.</w:t>
      </w:r>
    </w:p>
    <w:p w14:paraId="6E436E1C" w14:textId="09913185" w:rsidR="005B598F" w:rsidRDefault="001C109A" w:rsidP="009C63B1">
      <w:pPr>
        <w:pStyle w:val="Normal1"/>
      </w:pPr>
      <w:r>
        <w:t>Three board members review</w:t>
      </w:r>
      <w:r w:rsidR="00875A6B">
        <w:t xml:space="preserve">ed </w:t>
      </w:r>
      <w:r w:rsidR="0049765E">
        <w:t>the VGPB’s</w:t>
      </w:r>
      <w:r>
        <w:t xml:space="preserve"> audit compliance program and engaged with </w:t>
      </w:r>
      <w:r w:rsidR="0049765E">
        <w:t xml:space="preserve">chief procurement officers </w:t>
      </w:r>
      <w:r>
        <w:t xml:space="preserve">and audit practitioners to develop options for establishing a more comprehensive audit program. These options will be reviewed by the VGPB in August 2020 in anticipation of transitioning to the new audit program in 2020–21. Two VGPB members are also </w:t>
      </w:r>
      <w:r>
        <w:lastRenderedPageBreak/>
        <w:t xml:space="preserve">helping the Department of Premier and Cabinet with a program of work to lift procurement capability across government in regard to cybersecurity and </w:t>
      </w:r>
      <w:r w:rsidR="0049765E">
        <w:t xml:space="preserve">information technology </w:t>
      </w:r>
      <w:r>
        <w:t>procurement.</w:t>
      </w:r>
    </w:p>
    <w:p w14:paraId="6B9D14A8" w14:textId="77777777" w:rsidR="009353F3" w:rsidRPr="002E6066" w:rsidRDefault="009353F3" w:rsidP="002E6066">
      <w:pPr>
        <w:pStyle w:val="Heading2NoNum"/>
      </w:pPr>
      <w:bookmarkStart w:id="104" w:name="_Toc52187729"/>
      <w:bookmarkEnd w:id="102"/>
      <w:r w:rsidRPr="00CD6245">
        <w:t>Complaints</w:t>
      </w:r>
      <w:bookmarkEnd w:id="104"/>
    </w:p>
    <w:p w14:paraId="042E5B95" w14:textId="77777777" w:rsidR="009353F3" w:rsidRPr="00CD6245" w:rsidRDefault="009353F3" w:rsidP="009353F3">
      <w:pPr>
        <w:pStyle w:val="Normal1"/>
        <w:rPr>
          <w:lang w:eastAsia="en-US"/>
        </w:rPr>
      </w:pPr>
      <w:r>
        <w:rPr>
          <w:lang w:eastAsia="en-US"/>
        </w:rPr>
        <w:t>A complaint is</w:t>
      </w:r>
      <w:r w:rsidRPr="00CD6245">
        <w:rPr>
          <w:lang w:eastAsia="en-US"/>
        </w:rPr>
        <w:t xml:space="preserve"> define</w:t>
      </w:r>
      <w:r>
        <w:rPr>
          <w:lang w:eastAsia="en-US"/>
        </w:rPr>
        <w:t>d</w:t>
      </w:r>
      <w:r w:rsidRPr="00CD6245">
        <w:rPr>
          <w:lang w:eastAsia="en-US"/>
        </w:rPr>
        <w:t xml:space="preserve"> as an issue or concern expressed by a supplier in relation to the process and probity applied by an organisation when carrying out a procurement activity.</w:t>
      </w:r>
    </w:p>
    <w:p w14:paraId="4CE89F77" w14:textId="22256FD8" w:rsidR="00BD56DE" w:rsidRDefault="00AD7153" w:rsidP="009353F3">
      <w:pPr>
        <w:pStyle w:val="Normal1"/>
      </w:pPr>
      <w:r>
        <w:rPr>
          <w:lang w:eastAsia="en-US"/>
        </w:rPr>
        <w:t>O</w:t>
      </w:r>
      <w:r w:rsidR="009353F3" w:rsidRPr="00CD6245">
        <w:rPr>
          <w:lang w:eastAsia="en-US"/>
        </w:rPr>
        <w:t>rganisation</w:t>
      </w:r>
      <w:r>
        <w:rPr>
          <w:lang w:eastAsia="en-US"/>
        </w:rPr>
        <w:t>s</w:t>
      </w:r>
      <w:r w:rsidR="009353F3" w:rsidRPr="00CD6245">
        <w:rPr>
          <w:lang w:eastAsia="en-US"/>
        </w:rPr>
        <w:t xml:space="preserve"> </w:t>
      </w:r>
      <w:r>
        <w:rPr>
          <w:lang w:eastAsia="en-US"/>
        </w:rPr>
        <w:t>must</w:t>
      </w:r>
      <w:r w:rsidR="001F40A6">
        <w:rPr>
          <w:lang w:eastAsia="en-US"/>
        </w:rPr>
        <w:t xml:space="preserve"> </w:t>
      </w:r>
      <w:r w:rsidR="009353F3">
        <w:rPr>
          <w:lang w:eastAsia="en-US"/>
        </w:rPr>
        <w:t xml:space="preserve">have </w:t>
      </w:r>
      <w:r w:rsidR="009353F3" w:rsidRPr="00CD6245">
        <w:rPr>
          <w:lang w:eastAsia="en-US"/>
        </w:rPr>
        <w:t>a complaints management system</w:t>
      </w:r>
      <w:r>
        <w:rPr>
          <w:lang w:eastAsia="en-US"/>
        </w:rPr>
        <w:t xml:space="preserve"> which </w:t>
      </w:r>
      <w:r w:rsidR="009353F3">
        <w:rPr>
          <w:lang w:eastAsia="en-US"/>
        </w:rPr>
        <w:t>set</w:t>
      </w:r>
      <w:r>
        <w:rPr>
          <w:lang w:eastAsia="en-US"/>
        </w:rPr>
        <w:t>s</w:t>
      </w:r>
      <w:r w:rsidR="009353F3">
        <w:rPr>
          <w:lang w:eastAsia="en-US"/>
        </w:rPr>
        <w:t xml:space="preserve"> </w:t>
      </w:r>
      <w:r w:rsidR="009353F3" w:rsidRPr="00CD6245">
        <w:rPr>
          <w:lang w:eastAsia="en-US"/>
        </w:rPr>
        <w:t>out the process for addressing complaints by suppliers</w:t>
      </w:r>
      <w:r w:rsidR="009353F3" w:rsidRPr="00011197">
        <w:t xml:space="preserve">. Chief procurement officers </w:t>
      </w:r>
      <w:r w:rsidR="00842726">
        <w:t xml:space="preserve">(CPOs) </w:t>
      </w:r>
      <w:r w:rsidR="009353F3" w:rsidRPr="00011197">
        <w:t>are responsible for the complaints management process.</w:t>
      </w:r>
      <w:r w:rsidR="00BD56DE">
        <w:t xml:space="preserve"> </w:t>
      </w:r>
      <w:r>
        <w:t xml:space="preserve">In 2019–20, all organisations </w:t>
      </w:r>
      <w:r w:rsidR="000436C0">
        <w:t>had a complaints management system in place.</w:t>
      </w:r>
    </w:p>
    <w:p w14:paraId="7B669AF4" w14:textId="2FDF57EB" w:rsidR="009353F3" w:rsidRDefault="000436C0" w:rsidP="009353F3">
      <w:pPr>
        <w:pStyle w:val="Normal1"/>
      </w:pPr>
      <w:r>
        <w:t>O</w:t>
      </w:r>
      <w:r w:rsidR="009353F3" w:rsidRPr="00CD6245">
        <w:t>rganisations report</w:t>
      </w:r>
      <w:r w:rsidR="009353F3" w:rsidRPr="00A53C9F">
        <w:t xml:space="preserve">ed </w:t>
      </w:r>
      <w:r w:rsidR="00BE7D42">
        <w:t>four</w:t>
      </w:r>
      <w:r w:rsidR="009353F3" w:rsidRPr="00A53C9F">
        <w:rPr>
          <w:lang w:eastAsia="en-US"/>
        </w:rPr>
        <w:t xml:space="preserve"> compl</w:t>
      </w:r>
      <w:r w:rsidR="009353F3" w:rsidRPr="00CD6245">
        <w:rPr>
          <w:lang w:eastAsia="en-US"/>
        </w:rPr>
        <w:t xml:space="preserve">aints </w:t>
      </w:r>
      <w:r w:rsidR="009353F3" w:rsidRPr="00CD6245">
        <w:t>related to procurement activity</w:t>
      </w:r>
      <w:r w:rsidR="009353F3">
        <w:t>,</w:t>
      </w:r>
      <w:r w:rsidR="009353F3" w:rsidRPr="00CD6245">
        <w:t xml:space="preserve"> as shown in </w:t>
      </w:r>
      <w:r w:rsidR="009353F3">
        <w:fldChar w:fldCharType="begin"/>
      </w:r>
      <w:r w:rsidR="009353F3">
        <w:instrText xml:space="preserve"> REF _Ref425456874 \h  \* MERGEFORMAT </w:instrText>
      </w:r>
      <w:r w:rsidR="009353F3">
        <w:fldChar w:fldCharType="separate"/>
      </w:r>
      <w:r w:rsidR="00152B74" w:rsidRPr="00CD6245">
        <w:t xml:space="preserve">Table </w:t>
      </w:r>
      <w:r w:rsidR="00152B74">
        <w:rPr>
          <w:noProof/>
        </w:rPr>
        <w:t>13</w:t>
      </w:r>
      <w:r w:rsidR="009353F3">
        <w:fldChar w:fldCharType="end"/>
      </w:r>
      <w:r w:rsidR="009353F3" w:rsidRPr="00CD6245">
        <w:t>.</w:t>
      </w:r>
      <w:r w:rsidR="00BD56DE">
        <w:t xml:space="preserve"> </w:t>
      </w:r>
      <w:r w:rsidR="009353F3" w:rsidRPr="00CD6245">
        <w:rPr>
          <w:lang w:eastAsia="en-US"/>
        </w:rPr>
        <w:t>This compares to</w:t>
      </w:r>
      <w:r w:rsidR="001604D5">
        <w:rPr>
          <w:lang w:eastAsia="en-US"/>
        </w:rPr>
        <w:t xml:space="preserve"> </w:t>
      </w:r>
      <w:r w:rsidR="00E40C73">
        <w:rPr>
          <w:lang w:eastAsia="en-US"/>
        </w:rPr>
        <w:t>10</w:t>
      </w:r>
      <w:r w:rsidR="001604D5">
        <w:rPr>
          <w:lang w:eastAsia="en-US"/>
        </w:rPr>
        <w:t xml:space="preserve"> complaints in 2018–19,</w:t>
      </w:r>
      <w:r w:rsidR="009353F3">
        <w:rPr>
          <w:lang w:eastAsia="en-US"/>
        </w:rPr>
        <w:t xml:space="preserve"> nine in 2017–18</w:t>
      </w:r>
      <w:r w:rsidR="00C778AD">
        <w:rPr>
          <w:lang w:eastAsia="en-US"/>
        </w:rPr>
        <w:t xml:space="preserve"> and</w:t>
      </w:r>
      <w:r w:rsidR="009353F3">
        <w:rPr>
          <w:lang w:eastAsia="en-US"/>
        </w:rPr>
        <w:t xml:space="preserve"> five in 2016–17</w:t>
      </w:r>
      <w:r w:rsidR="00C778AD">
        <w:rPr>
          <w:lang w:eastAsia="en-US"/>
        </w:rPr>
        <w:t xml:space="preserve">. </w:t>
      </w:r>
    </w:p>
    <w:p w14:paraId="2A536EF3" w14:textId="689E5B94" w:rsidR="009353F3" w:rsidRDefault="009353F3" w:rsidP="003D31F5">
      <w:pPr>
        <w:pStyle w:val="Caption"/>
      </w:pPr>
      <w:bookmarkStart w:id="105" w:name="_Ref425456874"/>
      <w:bookmarkStart w:id="106" w:name="_Toc17130200"/>
      <w:bookmarkStart w:id="107" w:name="_Toc48837146"/>
      <w:bookmarkStart w:id="108" w:name="_Toc49185536"/>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13</w:t>
      </w:r>
      <w:r>
        <w:rPr>
          <w:noProof/>
        </w:rPr>
        <w:fldChar w:fldCharType="end"/>
      </w:r>
      <w:bookmarkEnd w:id="105"/>
      <w:r w:rsidRPr="00CD6245">
        <w:t xml:space="preserve">: Complaints related to procurement activity in </w:t>
      </w:r>
      <w:r>
        <w:t>20</w:t>
      </w:r>
      <w:bookmarkEnd w:id="106"/>
      <w:r w:rsidR="0089350D">
        <w:t>19–20</w:t>
      </w:r>
      <w:bookmarkEnd w:id="107"/>
      <w:bookmarkEnd w:id="108"/>
    </w:p>
    <w:tbl>
      <w:tblPr>
        <w:tblStyle w:val="TableGrid1"/>
        <w:tblW w:w="9213" w:type="dxa"/>
        <w:tblInd w:w="704" w:type="dxa"/>
        <w:tblLook w:val="04A0" w:firstRow="1" w:lastRow="0" w:firstColumn="1" w:lastColumn="0" w:noHBand="0" w:noVBand="1"/>
      </w:tblPr>
      <w:tblGrid>
        <w:gridCol w:w="1465"/>
        <w:gridCol w:w="1018"/>
        <w:gridCol w:w="1756"/>
        <w:gridCol w:w="3854"/>
        <w:gridCol w:w="1120"/>
      </w:tblGrid>
      <w:tr w:rsidR="000B20B5" w:rsidRPr="000B20B5" w14:paraId="40B027C9" w14:textId="77777777" w:rsidTr="00ED447C">
        <w:trPr>
          <w:tblHeader/>
        </w:trPr>
        <w:tc>
          <w:tcPr>
            <w:tcW w:w="1286" w:type="dxa"/>
            <w:shd w:val="clear" w:color="auto" w:fill="BFBFBF" w:themeFill="background1" w:themeFillShade="BF"/>
          </w:tcPr>
          <w:p w14:paraId="5DD43C83" w14:textId="77777777" w:rsidR="009353F3" w:rsidRPr="000B20B5" w:rsidRDefault="009353F3" w:rsidP="000B20B5">
            <w:pPr>
              <w:pStyle w:val="TableHeader"/>
            </w:pPr>
            <w:r w:rsidRPr="000B20B5">
              <w:t>Organisation</w:t>
            </w:r>
          </w:p>
        </w:tc>
        <w:tc>
          <w:tcPr>
            <w:tcW w:w="897" w:type="dxa"/>
            <w:shd w:val="clear" w:color="auto" w:fill="BFBFBF" w:themeFill="background1" w:themeFillShade="BF"/>
          </w:tcPr>
          <w:p w14:paraId="32225E6F" w14:textId="77777777" w:rsidR="009353F3" w:rsidRPr="000B20B5" w:rsidRDefault="009353F3" w:rsidP="000B20B5">
            <w:pPr>
              <w:pStyle w:val="TableHeader"/>
            </w:pPr>
            <w:r w:rsidRPr="000B20B5">
              <w:t>Number</w:t>
            </w:r>
          </w:p>
        </w:tc>
        <w:tc>
          <w:tcPr>
            <w:tcW w:w="1786" w:type="dxa"/>
            <w:shd w:val="clear" w:color="auto" w:fill="BFBFBF" w:themeFill="background1" w:themeFillShade="BF"/>
          </w:tcPr>
          <w:p w14:paraId="6B8D90ED" w14:textId="77777777" w:rsidR="009353F3" w:rsidRPr="000B20B5" w:rsidRDefault="009353F3" w:rsidP="000B20B5">
            <w:pPr>
              <w:pStyle w:val="TableHeader"/>
            </w:pPr>
            <w:r w:rsidRPr="000B20B5">
              <w:t>Nature of complaint</w:t>
            </w:r>
          </w:p>
        </w:tc>
        <w:tc>
          <w:tcPr>
            <w:tcW w:w="4111" w:type="dxa"/>
            <w:shd w:val="clear" w:color="auto" w:fill="BFBFBF" w:themeFill="background1" w:themeFillShade="BF"/>
          </w:tcPr>
          <w:p w14:paraId="30FDD4AD" w14:textId="77777777" w:rsidR="009353F3" w:rsidRPr="000B20B5" w:rsidRDefault="009353F3" w:rsidP="000B20B5">
            <w:pPr>
              <w:pStyle w:val="TableHeader"/>
            </w:pPr>
            <w:r w:rsidRPr="000B20B5">
              <w:t>Action taken</w:t>
            </w:r>
          </w:p>
        </w:tc>
        <w:tc>
          <w:tcPr>
            <w:tcW w:w="1133" w:type="dxa"/>
            <w:shd w:val="clear" w:color="auto" w:fill="BFBFBF" w:themeFill="background1" w:themeFillShade="BF"/>
          </w:tcPr>
          <w:p w14:paraId="14D4BF00" w14:textId="77777777" w:rsidR="009353F3" w:rsidRPr="000B20B5" w:rsidRDefault="009353F3" w:rsidP="000B20B5">
            <w:pPr>
              <w:pStyle w:val="TableHeader"/>
            </w:pPr>
            <w:r w:rsidRPr="000B20B5">
              <w:t xml:space="preserve">Status </w:t>
            </w:r>
          </w:p>
        </w:tc>
      </w:tr>
      <w:tr w:rsidR="00011CC4" w:rsidRPr="00554B10" w14:paraId="1294142D" w14:textId="77777777" w:rsidTr="00BD56DE">
        <w:tc>
          <w:tcPr>
            <w:tcW w:w="1286" w:type="dxa"/>
          </w:tcPr>
          <w:p w14:paraId="0176B4A8" w14:textId="5EDB14A7" w:rsidR="009353F3" w:rsidRPr="00554B10" w:rsidRDefault="00A23B08" w:rsidP="00ED447C">
            <w:pPr>
              <w:pStyle w:val="Tabletext1"/>
            </w:pPr>
            <w:r>
              <w:t>Treasury and Finance</w:t>
            </w:r>
          </w:p>
        </w:tc>
        <w:tc>
          <w:tcPr>
            <w:tcW w:w="897" w:type="dxa"/>
          </w:tcPr>
          <w:p w14:paraId="41FD3273" w14:textId="15B42C27" w:rsidR="009353F3" w:rsidRPr="00554B10" w:rsidRDefault="00A23B08" w:rsidP="00ED447C">
            <w:pPr>
              <w:pStyle w:val="Tabletext1"/>
            </w:pPr>
            <w:r>
              <w:t>1</w:t>
            </w:r>
          </w:p>
        </w:tc>
        <w:tc>
          <w:tcPr>
            <w:tcW w:w="1786" w:type="dxa"/>
          </w:tcPr>
          <w:p w14:paraId="29854012" w14:textId="19FAAE2D" w:rsidR="009353F3" w:rsidRPr="00554B10" w:rsidRDefault="00AF1EF0" w:rsidP="00ED447C">
            <w:pPr>
              <w:pStyle w:val="Tabletext1"/>
            </w:pPr>
            <w:r>
              <w:t>L</w:t>
            </w:r>
            <w:r w:rsidR="00046F98" w:rsidRPr="0047768B">
              <w:t xml:space="preserve">ate submission </w:t>
            </w:r>
            <w:r>
              <w:t>to</w:t>
            </w:r>
            <w:r w:rsidRPr="0047768B">
              <w:t xml:space="preserve"> </w:t>
            </w:r>
            <w:r w:rsidR="00046F98" w:rsidRPr="0047768B">
              <w:t>an SPC tender, and an assertion that the process for informing stakeholders was deficient</w:t>
            </w:r>
          </w:p>
        </w:tc>
        <w:tc>
          <w:tcPr>
            <w:tcW w:w="4111" w:type="dxa"/>
          </w:tcPr>
          <w:p w14:paraId="77F7ACC1" w14:textId="7F852220" w:rsidR="009353F3" w:rsidRPr="00554B10" w:rsidRDefault="00046F98" w:rsidP="00ED447C">
            <w:pPr>
              <w:pStyle w:val="Tabletext1"/>
            </w:pPr>
            <w:r w:rsidRPr="0047768B">
              <w:t>The CPO investigated and found that the integrity of the tender process had not been compromised. The CPO noted that the independent probity advis</w:t>
            </w:r>
            <w:r w:rsidR="00FE3B3A">
              <w:t>e</w:t>
            </w:r>
            <w:r w:rsidRPr="0047768B">
              <w:t xml:space="preserve">r engaged by </w:t>
            </w:r>
            <w:r w:rsidR="00842726">
              <w:t xml:space="preserve">the department </w:t>
            </w:r>
            <w:r w:rsidRPr="0047768B">
              <w:t>had also found that the late submission should not be accepted. The matter was referred to the VGPB when the complainant was dissatisfied with the outcome of the investigation by the CPO.</w:t>
            </w:r>
          </w:p>
        </w:tc>
        <w:tc>
          <w:tcPr>
            <w:tcW w:w="1133" w:type="dxa"/>
          </w:tcPr>
          <w:p w14:paraId="73AB6D7C" w14:textId="1F2812E6" w:rsidR="009353F3" w:rsidRPr="00554B10" w:rsidRDefault="00A23B08" w:rsidP="00ED447C">
            <w:pPr>
              <w:pStyle w:val="Tabletext1"/>
            </w:pPr>
            <w:r w:rsidRPr="001B7C2E">
              <w:t>Referred to VGPB</w:t>
            </w:r>
          </w:p>
        </w:tc>
      </w:tr>
      <w:tr w:rsidR="00011CC4" w:rsidRPr="00554B10" w14:paraId="615099A6" w14:textId="77777777" w:rsidTr="00BD56DE">
        <w:tc>
          <w:tcPr>
            <w:tcW w:w="1286" w:type="dxa"/>
            <w:vMerge w:val="restart"/>
          </w:tcPr>
          <w:p w14:paraId="55D6CC00" w14:textId="34C0880F" w:rsidR="00764F65" w:rsidRPr="00554B10" w:rsidRDefault="00842726" w:rsidP="00ED447C">
            <w:pPr>
              <w:pStyle w:val="Tabletext1"/>
            </w:pPr>
            <w:r>
              <w:t>Environment, Land, Water and Planning</w:t>
            </w:r>
          </w:p>
        </w:tc>
        <w:tc>
          <w:tcPr>
            <w:tcW w:w="897" w:type="dxa"/>
            <w:vMerge w:val="restart"/>
          </w:tcPr>
          <w:p w14:paraId="2C5D0B0C" w14:textId="6C434BEC" w:rsidR="00764F65" w:rsidRPr="00554B10" w:rsidRDefault="00AF23F1" w:rsidP="00ED447C">
            <w:pPr>
              <w:pStyle w:val="Tabletext1"/>
            </w:pPr>
            <w:r>
              <w:t>2</w:t>
            </w:r>
          </w:p>
        </w:tc>
        <w:tc>
          <w:tcPr>
            <w:tcW w:w="1786" w:type="dxa"/>
          </w:tcPr>
          <w:p w14:paraId="087D862F" w14:textId="540D619E" w:rsidR="00764F65" w:rsidRPr="00554B10" w:rsidRDefault="00AF23F1" w:rsidP="00ED447C">
            <w:pPr>
              <w:pStyle w:val="Tabletext1"/>
            </w:pPr>
            <w:r>
              <w:t xml:space="preserve">Poor administration of procurement process </w:t>
            </w:r>
          </w:p>
        </w:tc>
        <w:tc>
          <w:tcPr>
            <w:tcW w:w="4111" w:type="dxa"/>
          </w:tcPr>
          <w:p w14:paraId="52915CBD" w14:textId="39C736E6" w:rsidR="00764F65" w:rsidRPr="00554B10" w:rsidRDefault="00AF23F1" w:rsidP="00ED447C">
            <w:pPr>
              <w:pStyle w:val="Tabletext1"/>
            </w:pPr>
            <w:r>
              <w:t xml:space="preserve">CPO investigated and found the process to be fair and reasonable. The complainant wanted to escalate the </w:t>
            </w:r>
            <w:r w:rsidR="00147990">
              <w:t>matter and</w:t>
            </w:r>
            <w:r w:rsidR="002A54DB">
              <w:t xml:space="preserve"> was </w:t>
            </w:r>
            <w:r>
              <w:t>advised how to</w:t>
            </w:r>
            <w:r w:rsidR="002A54DB">
              <w:t xml:space="preserve"> do so </w:t>
            </w:r>
            <w:r>
              <w:t>(in November 2019). To date, the VGPB has not received a complaint, so this is considered as resolved.</w:t>
            </w:r>
          </w:p>
        </w:tc>
        <w:tc>
          <w:tcPr>
            <w:tcW w:w="1133" w:type="dxa"/>
          </w:tcPr>
          <w:p w14:paraId="2D9FAA2F" w14:textId="7A81C519" w:rsidR="00764F65" w:rsidRPr="00554B10" w:rsidRDefault="00AF23F1" w:rsidP="00ED447C">
            <w:pPr>
              <w:pStyle w:val="Tabletext1"/>
            </w:pPr>
            <w:r>
              <w:t>Resolved</w:t>
            </w:r>
          </w:p>
        </w:tc>
      </w:tr>
      <w:tr w:rsidR="00011CC4" w:rsidRPr="00554B10" w14:paraId="4A8AB0C3" w14:textId="77777777" w:rsidTr="00BD56DE">
        <w:tc>
          <w:tcPr>
            <w:tcW w:w="1286" w:type="dxa"/>
            <w:vMerge/>
          </w:tcPr>
          <w:p w14:paraId="6C236791" w14:textId="77777777" w:rsidR="00764F65" w:rsidRPr="00554B10" w:rsidRDefault="00764F65" w:rsidP="00ED447C">
            <w:pPr>
              <w:pStyle w:val="Tabletext1"/>
            </w:pPr>
          </w:p>
        </w:tc>
        <w:tc>
          <w:tcPr>
            <w:tcW w:w="897" w:type="dxa"/>
            <w:vMerge/>
          </w:tcPr>
          <w:p w14:paraId="254925F4" w14:textId="77777777" w:rsidR="00764F65" w:rsidRPr="00554B10" w:rsidRDefault="00764F65" w:rsidP="00ED447C">
            <w:pPr>
              <w:pStyle w:val="Tabletext1"/>
            </w:pPr>
          </w:p>
        </w:tc>
        <w:tc>
          <w:tcPr>
            <w:tcW w:w="1786" w:type="dxa"/>
          </w:tcPr>
          <w:p w14:paraId="0241DA49" w14:textId="56C29A80" w:rsidR="00764F65" w:rsidRPr="00554B10" w:rsidRDefault="00AF23F1" w:rsidP="00ED447C">
            <w:pPr>
              <w:pStyle w:val="Tabletext1"/>
            </w:pPr>
            <w:r>
              <w:t>Conduct of the risk evaluation process and awarding the contract to a ‘non-conforming’ bid</w:t>
            </w:r>
          </w:p>
        </w:tc>
        <w:tc>
          <w:tcPr>
            <w:tcW w:w="4111" w:type="dxa"/>
          </w:tcPr>
          <w:p w14:paraId="335FD16D" w14:textId="4DA89D28" w:rsidR="00764F65" w:rsidRPr="00554B10" w:rsidRDefault="00AF23F1" w:rsidP="00ED447C">
            <w:pPr>
              <w:pStyle w:val="Tabletext1"/>
            </w:pPr>
            <w:r>
              <w:t xml:space="preserve">The CPO reviewed the tender </w:t>
            </w:r>
            <w:r w:rsidR="002A54DB">
              <w:t xml:space="preserve">process </w:t>
            </w:r>
            <w:r>
              <w:t xml:space="preserve">and the report compiled by </w:t>
            </w:r>
            <w:r w:rsidR="002A54DB">
              <w:t>the</w:t>
            </w:r>
            <w:r>
              <w:t xml:space="preserve"> independent probity advisor. </w:t>
            </w:r>
            <w:r w:rsidR="00BE7D42">
              <w:t>The</w:t>
            </w:r>
            <w:r w:rsidR="002A54DB">
              <w:t xml:space="preserve"> CPO was satisfied that the process was fair and reasonable and informed the complainant in writing. </w:t>
            </w:r>
          </w:p>
        </w:tc>
        <w:tc>
          <w:tcPr>
            <w:tcW w:w="1133" w:type="dxa"/>
          </w:tcPr>
          <w:p w14:paraId="7DF21132" w14:textId="479FD3EB" w:rsidR="00764F65" w:rsidRPr="00554B10" w:rsidRDefault="002A54DB" w:rsidP="00ED447C">
            <w:pPr>
              <w:pStyle w:val="Tabletext1"/>
            </w:pPr>
            <w:r>
              <w:t>Resolved</w:t>
            </w:r>
          </w:p>
        </w:tc>
      </w:tr>
      <w:tr w:rsidR="00011CC4" w:rsidRPr="00554B10" w14:paraId="62F2DC57" w14:textId="77777777" w:rsidTr="00BD56DE">
        <w:tc>
          <w:tcPr>
            <w:tcW w:w="1286" w:type="dxa"/>
          </w:tcPr>
          <w:p w14:paraId="45ABFD95" w14:textId="77777777" w:rsidR="00C548B6" w:rsidRPr="00554B10" w:rsidRDefault="00C548B6" w:rsidP="00ED447C">
            <w:pPr>
              <w:pStyle w:val="Tabletext1"/>
            </w:pPr>
            <w:bookmarkStart w:id="109" w:name="_Hlk45525837"/>
            <w:r w:rsidRPr="00554B10">
              <w:t>Victoria Police</w:t>
            </w:r>
          </w:p>
        </w:tc>
        <w:tc>
          <w:tcPr>
            <w:tcW w:w="897" w:type="dxa"/>
          </w:tcPr>
          <w:p w14:paraId="722C27AD" w14:textId="0A70B5BE" w:rsidR="00C548B6" w:rsidRPr="00554B10" w:rsidRDefault="003B5F42" w:rsidP="00ED447C">
            <w:pPr>
              <w:pStyle w:val="Tabletext1"/>
            </w:pPr>
            <w:r>
              <w:t>1</w:t>
            </w:r>
          </w:p>
        </w:tc>
        <w:tc>
          <w:tcPr>
            <w:tcW w:w="1786" w:type="dxa"/>
          </w:tcPr>
          <w:p w14:paraId="22FAFCEE" w14:textId="2E0186BF" w:rsidR="00C548B6" w:rsidRPr="00554B10" w:rsidRDefault="00BE7D42" w:rsidP="00ED447C">
            <w:pPr>
              <w:pStyle w:val="Tabletext1"/>
            </w:pPr>
            <w:r>
              <w:t>T</w:t>
            </w:r>
            <w:r w:rsidR="00CA247C">
              <w:t xml:space="preserve">enderers were not treated in a fair and equitable manner, the evaluation process was flawed, and feedback given to unsuccessful suppliers was </w:t>
            </w:r>
            <w:r w:rsidR="00CA247C">
              <w:lastRenderedPageBreak/>
              <w:t>not timely or transparent</w:t>
            </w:r>
          </w:p>
        </w:tc>
        <w:tc>
          <w:tcPr>
            <w:tcW w:w="4111" w:type="dxa"/>
          </w:tcPr>
          <w:p w14:paraId="11C5EB4A" w14:textId="79A12E8D" w:rsidR="00CA247C" w:rsidRPr="00554B10" w:rsidRDefault="00CA247C" w:rsidP="00ED447C">
            <w:pPr>
              <w:pStyle w:val="Tabletext1"/>
            </w:pPr>
            <w:r>
              <w:lastRenderedPageBreak/>
              <w:t xml:space="preserve">Victoria Police investigated the complaint and found no adverse findings. It did identify some improvement opportunities. The complainant </w:t>
            </w:r>
            <w:r w:rsidR="00BE7D42">
              <w:t xml:space="preserve">escalated </w:t>
            </w:r>
            <w:r>
              <w:t xml:space="preserve">the complaint to the VGPB. </w:t>
            </w:r>
            <w:r w:rsidR="00BE7D42">
              <w:t xml:space="preserve">The VGPB </w:t>
            </w:r>
            <w:r>
              <w:t>investigat</w:t>
            </w:r>
            <w:r w:rsidR="00BE7D42">
              <w:t xml:space="preserve">ed and based on their response, </w:t>
            </w:r>
            <w:r>
              <w:t xml:space="preserve">Victoria Police committed to </w:t>
            </w:r>
            <w:r w:rsidR="00B73DDD">
              <w:t xml:space="preserve">make several improvements, including </w:t>
            </w:r>
            <w:r w:rsidR="00B73DDD" w:rsidRPr="006A0219">
              <w:t xml:space="preserve">reviewing and consolidating procurement practitioner skills, focusing on education and </w:t>
            </w:r>
            <w:r w:rsidR="00B73DDD" w:rsidRPr="006A0219">
              <w:lastRenderedPageBreak/>
              <w:t>capability and improving sourcing and contract management systems.</w:t>
            </w:r>
          </w:p>
        </w:tc>
        <w:tc>
          <w:tcPr>
            <w:tcW w:w="1133" w:type="dxa"/>
          </w:tcPr>
          <w:p w14:paraId="70E02B87" w14:textId="04A324E8" w:rsidR="00C548B6" w:rsidRPr="00554B10" w:rsidRDefault="00AF23F1" w:rsidP="00ED447C">
            <w:pPr>
              <w:pStyle w:val="Tabletext1"/>
            </w:pPr>
            <w:r>
              <w:lastRenderedPageBreak/>
              <w:t>R</w:t>
            </w:r>
            <w:r w:rsidR="00CA247C">
              <w:t>esolved</w:t>
            </w:r>
          </w:p>
        </w:tc>
      </w:tr>
      <w:bookmarkEnd w:id="109"/>
      <w:tr w:rsidR="00011CC4" w:rsidRPr="000B20B5" w14:paraId="3FBC97E2" w14:textId="77777777" w:rsidTr="00BD56DE">
        <w:tc>
          <w:tcPr>
            <w:tcW w:w="1286" w:type="dxa"/>
          </w:tcPr>
          <w:p w14:paraId="5699DFFB" w14:textId="77777777" w:rsidR="00764F65" w:rsidRPr="000B20B5" w:rsidRDefault="00764F65" w:rsidP="000B20B5">
            <w:pPr>
              <w:pStyle w:val="TableText"/>
              <w:rPr>
                <w:rStyle w:val="Strong"/>
              </w:rPr>
            </w:pPr>
            <w:r w:rsidRPr="000B20B5">
              <w:rPr>
                <w:rStyle w:val="Strong"/>
              </w:rPr>
              <w:t>Total</w:t>
            </w:r>
          </w:p>
        </w:tc>
        <w:tc>
          <w:tcPr>
            <w:tcW w:w="897" w:type="dxa"/>
          </w:tcPr>
          <w:p w14:paraId="683279DF" w14:textId="20F8F631" w:rsidR="00764F65" w:rsidRPr="000B20B5" w:rsidRDefault="003B5F42" w:rsidP="000B20B5">
            <w:pPr>
              <w:pStyle w:val="TableText"/>
              <w:rPr>
                <w:rStyle w:val="Strong"/>
              </w:rPr>
            </w:pPr>
            <w:r w:rsidRPr="000B20B5">
              <w:rPr>
                <w:rStyle w:val="Strong"/>
              </w:rPr>
              <w:t>4</w:t>
            </w:r>
          </w:p>
        </w:tc>
        <w:tc>
          <w:tcPr>
            <w:tcW w:w="1786" w:type="dxa"/>
          </w:tcPr>
          <w:p w14:paraId="737A5592" w14:textId="77777777" w:rsidR="00764F65" w:rsidRPr="000B20B5" w:rsidRDefault="00764F65" w:rsidP="000B20B5">
            <w:pPr>
              <w:pStyle w:val="TableText"/>
              <w:rPr>
                <w:rStyle w:val="Strong"/>
              </w:rPr>
            </w:pPr>
          </w:p>
        </w:tc>
        <w:tc>
          <w:tcPr>
            <w:tcW w:w="4111" w:type="dxa"/>
          </w:tcPr>
          <w:p w14:paraId="3731C204" w14:textId="77777777" w:rsidR="00764F65" w:rsidRPr="000B20B5" w:rsidRDefault="00764F65" w:rsidP="000B20B5">
            <w:pPr>
              <w:pStyle w:val="TableText"/>
              <w:rPr>
                <w:rStyle w:val="Strong"/>
              </w:rPr>
            </w:pPr>
          </w:p>
        </w:tc>
        <w:tc>
          <w:tcPr>
            <w:tcW w:w="1133" w:type="dxa"/>
          </w:tcPr>
          <w:p w14:paraId="0AECF696" w14:textId="77777777" w:rsidR="00764F65" w:rsidRPr="000B20B5" w:rsidRDefault="00764F65" w:rsidP="000B20B5">
            <w:pPr>
              <w:pStyle w:val="TableText"/>
              <w:rPr>
                <w:rStyle w:val="Strong"/>
              </w:rPr>
            </w:pPr>
          </w:p>
        </w:tc>
      </w:tr>
    </w:tbl>
    <w:p w14:paraId="08171717" w14:textId="5851DBBC" w:rsidR="003B5F42" w:rsidRPr="003B5F42" w:rsidRDefault="003B5F42" w:rsidP="003B5F42">
      <w:pPr>
        <w:pStyle w:val="Heading3NoNum"/>
      </w:pPr>
      <w:r>
        <w:t>Resolution of complaints from 2018–</w:t>
      </w:r>
      <w:r w:rsidR="008C693C">
        <w:t>19</w:t>
      </w:r>
    </w:p>
    <w:p w14:paraId="653E4B27" w14:textId="11ADDFFB" w:rsidR="003B5F42" w:rsidRDefault="003B5F42" w:rsidP="003B5F42">
      <w:pPr>
        <w:pStyle w:val="Normal1"/>
      </w:pPr>
      <w:r>
        <w:t>Victoria Police had one complaint in 2018–19 that was still under investigation at the end of that financial year. The complaint related to the w</w:t>
      </w:r>
      <w:r w:rsidRPr="003B5F42">
        <w:t xml:space="preserve">ording of </w:t>
      </w:r>
      <w:r>
        <w:t xml:space="preserve">a </w:t>
      </w:r>
      <w:r w:rsidRPr="003B5F42">
        <w:t>response to</w:t>
      </w:r>
      <w:r w:rsidR="004649CC">
        <w:t xml:space="preserve"> a</w:t>
      </w:r>
      <w:r w:rsidRPr="003B5F42">
        <w:t xml:space="preserve"> clarification question </w:t>
      </w:r>
      <w:r>
        <w:t xml:space="preserve">which allegedly </w:t>
      </w:r>
      <w:r w:rsidRPr="003B5F42">
        <w:t>implied a preconceived outcome.</w:t>
      </w:r>
      <w:r w:rsidR="00120577">
        <w:t xml:space="preserve"> Victoria Police met with the supplier to respond to the complaint</w:t>
      </w:r>
      <w:r w:rsidR="006158AB">
        <w:t xml:space="preserve"> and the matter was resolved in September 2019.</w:t>
      </w:r>
    </w:p>
    <w:p w14:paraId="72E26B4D" w14:textId="6C720382" w:rsidR="001C19C5" w:rsidRPr="001C19C5" w:rsidRDefault="003C6609" w:rsidP="00676645">
      <w:pPr>
        <w:pStyle w:val="Normal1"/>
      </w:pPr>
      <w:bookmarkStart w:id="110" w:name="_Hlk489008264"/>
      <w:bookmarkEnd w:id="37"/>
      <w:bookmarkEnd w:id="38"/>
      <w:r>
        <w:t>Towards the end of 2018–19, a</w:t>
      </w:r>
      <w:r w:rsidRPr="003C6609">
        <w:t xml:space="preserve"> complainant to the Department of Health and Human Services escalated their complaint to the VGPB. The complaint related to two procurement processes. One was found to be outside the jurisdiction of the VGPB. The second was investigated and no non-compliance found. The VGPB did recommend the department make two minor improvements to its complaints management process. The complainant was advised of the outcome in July 2019.</w:t>
      </w:r>
    </w:p>
    <w:p w14:paraId="46A06EB8" w14:textId="17DBED14" w:rsidR="00371FD3" w:rsidRDefault="00371FD3" w:rsidP="007244B8">
      <w:pPr>
        <w:pStyle w:val="Heading1NoNum"/>
      </w:pPr>
      <w:bookmarkStart w:id="111" w:name="_Toc52187730"/>
      <w:bookmarkStart w:id="112" w:name="_Hlk48656508"/>
      <w:bookmarkStart w:id="113" w:name="_Hlk489516898"/>
      <w:bookmarkEnd w:id="110"/>
      <w:r>
        <w:lastRenderedPageBreak/>
        <w:t>Procuring goods and services</w:t>
      </w:r>
      <w:bookmarkEnd w:id="111"/>
    </w:p>
    <w:p w14:paraId="6B22C78B" w14:textId="304E10F0" w:rsidR="00371FD3" w:rsidRDefault="00371FD3" w:rsidP="00371FD3">
      <w:pPr>
        <w:rPr>
          <w:lang w:eastAsia="en-US"/>
        </w:rPr>
      </w:pPr>
    </w:p>
    <w:p w14:paraId="67D7EF0C" w14:textId="77777777" w:rsidR="001604D5" w:rsidRDefault="001604D5" w:rsidP="001604D5">
      <w:pPr>
        <w:pStyle w:val="Heading2NoNum"/>
      </w:pPr>
      <w:bookmarkStart w:id="114" w:name="_Toc20648408"/>
      <w:bookmarkStart w:id="115" w:name="_Toc52187731"/>
      <w:r>
        <w:t>Capturing data on procurement of goods and services</w:t>
      </w:r>
      <w:bookmarkEnd w:id="114"/>
      <w:bookmarkEnd w:id="115"/>
    </w:p>
    <w:p w14:paraId="61FA8855" w14:textId="4879E08D" w:rsidR="001604D5" w:rsidRDefault="001604D5" w:rsidP="001604D5">
      <w:pPr>
        <w:pStyle w:val="Normal1"/>
      </w:pPr>
      <w:r>
        <w:rPr>
          <w:lang w:eastAsia="en-US"/>
        </w:rPr>
        <w:t xml:space="preserve">In 2019–20, the VGPB collected procurement data from </w:t>
      </w:r>
      <w:r w:rsidR="000A2DD9">
        <w:rPr>
          <w:lang w:eastAsia="en-US"/>
        </w:rPr>
        <w:t>10</w:t>
      </w:r>
      <w:r>
        <w:rPr>
          <w:lang w:eastAsia="en-US"/>
        </w:rPr>
        <w:t xml:space="preserve"> organisations – </w:t>
      </w:r>
      <w:r w:rsidRPr="003808BB">
        <w:rPr>
          <w:lang w:eastAsia="en-US"/>
        </w:rPr>
        <w:t xml:space="preserve">the </w:t>
      </w:r>
      <w:r>
        <w:t>eight</w:t>
      </w:r>
      <w:r w:rsidRPr="003808BB">
        <w:t xml:space="preserve"> </w:t>
      </w:r>
      <w:r>
        <w:t>Victorian G</w:t>
      </w:r>
      <w:r w:rsidRPr="003808BB">
        <w:t>overnment departments</w:t>
      </w:r>
      <w:r>
        <w:t>,</w:t>
      </w:r>
      <w:r w:rsidRPr="003808BB">
        <w:t xml:space="preserve"> Cen</w:t>
      </w:r>
      <w:r>
        <w:t>it</w:t>
      </w:r>
      <w:r w:rsidRPr="003808BB">
        <w:t>ex</w:t>
      </w:r>
      <w:r>
        <w:t xml:space="preserve"> a</w:t>
      </w:r>
      <w:r w:rsidRPr="003808BB">
        <w:t>nd Victoria Police.</w:t>
      </w:r>
    </w:p>
    <w:p w14:paraId="1E579005" w14:textId="7E557BAF" w:rsidR="001604D5" w:rsidRDefault="001604D5" w:rsidP="001604D5">
      <w:pPr>
        <w:pStyle w:val="Normal1"/>
      </w:pPr>
      <w:r w:rsidRPr="003808BB">
        <w:t>VicRoads a</w:t>
      </w:r>
      <w:r>
        <w:t xml:space="preserve">nd </w:t>
      </w:r>
      <w:r w:rsidRPr="003808BB">
        <w:t>Public Transport Victoria</w:t>
      </w:r>
      <w:r>
        <w:t xml:space="preserve"> transitioned into the Department of Transport </w:t>
      </w:r>
      <w:r w:rsidR="00B2549D">
        <w:t>on 1</w:t>
      </w:r>
      <w:r w:rsidR="00FE3B3A">
        <w:t> </w:t>
      </w:r>
      <w:r w:rsidR="00B2549D">
        <w:t>July</w:t>
      </w:r>
      <w:r w:rsidR="00FE3B3A">
        <w:t> </w:t>
      </w:r>
      <w:r w:rsidR="00B2549D">
        <w:t xml:space="preserve">2019 </w:t>
      </w:r>
      <w:r>
        <w:t xml:space="preserve">and </w:t>
      </w:r>
      <w:r w:rsidR="00B2549D">
        <w:t xml:space="preserve">now report </w:t>
      </w:r>
      <w:r w:rsidR="00BE7D42">
        <w:t xml:space="preserve">their procurement data </w:t>
      </w:r>
      <w:r w:rsidR="00B2549D">
        <w:t xml:space="preserve">through </w:t>
      </w:r>
      <w:r w:rsidR="00BE7D42">
        <w:t>th</w:t>
      </w:r>
      <w:r w:rsidR="006D2032">
        <w:t>is</w:t>
      </w:r>
      <w:r w:rsidR="00B2549D">
        <w:t xml:space="preserve"> department.</w:t>
      </w:r>
    </w:p>
    <w:p w14:paraId="5201BA8E" w14:textId="77777777" w:rsidR="001604D5" w:rsidRDefault="001604D5" w:rsidP="001604D5">
      <w:pPr>
        <w:pStyle w:val="Heading3NoNum"/>
      </w:pPr>
      <w:r>
        <w:t>Contract approvals</w:t>
      </w:r>
    </w:p>
    <w:p w14:paraId="275EB6E0" w14:textId="5544BE3D" w:rsidR="001604D5" w:rsidRDefault="00B2549D" w:rsidP="001604D5">
      <w:pPr>
        <w:pStyle w:val="Normal1"/>
      </w:pPr>
      <w:r>
        <w:t xml:space="preserve">The VGPB collects data on contract approvals of all (non-construction) goods and services </w:t>
      </w:r>
      <w:r w:rsidR="001604D5">
        <w:t>contracts valued at $100 000 or more (including GST)</w:t>
      </w:r>
      <w:r>
        <w:t>.</w:t>
      </w:r>
    </w:p>
    <w:p w14:paraId="20EC43C5" w14:textId="19B9EFB3" w:rsidR="00B2549D" w:rsidRDefault="00B2549D" w:rsidP="00B2549D">
      <w:pPr>
        <w:pStyle w:val="Normal1"/>
        <w:rPr>
          <w:rStyle w:val="NormalChar"/>
        </w:rPr>
      </w:pPr>
      <w:r w:rsidRPr="00866D92">
        <w:rPr>
          <w:rStyle w:val="NormalChar"/>
        </w:rPr>
        <w:t>Organisations report on three types of contracts</w:t>
      </w:r>
      <w:r w:rsidR="006D2032">
        <w:rPr>
          <w:rStyle w:val="NormalChar"/>
        </w:rPr>
        <w:t xml:space="preserve"> as listed in </w:t>
      </w:r>
      <w:r>
        <w:rPr>
          <w:rStyle w:val="NormalChar"/>
        </w:rPr>
        <w:fldChar w:fldCharType="begin"/>
      </w:r>
      <w:r>
        <w:rPr>
          <w:rStyle w:val="NormalChar"/>
        </w:rPr>
        <w:instrText xml:space="preserve"> REF _Ref17126464 \h </w:instrText>
      </w:r>
      <w:r>
        <w:rPr>
          <w:rStyle w:val="NormalChar"/>
        </w:rPr>
      </w:r>
      <w:r>
        <w:rPr>
          <w:rStyle w:val="NormalChar"/>
        </w:rPr>
        <w:fldChar w:fldCharType="separate"/>
      </w:r>
      <w:r w:rsidR="00152B74">
        <w:t xml:space="preserve">Table </w:t>
      </w:r>
      <w:r w:rsidR="00152B74">
        <w:rPr>
          <w:noProof/>
        </w:rPr>
        <w:t>14</w:t>
      </w:r>
      <w:r>
        <w:rPr>
          <w:rStyle w:val="NormalChar"/>
        </w:rPr>
        <w:fldChar w:fldCharType="end"/>
      </w:r>
      <w:r>
        <w:rPr>
          <w:rStyle w:val="NormalChar"/>
        </w:rPr>
        <w:t>.</w:t>
      </w:r>
    </w:p>
    <w:p w14:paraId="22F0ADB7" w14:textId="225F8737" w:rsidR="00B2549D" w:rsidRDefault="00B2549D" w:rsidP="00B2549D">
      <w:pPr>
        <w:pStyle w:val="Caption"/>
        <w:rPr>
          <w:rStyle w:val="NormalChar"/>
        </w:rPr>
      </w:pPr>
      <w:bookmarkStart w:id="116" w:name="_Ref17126464"/>
      <w:bookmarkStart w:id="117" w:name="_Toc17130201"/>
      <w:bookmarkStart w:id="118" w:name="_Toc48837147"/>
      <w:bookmarkStart w:id="119" w:name="_Toc49185537"/>
      <w:r>
        <w:t xml:space="preserve">Table </w:t>
      </w:r>
      <w:r w:rsidR="00BE0754">
        <w:fldChar w:fldCharType="begin"/>
      </w:r>
      <w:r w:rsidR="00BE0754">
        <w:instrText xml:space="preserve"> SEQ Table \* ARABIC </w:instrText>
      </w:r>
      <w:r w:rsidR="00BE0754">
        <w:fldChar w:fldCharType="separate"/>
      </w:r>
      <w:r w:rsidR="00152B74">
        <w:rPr>
          <w:noProof/>
        </w:rPr>
        <w:t>14</w:t>
      </w:r>
      <w:r w:rsidR="00BE0754">
        <w:rPr>
          <w:noProof/>
        </w:rPr>
        <w:fldChar w:fldCharType="end"/>
      </w:r>
      <w:bookmarkEnd w:id="116"/>
      <w:r>
        <w:t>: Types of contract approvals</w:t>
      </w:r>
      <w:bookmarkEnd w:id="117"/>
      <w:bookmarkEnd w:id="118"/>
      <w:bookmarkEnd w:id="119"/>
    </w:p>
    <w:tbl>
      <w:tblPr>
        <w:tblStyle w:val="TableGrid"/>
        <w:tblW w:w="8557" w:type="dxa"/>
        <w:tblInd w:w="794" w:type="dxa"/>
        <w:tblLook w:val="04A0" w:firstRow="1" w:lastRow="0" w:firstColumn="1" w:lastColumn="0" w:noHBand="0" w:noVBand="1"/>
      </w:tblPr>
      <w:tblGrid>
        <w:gridCol w:w="2462"/>
        <w:gridCol w:w="6095"/>
      </w:tblGrid>
      <w:tr w:rsidR="00B2549D" w14:paraId="405B7ACD" w14:textId="77777777" w:rsidTr="00ED447C">
        <w:tc>
          <w:tcPr>
            <w:tcW w:w="2462" w:type="dxa"/>
            <w:shd w:val="clear" w:color="auto" w:fill="BFBFBF" w:themeFill="background1" w:themeFillShade="BF"/>
          </w:tcPr>
          <w:p w14:paraId="232E9137" w14:textId="46499109" w:rsidR="00B2549D" w:rsidRPr="000B20B5" w:rsidRDefault="000B20B5" w:rsidP="000B20B5">
            <w:pPr>
              <w:pStyle w:val="TableHeader"/>
              <w:rPr>
                <w:rStyle w:val="Strong"/>
              </w:rPr>
            </w:pPr>
            <w:r>
              <w:rPr>
                <w:rStyle w:val="Strong"/>
              </w:rPr>
              <w:t>Contract type</w:t>
            </w:r>
          </w:p>
        </w:tc>
        <w:tc>
          <w:tcPr>
            <w:tcW w:w="6095" w:type="dxa"/>
            <w:shd w:val="clear" w:color="auto" w:fill="BFBFBF" w:themeFill="background1" w:themeFillShade="BF"/>
          </w:tcPr>
          <w:p w14:paraId="4C85B41C" w14:textId="4320A944" w:rsidR="00B2549D" w:rsidRPr="000B20B5" w:rsidRDefault="000B20B5" w:rsidP="000B20B5">
            <w:pPr>
              <w:pStyle w:val="TableHeader"/>
              <w:rPr>
                <w:rStyle w:val="NormalChar"/>
                <w:b/>
                <w:bCs/>
                <w:sz w:val="24"/>
                <w:szCs w:val="24"/>
              </w:rPr>
            </w:pPr>
            <w:r w:rsidRPr="000B20B5">
              <w:rPr>
                <w:rStyle w:val="NormalChar"/>
                <w:b/>
                <w:bCs/>
                <w:sz w:val="24"/>
                <w:szCs w:val="24"/>
              </w:rPr>
              <w:t>Description</w:t>
            </w:r>
          </w:p>
        </w:tc>
      </w:tr>
      <w:tr w:rsidR="000B20B5" w:rsidRPr="00ED447C" w14:paraId="4E79C34B" w14:textId="77777777" w:rsidTr="00ED447C">
        <w:tc>
          <w:tcPr>
            <w:tcW w:w="2462" w:type="dxa"/>
            <w:shd w:val="clear" w:color="auto" w:fill="auto"/>
          </w:tcPr>
          <w:p w14:paraId="146670A8" w14:textId="7ECC6AF3" w:rsidR="000B20B5" w:rsidRPr="00ED447C" w:rsidRDefault="000B20B5" w:rsidP="000B20B5">
            <w:pPr>
              <w:pStyle w:val="TableText"/>
              <w:rPr>
                <w:rStyle w:val="Strong"/>
                <w:b w:val="0"/>
                <w:bCs w:val="0"/>
              </w:rPr>
            </w:pPr>
            <w:r w:rsidRPr="00ED447C">
              <w:rPr>
                <w:rStyle w:val="Strong"/>
                <w:b w:val="0"/>
                <w:bCs w:val="0"/>
              </w:rPr>
              <w:t>One-off supply contract</w:t>
            </w:r>
          </w:p>
        </w:tc>
        <w:tc>
          <w:tcPr>
            <w:tcW w:w="6095" w:type="dxa"/>
          </w:tcPr>
          <w:p w14:paraId="38FC9F58" w14:textId="032FE451" w:rsidR="000B20B5" w:rsidRPr="00ED447C" w:rsidRDefault="000B20B5" w:rsidP="000B20B5">
            <w:pPr>
              <w:pStyle w:val="TableText"/>
            </w:pPr>
            <w:r w:rsidRPr="00ED447C">
              <w:t xml:space="preserve">A single purchase of a specific quantity of goods or services. </w:t>
            </w:r>
          </w:p>
        </w:tc>
      </w:tr>
      <w:tr w:rsidR="000B20B5" w:rsidRPr="00ED447C" w14:paraId="79651B47" w14:textId="77777777" w:rsidTr="00ED447C">
        <w:tc>
          <w:tcPr>
            <w:tcW w:w="2462" w:type="dxa"/>
            <w:shd w:val="clear" w:color="auto" w:fill="auto"/>
          </w:tcPr>
          <w:p w14:paraId="1082E224" w14:textId="77777777" w:rsidR="000B20B5" w:rsidRPr="00ED447C" w:rsidRDefault="000B20B5" w:rsidP="00ED447C">
            <w:pPr>
              <w:pStyle w:val="TableText"/>
              <w:rPr>
                <w:rStyle w:val="Strong"/>
                <w:b w:val="0"/>
                <w:bCs w:val="0"/>
              </w:rPr>
            </w:pPr>
            <w:r w:rsidRPr="00ED447C">
              <w:rPr>
                <w:rStyle w:val="Strong"/>
                <w:b w:val="0"/>
                <w:bCs w:val="0"/>
              </w:rPr>
              <w:t>Sole entity purchase contract (SEPC)</w:t>
            </w:r>
          </w:p>
          <w:p w14:paraId="082A467D" w14:textId="77777777" w:rsidR="000B20B5" w:rsidRPr="00ED447C" w:rsidRDefault="000B20B5" w:rsidP="00ED447C">
            <w:pPr>
              <w:pStyle w:val="TableText"/>
              <w:rPr>
                <w:rStyle w:val="Strong"/>
                <w:b w:val="0"/>
                <w:bCs w:val="0"/>
              </w:rPr>
            </w:pPr>
          </w:p>
        </w:tc>
        <w:tc>
          <w:tcPr>
            <w:tcW w:w="6095" w:type="dxa"/>
          </w:tcPr>
          <w:p w14:paraId="58DEE0DB" w14:textId="139BA8E3" w:rsidR="000B20B5" w:rsidRPr="00ED447C" w:rsidRDefault="000B20B5" w:rsidP="00ED447C">
            <w:pPr>
              <w:pStyle w:val="TableText"/>
              <w:rPr>
                <w:rStyle w:val="NormalChar"/>
                <w:sz w:val="20"/>
                <w:szCs w:val="20"/>
              </w:rPr>
            </w:pPr>
            <w:r w:rsidRPr="00ED447C">
              <w:t xml:space="preserve">A standing offer agreement for goods and services commonly used within an organisation. SEPCs are mandatory for the organisation establishing the arrangement. </w:t>
            </w:r>
          </w:p>
        </w:tc>
      </w:tr>
      <w:tr w:rsidR="000B20B5" w:rsidRPr="00ED447C" w14:paraId="6CE7D4FA" w14:textId="77777777" w:rsidTr="00ED447C">
        <w:tc>
          <w:tcPr>
            <w:tcW w:w="2462" w:type="dxa"/>
            <w:shd w:val="clear" w:color="auto" w:fill="auto"/>
          </w:tcPr>
          <w:p w14:paraId="36D47E4F" w14:textId="77777777" w:rsidR="000B20B5" w:rsidRPr="00ED447C" w:rsidRDefault="000B20B5" w:rsidP="00ED447C">
            <w:pPr>
              <w:pStyle w:val="TableText"/>
              <w:rPr>
                <w:rStyle w:val="Strong"/>
                <w:b w:val="0"/>
                <w:bCs w:val="0"/>
              </w:rPr>
            </w:pPr>
            <w:r w:rsidRPr="00ED447C">
              <w:rPr>
                <w:rStyle w:val="Strong"/>
                <w:b w:val="0"/>
                <w:bCs w:val="0"/>
              </w:rPr>
              <w:t>State purchase contract (SPC)</w:t>
            </w:r>
          </w:p>
          <w:p w14:paraId="10FE7EEF" w14:textId="77777777" w:rsidR="000B20B5" w:rsidRPr="00ED447C" w:rsidRDefault="000B20B5" w:rsidP="00ED447C">
            <w:pPr>
              <w:pStyle w:val="TableText"/>
              <w:rPr>
                <w:rStyle w:val="Strong"/>
                <w:b w:val="0"/>
                <w:bCs w:val="0"/>
              </w:rPr>
            </w:pPr>
          </w:p>
        </w:tc>
        <w:tc>
          <w:tcPr>
            <w:tcW w:w="6095" w:type="dxa"/>
          </w:tcPr>
          <w:p w14:paraId="0E584F53" w14:textId="2079C1F7" w:rsidR="000B20B5" w:rsidRPr="00ED447C" w:rsidRDefault="000B20B5" w:rsidP="00ED447C">
            <w:pPr>
              <w:pStyle w:val="TableText"/>
              <w:rPr>
                <w:rStyle w:val="NormalChar"/>
                <w:sz w:val="20"/>
                <w:szCs w:val="20"/>
              </w:rPr>
            </w:pPr>
            <w:r w:rsidRPr="00ED447C">
              <w:t xml:space="preserve">A standing offer agreement for goods and services commonly used across the Victorian Government, such as stationery, print management and ICT services. </w:t>
            </w:r>
          </w:p>
        </w:tc>
      </w:tr>
    </w:tbl>
    <w:p w14:paraId="4BC026C2" w14:textId="1140719C" w:rsidR="006D2032" w:rsidRDefault="00B2549D" w:rsidP="001604D5">
      <w:pPr>
        <w:pStyle w:val="Normal1"/>
      </w:pPr>
      <w:r>
        <w:t>SEPCs and SPCs can run over multiple years and may include options to extend the contract.</w:t>
      </w:r>
    </w:p>
    <w:p w14:paraId="3394DD69" w14:textId="146D9A2B" w:rsidR="00B2549D" w:rsidRDefault="00B2549D" w:rsidP="001604D5">
      <w:pPr>
        <w:pStyle w:val="Normal1"/>
      </w:pPr>
      <w:r>
        <w:t xml:space="preserve">The values reported </w:t>
      </w:r>
      <w:r w:rsidR="00D34820">
        <w:t>in the annual report</w:t>
      </w:r>
      <w:r>
        <w:t xml:space="preserve"> reflect the total estimated contract value</w:t>
      </w:r>
      <w:r w:rsidRPr="00B2549D">
        <w:t xml:space="preserve"> </w:t>
      </w:r>
      <w:r>
        <w:t>at contract approval, including any options to extend (regardless of whether options are exercised). They do not reflect actual spend under the contract.</w:t>
      </w:r>
    </w:p>
    <w:p w14:paraId="2DC14E22" w14:textId="1E18C224" w:rsidR="001604D5" w:rsidRDefault="001604D5" w:rsidP="001604D5">
      <w:pPr>
        <w:pStyle w:val="Normal1"/>
      </w:pPr>
      <w:r>
        <w:t>One-off supply contract approval data does not include purchases from SPCs</w:t>
      </w:r>
      <w:r w:rsidR="00562551">
        <w:t xml:space="preserve"> and SEPCs</w:t>
      </w:r>
      <w:r>
        <w:t>.</w:t>
      </w:r>
    </w:p>
    <w:p w14:paraId="36DC9241" w14:textId="17137CC9" w:rsidR="00854290" w:rsidRDefault="00854290" w:rsidP="001604D5">
      <w:pPr>
        <w:pStyle w:val="Normal1"/>
      </w:pPr>
      <w:r>
        <w:t>Some contracts may include a mix of goods and services. Organisations generally categorise these depending on whether they are predominantly goods or services.</w:t>
      </w:r>
    </w:p>
    <w:p w14:paraId="6BDF389A" w14:textId="259D3C5F" w:rsidR="001604D5" w:rsidRDefault="001604D5" w:rsidP="001604D5">
      <w:pPr>
        <w:pStyle w:val="Normal1"/>
      </w:pPr>
      <w:r w:rsidRPr="000A7D04">
        <w:t>All figures in the tables and text in the annual report have been rounded. Discrepancies in tables</w:t>
      </w:r>
      <w:r w:rsidRPr="00653FCC">
        <w:t xml:space="preserve"> </w:t>
      </w:r>
      <w:r w:rsidRPr="000A7D04">
        <w:t>between totals and sums of components reflect this rounding.</w:t>
      </w:r>
    </w:p>
    <w:p w14:paraId="5CD88F5D" w14:textId="77777777" w:rsidR="001604D5" w:rsidRDefault="001604D5" w:rsidP="001604D5">
      <w:pPr>
        <w:pStyle w:val="Normal1"/>
        <w:rPr>
          <w:rStyle w:val="NormalChar"/>
        </w:rPr>
      </w:pPr>
    </w:p>
    <w:p w14:paraId="7B00C0AB" w14:textId="77777777" w:rsidR="001604D5" w:rsidRDefault="001604D5" w:rsidP="001604D5">
      <w:pPr>
        <w:pStyle w:val="Normal1"/>
        <w:rPr>
          <w:rStyle w:val="NormalChar"/>
        </w:rPr>
      </w:pPr>
    </w:p>
    <w:p w14:paraId="66EC50D0" w14:textId="77777777" w:rsidR="001604D5" w:rsidRDefault="001604D5" w:rsidP="001604D5">
      <w:pPr>
        <w:pStyle w:val="Normal1"/>
        <w:rPr>
          <w:rStyle w:val="NormalChar"/>
        </w:rPr>
      </w:pPr>
    </w:p>
    <w:p w14:paraId="12E51C99" w14:textId="77777777" w:rsidR="001604D5" w:rsidRDefault="001604D5" w:rsidP="001604D5">
      <w:pPr>
        <w:rPr>
          <w:rFonts w:ascii="Calibri" w:hAnsi="Calibri" w:cs="Calibri"/>
          <w:color w:val="4D4D4D"/>
          <w:kern w:val="28"/>
          <w:sz w:val="30"/>
          <w:szCs w:val="22"/>
          <w:lang w:eastAsia="en-US"/>
        </w:rPr>
      </w:pPr>
      <w:r>
        <w:br w:type="page"/>
      </w:r>
    </w:p>
    <w:p w14:paraId="7A86D5AC" w14:textId="4950BDAF" w:rsidR="001604D5" w:rsidRDefault="001604D5" w:rsidP="001604D5">
      <w:pPr>
        <w:pStyle w:val="Heading2NoNum"/>
      </w:pPr>
      <w:bookmarkStart w:id="120" w:name="_Toc20648409"/>
      <w:bookmarkStart w:id="121" w:name="_Toc52187732"/>
      <w:r>
        <w:lastRenderedPageBreak/>
        <w:t xml:space="preserve">Contracts approved in </w:t>
      </w:r>
      <w:bookmarkEnd w:id="120"/>
      <w:r>
        <w:t>2019–20</w:t>
      </w:r>
      <w:bookmarkEnd w:id="121"/>
    </w:p>
    <w:p w14:paraId="21C01B40" w14:textId="2B86CD4A" w:rsidR="001604D5" w:rsidRDefault="001604D5" w:rsidP="001604D5">
      <w:pPr>
        <w:pStyle w:val="Normal1"/>
      </w:pPr>
      <w:r w:rsidRPr="00DB0C04">
        <w:t>In 201</w:t>
      </w:r>
      <w:r w:rsidR="003F788C">
        <w:t>9–20</w:t>
      </w:r>
      <w:r w:rsidRPr="00DB0C04">
        <w:t>, the 1</w:t>
      </w:r>
      <w:r w:rsidR="000A2DD9">
        <w:t>0</w:t>
      </w:r>
      <w:r w:rsidRPr="00DB0C04">
        <w:t xml:space="preserve"> organisations reported </w:t>
      </w:r>
      <w:r w:rsidR="00EC64FC">
        <w:t>1 6</w:t>
      </w:r>
      <w:r w:rsidR="00D2492E">
        <w:t>57</w:t>
      </w:r>
      <w:r w:rsidR="00EC64FC" w:rsidRPr="00DB0C04">
        <w:t xml:space="preserve"> procurement contract approvals valued at</w:t>
      </w:r>
      <w:r w:rsidR="00EC64FC" w:rsidRPr="007457E1">
        <w:t xml:space="preserve"> </w:t>
      </w:r>
      <w:r w:rsidR="00EC64FC" w:rsidRPr="00CD3331">
        <w:t>$</w:t>
      </w:r>
      <w:r w:rsidR="009117E3">
        <w:t>1 951.7</w:t>
      </w:r>
      <w:r w:rsidR="00EC64FC" w:rsidRPr="00CD3331">
        <w:t> million</w:t>
      </w:r>
      <w:r w:rsidRPr="00CD3331">
        <w:t xml:space="preserve">, as shown in </w:t>
      </w:r>
      <w:r w:rsidRPr="00CD3331">
        <w:fldChar w:fldCharType="begin"/>
      </w:r>
      <w:r w:rsidRPr="00CD3331">
        <w:instrText xml:space="preserve"> REF _Ref425964284 \h  \* MERGEFORMAT </w:instrText>
      </w:r>
      <w:r w:rsidRPr="00CD3331">
        <w:fldChar w:fldCharType="separate"/>
      </w:r>
      <w:r w:rsidR="00152B74" w:rsidRPr="00866D92">
        <w:t xml:space="preserve">Table </w:t>
      </w:r>
      <w:r w:rsidR="00152B74">
        <w:t>15</w:t>
      </w:r>
      <w:r w:rsidRPr="00CD3331">
        <w:fldChar w:fldCharType="end"/>
      </w:r>
      <w:r w:rsidRPr="00CD3331">
        <w:t>.</w:t>
      </w:r>
      <w:bookmarkStart w:id="122" w:name="_Ref420421996"/>
    </w:p>
    <w:p w14:paraId="2274D7AA" w14:textId="705333BA" w:rsidR="001B73C0" w:rsidRDefault="00875A6B" w:rsidP="001604D5">
      <w:pPr>
        <w:pStyle w:val="Normal1"/>
      </w:pPr>
      <w:r>
        <w:t xml:space="preserve">VGPB goods and services supply policies include critical incident procurement protocols to enable government to quickly respond to any emergency, crisis or disaster by adopting streamlined and flexible procurement processes. </w:t>
      </w:r>
      <w:r w:rsidR="002C0AFF">
        <w:t>Organisations</w:t>
      </w:r>
      <w:r w:rsidR="00D107DB">
        <w:t xml:space="preserve"> </w:t>
      </w:r>
      <w:r w:rsidR="002C0AFF">
        <w:t>procured significantly</w:t>
      </w:r>
      <w:r w:rsidR="00D107DB">
        <w:t xml:space="preserve"> </w:t>
      </w:r>
      <w:r w:rsidR="002C0AFF">
        <w:t xml:space="preserve">more goods and services </w:t>
      </w:r>
      <w:r w:rsidR="00D107DB">
        <w:t>under the VGPB’s critical incident procurement protocol</w:t>
      </w:r>
      <w:r w:rsidR="002C0AFF">
        <w:t xml:space="preserve"> than in previous years</w:t>
      </w:r>
      <w:r w:rsidR="001B73C0">
        <w:t xml:space="preserve"> due to the need to respond quickly to the Victorian bushfires and COVID-19.</w:t>
      </w:r>
      <w:r w:rsidRPr="00875A6B">
        <w:t xml:space="preserve"> </w:t>
      </w:r>
      <w:r>
        <w:t xml:space="preserve">To read more about the critical incident procurement protocol and contracts approved under this policy in 2019–20, refer to </w:t>
      </w:r>
      <w:r w:rsidRPr="007F0EEA">
        <w:rPr>
          <w:i/>
          <w:iCs/>
        </w:rPr>
        <w:t>One-off supply approvals (critical incidents)</w:t>
      </w:r>
      <w:r>
        <w:t xml:space="preserve"> later in this section.</w:t>
      </w:r>
    </w:p>
    <w:p w14:paraId="0822C4DC" w14:textId="27B47542" w:rsidR="001B73C0" w:rsidRPr="007F0EEA" w:rsidRDefault="001B73C0" w:rsidP="001604D5">
      <w:pPr>
        <w:pStyle w:val="Normal1"/>
      </w:pPr>
      <w:r>
        <w:t>About one</w:t>
      </w:r>
      <w:r w:rsidR="00FE3B3A">
        <w:t>-</w:t>
      </w:r>
      <w:r>
        <w:t>third of all one-off supply contract approvals were procured under the critical incident procurement protocol</w:t>
      </w:r>
      <w:r w:rsidR="007F0EEA">
        <w:t xml:space="preserve">, as shown in </w:t>
      </w:r>
      <w:r>
        <w:fldChar w:fldCharType="begin"/>
      </w:r>
      <w:r>
        <w:instrText xml:space="preserve"> REF _Ref425964284 \h </w:instrText>
      </w:r>
      <w:r>
        <w:fldChar w:fldCharType="separate"/>
      </w:r>
      <w:r w:rsidR="00152B74" w:rsidRPr="00866D92">
        <w:t xml:space="preserve">Table </w:t>
      </w:r>
      <w:r w:rsidR="00152B74">
        <w:rPr>
          <w:noProof/>
        </w:rPr>
        <w:t>15</w:t>
      </w:r>
      <w:r>
        <w:fldChar w:fldCharType="end"/>
      </w:r>
      <w:r w:rsidR="007F0EEA">
        <w:t>.</w:t>
      </w:r>
    </w:p>
    <w:p w14:paraId="61E23227" w14:textId="0412DE0F" w:rsidR="001604D5" w:rsidRDefault="001604D5" w:rsidP="001604D5">
      <w:pPr>
        <w:pStyle w:val="Caption"/>
      </w:pPr>
      <w:bookmarkStart w:id="123" w:name="_Ref425964284"/>
      <w:bookmarkStart w:id="124" w:name="_Ref450554704"/>
      <w:bookmarkStart w:id="125" w:name="_Toc17130202"/>
      <w:bookmarkStart w:id="126" w:name="_Toc48837148"/>
      <w:bookmarkStart w:id="127" w:name="_Toc49185538"/>
      <w:r w:rsidRPr="00866D92">
        <w:t xml:space="preserve">Table </w:t>
      </w:r>
      <w:r w:rsidR="00BE0754">
        <w:fldChar w:fldCharType="begin"/>
      </w:r>
      <w:r w:rsidR="00BE0754">
        <w:instrText xml:space="preserve"> SEQ Table \* ARABIC </w:instrText>
      </w:r>
      <w:r w:rsidR="00BE0754">
        <w:fldChar w:fldCharType="separate"/>
      </w:r>
      <w:r w:rsidR="00152B74">
        <w:rPr>
          <w:noProof/>
        </w:rPr>
        <w:t>15</w:t>
      </w:r>
      <w:r w:rsidR="00BE0754">
        <w:rPr>
          <w:noProof/>
        </w:rPr>
        <w:fldChar w:fldCharType="end"/>
      </w:r>
      <w:bookmarkEnd w:id="123"/>
      <w:r w:rsidRPr="00866D92">
        <w:t>: Total number and value of contract approvals in 2019</w:t>
      </w:r>
      <w:r w:rsidR="003F788C">
        <w:t>–20</w:t>
      </w:r>
      <w:r w:rsidRPr="00866D92">
        <w:t xml:space="preserve"> </w:t>
      </w:r>
      <w:bookmarkEnd w:id="124"/>
      <w:r w:rsidRPr="00866D92">
        <w:t>by goods and services</w:t>
      </w:r>
      <w:bookmarkEnd w:id="125"/>
      <w:bookmarkEnd w:id="126"/>
      <w:bookmarkEnd w:id="127"/>
    </w:p>
    <w:tbl>
      <w:tblPr>
        <w:tblStyle w:val="TableGrid1"/>
        <w:tblW w:w="9090" w:type="dxa"/>
        <w:tblInd w:w="704" w:type="dxa"/>
        <w:tblLayout w:type="fixed"/>
        <w:tblLook w:val="04A0" w:firstRow="1" w:lastRow="0" w:firstColumn="1" w:lastColumn="0" w:noHBand="0" w:noVBand="1"/>
      </w:tblPr>
      <w:tblGrid>
        <w:gridCol w:w="992"/>
        <w:gridCol w:w="967"/>
        <w:gridCol w:w="1018"/>
        <w:gridCol w:w="992"/>
        <w:gridCol w:w="1139"/>
        <w:gridCol w:w="13"/>
        <w:gridCol w:w="979"/>
        <w:gridCol w:w="993"/>
        <w:gridCol w:w="13"/>
        <w:gridCol w:w="980"/>
        <w:gridCol w:w="991"/>
        <w:gridCol w:w="13"/>
      </w:tblGrid>
      <w:tr w:rsidR="00751445" w:rsidRPr="00845C2C" w14:paraId="0225A45E" w14:textId="77777777" w:rsidTr="007A4980">
        <w:tc>
          <w:tcPr>
            <w:tcW w:w="992" w:type="dxa"/>
            <w:shd w:val="clear" w:color="auto" w:fill="BFBFBF" w:themeFill="background1" w:themeFillShade="BF"/>
          </w:tcPr>
          <w:p w14:paraId="30FC84EA" w14:textId="77777777" w:rsidR="00751445" w:rsidRPr="00845C2C" w:rsidRDefault="00751445" w:rsidP="00ED447C">
            <w:pPr>
              <w:pStyle w:val="TableHeader"/>
            </w:pPr>
          </w:p>
        </w:tc>
        <w:tc>
          <w:tcPr>
            <w:tcW w:w="4129" w:type="dxa"/>
            <w:gridSpan w:val="5"/>
            <w:shd w:val="clear" w:color="auto" w:fill="BFBFBF" w:themeFill="background1" w:themeFillShade="BF"/>
          </w:tcPr>
          <w:p w14:paraId="6283D567" w14:textId="77777777" w:rsidR="00751445" w:rsidRPr="00845C2C" w:rsidRDefault="00751445" w:rsidP="00ED447C">
            <w:pPr>
              <w:pStyle w:val="TableHeader"/>
            </w:pPr>
            <w:r w:rsidRPr="00845C2C">
              <w:t>One-off supplies</w:t>
            </w:r>
          </w:p>
        </w:tc>
        <w:tc>
          <w:tcPr>
            <w:tcW w:w="1985" w:type="dxa"/>
            <w:gridSpan w:val="3"/>
            <w:vMerge w:val="restart"/>
            <w:shd w:val="clear" w:color="auto" w:fill="BFBFBF" w:themeFill="background1" w:themeFillShade="BF"/>
          </w:tcPr>
          <w:p w14:paraId="769ECCCC" w14:textId="77777777" w:rsidR="00751445" w:rsidRPr="00845C2C" w:rsidRDefault="00751445" w:rsidP="00ED447C">
            <w:pPr>
              <w:pStyle w:val="TableHeader"/>
            </w:pPr>
            <w:r w:rsidRPr="00845C2C">
              <w:t>SEPCs</w:t>
            </w:r>
          </w:p>
        </w:tc>
        <w:tc>
          <w:tcPr>
            <w:tcW w:w="1984" w:type="dxa"/>
            <w:gridSpan w:val="3"/>
            <w:vMerge w:val="restart"/>
            <w:shd w:val="clear" w:color="auto" w:fill="BFBFBF" w:themeFill="background1" w:themeFillShade="BF"/>
          </w:tcPr>
          <w:p w14:paraId="45239C07" w14:textId="77777777" w:rsidR="00751445" w:rsidRPr="00845C2C" w:rsidRDefault="00751445" w:rsidP="00ED447C">
            <w:pPr>
              <w:pStyle w:val="TableHeader"/>
            </w:pPr>
            <w:r w:rsidRPr="00845C2C">
              <w:t>SPCs</w:t>
            </w:r>
          </w:p>
        </w:tc>
      </w:tr>
      <w:tr w:rsidR="00751445" w:rsidRPr="00845C2C" w14:paraId="65504722" w14:textId="77777777" w:rsidTr="007A4980">
        <w:tc>
          <w:tcPr>
            <w:tcW w:w="992" w:type="dxa"/>
            <w:shd w:val="clear" w:color="auto" w:fill="BFBFBF" w:themeFill="background1" w:themeFillShade="BF"/>
          </w:tcPr>
          <w:p w14:paraId="791F6C3B" w14:textId="77777777" w:rsidR="00751445" w:rsidRPr="00845C2C" w:rsidRDefault="00751445" w:rsidP="000B20B5">
            <w:pPr>
              <w:pStyle w:val="TableText"/>
            </w:pPr>
          </w:p>
        </w:tc>
        <w:tc>
          <w:tcPr>
            <w:tcW w:w="1985" w:type="dxa"/>
            <w:gridSpan w:val="2"/>
            <w:shd w:val="clear" w:color="auto" w:fill="BFBFBF" w:themeFill="background1" w:themeFillShade="BF"/>
          </w:tcPr>
          <w:p w14:paraId="45881B95" w14:textId="77777777" w:rsidR="00751445" w:rsidRPr="00845C2C" w:rsidRDefault="00751445" w:rsidP="00ED447C">
            <w:pPr>
              <w:pStyle w:val="TableHeader"/>
            </w:pPr>
            <w:r>
              <w:t>Non-critical</w:t>
            </w:r>
          </w:p>
        </w:tc>
        <w:tc>
          <w:tcPr>
            <w:tcW w:w="2144" w:type="dxa"/>
            <w:gridSpan w:val="3"/>
            <w:shd w:val="clear" w:color="auto" w:fill="BFBFBF" w:themeFill="background1" w:themeFillShade="BF"/>
          </w:tcPr>
          <w:p w14:paraId="1196EF2F" w14:textId="31C0C78D" w:rsidR="00751445" w:rsidRDefault="00751445" w:rsidP="00ED447C">
            <w:pPr>
              <w:pStyle w:val="TableHeader"/>
            </w:pPr>
            <w:r>
              <w:t>Critical</w:t>
            </w:r>
          </w:p>
        </w:tc>
        <w:tc>
          <w:tcPr>
            <w:tcW w:w="1985" w:type="dxa"/>
            <w:gridSpan w:val="3"/>
            <w:vMerge/>
            <w:shd w:val="clear" w:color="auto" w:fill="BFBFBF" w:themeFill="background1" w:themeFillShade="BF"/>
          </w:tcPr>
          <w:p w14:paraId="66629F8F" w14:textId="77777777" w:rsidR="00751445" w:rsidRPr="00845C2C" w:rsidRDefault="00751445" w:rsidP="000B20B5">
            <w:pPr>
              <w:pStyle w:val="TableText"/>
            </w:pPr>
          </w:p>
        </w:tc>
        <w:tc>
          <w:tcPr>
            <w:tcW w:w="1984" w:type="dxa"/>
            <w:gridSpan w:val="3"/>
            <w:vMerge/>
            <w:shd w:val="clear" w:color="auto" w:fill="BFBFBF" w:themeFill="background1" w:themeFillShade="BF"/>
          </w:tcPr>
          <w:p w14:paraId="709027B5" w14:textId="77777777" w:rsidR="00751445" w:rsidRPr="00845C2C" w:rsidRDefault="00751445" w:rsidP="000B20B5">
            <w:pPr>
              <w:pStyle w:val="TableText"/>
            </w:pPr>
          </w:p>
        </w:tc>
      </w:tr>
      <w:tr w:rsidR="00751445" w:rsidRPr="00845C2C" w14:paraId="653C46E6" w14:textId="77777777" w:rsidTr="007A4980">
        <w:trPr>
          <w:gridAfter w:val="1"/>
          <w:wAfter w:w="13" w:type="dxa"/>
        </w:trPr>
        <w:tc>
          <w:tcPr>
            <w:tcW w:w="992" w:type="dxa"/>
            <w:shd w:val="clear" w:color="auto" w:fill="BFBFBF" w:themeFill="background1" w:themeFillShade="BF"/>
          </w:tcPr>
          <w:p w14:paraId="53C5D145" w14:textId="77777777" w:rsidR="00751445" w:rsidRPr="00845C2C" w:rsidRDefault="00751445" w:rsidP="000B20B5">
            <w:pPr>
              <w:pStyle w:val="TableText"/>
            </w:pPr>
          </w:p>
        </w:tc>
        <w:tc>
          <w:tcPr>
            <w:tcW w:w="967" w:type="dxa"/>
            <w:shd w:val="clear" w:color="auto" w:fill="BFBFBF" w:themeFill="background1" w:themeFillShade="BF"/>
          </w:tcPr>
          <w:p w14:paraId="66FA2FD0" w14:textId="77777777" w:rsidR="00751445" w:rsidRPr="00845C2C" w:rsidRDefault="00751445" w:rsidP="000B20B5">
            <w:pPr>
              <w:pStyle w:val="TableText"/>
            </w:pPr>
            <w:r w:rsidRPr="00845C2C">
              <w:t>Number</w:t>
            </w:r>
          </w:p>
        </w:tc>
        <w:tc>
          <w:tcPr>
            <w:tcW w:w="1018" w:type="dxa"/>
            <w:shd w:val="clear" w:color="auto" w:fill="BFBFBF" w:themeFill="background1" w:themeFillShade="BF"/>
          </w:tcPr>
          <w:p w14:paraId="2709200C" w14:textId="751B70E4" w:rsidR="00751445" w:rsidRPr="00845C2C" w:rsidRDefault="00751445" w:rsidP="000B20B5">
            <w:pPr>
              <w:pStyle w:val="TableText"/>
            </w:pPr>
            <w:r w:rsidRPr="00845C2C">
              <w:t>Value (</w:t>
            </w:r>
            <w:r w:rsidR="005C4F4A">
              <w:t>$m</w:t>
            </w:r>
            <w:r w:rsidRPr="00845C2C">
              <w:t>)</w:t>
            </w:r>
          </w:p>
        </w:tc>
        <w:tc>
          <w:tcPr>
            <w:tcW w:w="992" w:type="dxa"/>
            <w:shd w:val="clear" w:color="auto" w:fill="BFBFBF" w:themeFill="background1" w:themeFillShade="BF"/>
          </w:tcPr>
          <w:p w14:paraId="241F2BE7" w14:textId="77777777" w:rsidR="00751445" w:rsidRPr="00845C2C" w:rsidRDefault="00751445" w:rsidP="000B20B5">
            <w:pPr>
              <w:pStyle w:val="TableText"/>
            </w:pPr>
            <w:r w:rsidRPr="00845C2C">
              <w:t>Number</w:t>
            </w:r>
          </w:p>
        </w:tc>
        <w:tc>
          <w:tcPr>
            <w:tcW w:w="1139" w:type="dxa"/>
            <w:shd w:val="clear" w:color="auto" w:fill="BFBFBF" w:themeFill="background1" w:themeFillShade="BF"/>
          </w:tcPr>
          <w:p w14:paraId="5AE3F197" w14:textId="3E74A32C" w:rsidR="00751445" w:rsidRPr="00845C2C" w:rsidRDefault="00751445" w:rsidP="000B20B5">
            <w:pPr>
              <w:pStyle w:val="TableText"/>
            </w:pPr>
            <w:r w:rsidRPr="00845C2C">
              <w:t>Value (</w:t>
            </w:r>
            <w:r w:rsidR="005C4F4A">
              <w:t>$m</w:t>
            </w:r>
            <w:r w:rsidRPr="00845C2C">
              <w:t>)</w:t>
            </w:r>
          </w:p>
        </w:tc>
        <w:tc>
          <w:tcPr>
            <w:tcW w:w="992" w:type="dxa"/>
            <w:gridSpan w:val="2"/>
            <w:shd w:val="clear" w:color="auto" w:fill="BFBFBF" w:themeFill="background1" w:themeFillShade="BF"/>
          </w:tcPr>
          <w:p w14:paraId="75B8224B" w14:textId="77777777" w:rsidR="00751445" w:rsidRPr="00845C2C" w:rsidRDefault="00751445" w:rsidP="000B20B5">
            <w:pPr>
              <w:pStyle w:val="TableText"/>
            </w:pPr>
            <w:r w:rsidRPr="00845C2C">
              <w:t>Number</w:t>
            </w:r>
          </w:p>
        </w:tc>
        <w:tc>
          <w:tcPr>
            <w:tcW w:w="993" w:type="dxa"/>
            <w:shd w:val="clear" w:color="auto" w:fill="BFBFBF" w:themeFill="background1" w:themeFillShade="BF"/>
          </w:tcPr>
          <w:p w14:paraId="34087B6D" w14:textId="17469451" w:rsidR="00751445" w:rsidRPr="00845C2C" w:rsidRDefault="00751445" w:rsidP="000B20B5">
            <w:pPr>
              <w:pStyle w:val="TableText"/>
            </w:pPr>
            <w:r w:rsidRPr="00845C2C">
              <w:t>Value (</w:t>
            </w:r>
            <w:r w:rsidR="005C4F4A">
              <w:t>$m</w:t>
            </w:r>
            <w:r w:rsidRPr="00845C2C">
              <w:t>)</w:t>
            </w:r>
          </w:p>
        </w:tc>
        <w:tc>
          <w:tcPr>
            <w:tcW w:w="993" w:type="dxa"/>
            <w:gridSpan w:val="2"/>
            <w:shd w:val="clear" w:color="auto" w:fill="BFBFBF" w:themeFill="background1" w:themeFillShade="BF"/>
          </w:tcPr>
          <w:p w14:paraId="4473D8E4" w14:textId="77777777" w:rsidR="00751445" w:rsidRPr="00845C2C" w:rsidRDefault="00751445" w:rsidP="000B20B5">
            <w:pPr>
              <w:pStyle w:val="TableText"/>
            </w:pPr>
            <w:r w:rsidRPr="00845C2C">
              <w:t>Number</w:t>
            </w:r>
          </w:p>
        </w:tc>
        <w:tc>
          <w:tcPr>
            <w:tcW w:w="991" w:type="dxa"/>
            <w:shd w:val="clear" w:color="auto" w:fill="BFBFBF" w:themeFill="background1" w:themeFillShade="BF"/>
          </w:tcPr>
          <w:p w14:paraId="2B5489EE" w14:textId="74701601" w:rsidR="00751445" w:rsidRPr="00845C2C" w:rsidRDefault="00751445" w:rsidP="000B20B5">
            <w:pPr>
              <w:pStyle w:val="TableText"/>
            </w:pPr>
            <w:r w:rsidRPr="00845C2C">
              <w:t>Value (</w:t>
            </w:r>
            <w:r w:rsidR="005C4F4A">
              <w:t>$m</w:t>
            </w:r>
            <w:r w:rsidRPr="00845C2C">
              <w:t>)</w:t>
            </w:r>
          </w:p>
        </w:tc>
      </w:tr>
      <w:tr w:rsidR="00190BC9" w:rsidRPr="00CD6245" w14:paraId="463E5239" w14:textId="77777777" w:rsidTr="007A4980">
        <w:trPr>
          <w:gridAfter w:val="1"/>
          <w:wAfter w:w="13" w:type="dxa"/>
        </w:trPr>
        <w:tc>
          <w:tcPr>
            <w:tcW w:w="992" w:type="dxa"/>
          </w:tcPr>
          <w:p w14:paraId="5478E4C8" w14:textId="77777777" w:rsidR="00190BC9" w:rsidRPr="00A30EEE" w:rsidRDefault="00190BC9" w:rsidP="000B20B5">
            <w:pPr>
              <w:pStyle w:val="TableText"/>
            </w:pPr>
            <w:r w:rsidRPr="00A30EEE">
              <w:t>Goods</w:t>
            </w:r>
          </w:p>
        </w:tc>
        <w:tc>
          <w:tcPr>
            <w:tcW w:w="967" w:type="dxa"/>
          </w:tcPr>
          <w:p w14:paraId="3CEDB6D5" w14:textId="77777777" w:rsidR="00190BC9" w:rsidRPr="000B20B5" w:rsidRDefault="00190BC9" w:rsidP="000B20B5">
            <w:pPr>
              <w:pStyle w:val="Tablenumbers"/>
              <w:rPr>
                <w:highlight w:val="green"/>
              </w:rPr>
            </w:pPr>
            <w:r w:rsidRPr="000B20B5">
              <w:t>95</w:t>
            </w:r>
          </w:p>
        </w:tc>
        <w:tc>
          <w:tcPr>
            <w:tcW w:w="1018" w:type="dxa"/>
          </w:tcPr>
          <w:p w14:paraId="068BCB9F" w14:textId="77777777" w:rsidR="00190BC9" w:rsidRPr="000B20B5" w:rsidRDefault="00190BC9" w:rsidP="000B20B5">
            <w:pPr>
              <w:pStyle w:val="Tablenumbers"/>
              <w:rPr>
                <w:highlight w:val="green"/>
              </w:rPr>
            </w:pPr>
            <w:r w:rsidRPr="000B20B5">
              <w:t>$38.2</w:t>
            </w:r>
          </w:p>
        </w:tc>
        <w:tc>
          <w:tcPr>
            <w:tcW w:w="992" w:type="dxa"/>
          </w:tcPr>
          <w:p w14:paraId="3C0F35C1" w14:textId="035A4B1C" w:rsidR="00190BC9" w:rsidRPr="000B20B5" w:rsidRDefault="00190BC9" w:rsidP="000B20B5">
            <w:pPr>
              <w:pStyle w:val="Tablenumbers"/>
            </w:pPr>
            <w:r w:rsidRPr="000B20B5">
              <w:t>234</w:t>
            </w:r>
          </w:p>
        </w:tc>
        <w:tc>
          <w:tcPr>
            <w:tcW w:w="1139" w:type="dxa"/>
          </w:tcPr>
          <w:p w14:paraId="2E8E0049" w14:textId="30ECD89A" w:rsidR="00190BC9" w:rsidRPr="000B20B5" w:rsidRDefault="00190BC9" w:rsidP="000B20B5">
            <w:pPr>
              <w:pStyle w:val="Tablenumbers"/>
            </w:pPr>
            <w:r w:rsidRPr="000B20B5">
              <w:t>$75.2M</w:t>
            </w:r>
          </w:p>
        </w:tc>
        <w:tc>
          <w:tcPr>
            <w:tcW w:w="992" w:type="dxa"/>
            <w:gridSpan w:val="2"/>
          </w:tcPr>
          <w:p w14:paraId="18ADBBD3" w14:textId="77777777" w:rsidR="00190BC9" w:rsidRPr="000B20B5" w:rsidRDefault="00190BC9" w:rsidP="000B20B5">
            <w:pPr>
              <w:pStyle w:val="Tablenumbers"/>
              <w:rPr>
                <w:highlight w:val="green"/>
              </w:rPr>
            </w:pPr>
            <w:r w:rsidRPr="000B20B5">
              <w:t>24</w:t>
            </w:r>
          </w:p>
        </w:tc>
        <w:tc>
          <w:tcPr>
            <w:tcW w:w="993" w:type="dxa"/>
          </w:tcPr>
          <w:p w14:paraId="5C0B562E" w14:textId="77777777" w:rsidR="00190BC9" w:rsidRPr="000B20B5" w:rsidRDefault="00190BC9" w:rsidP="000B20B5">
            <w:pPr>
              <w:pStyle w:val="Tablenumbers"/>
              <w:rPr>
                <w:highlight w:val="green"/>
              </w:rPr>
            </w:pPr>
            <w:r w:rsidRPr="000B20B5">
              <w:t>$66.6</w:t>
            </w:r>
          </w:p>
        </w:tc>
        <w:tc>
          <w:tcPr>
            <w:tcW w:w="993" w:type="dxa"/>
            <w:gridSpan w:val="2"/>
          </w:tcPr>
          <w:p w14:paraId="39F61C52" w14:textId="77777777" w:rsidR="00190BC9" w:rsidRPr="000B20B5" w:rsidRDefault="00190BC9" w:rsidP="000B20B5">
            <w:pPr>
              <w:pStyle w:val="Tablenumbers"/>
              <w:rPr>
                <w:highlight w:val="green"/>
              </w:rPr>
            </w:pPr>
            <w:r w:rsidRPr="000B20B5">
              <w:t>1</w:t>
            </w:r>
          </w:p>
        </w:tc>
        <w:tc>
          <w:tcPr>
            <w:tcW w:w="991" w:type="dxa"/>
          </w:tcPr>
          <w:p w14:paraId="31A94810" w14:textId="77777777" w:rsidR="00190BC9" w:rsidRPr="000B20B5" w:rsidRDefault="00190BC9" w:rsidP="000B20B5">
            <w:pPr>
              <w:pStyle w:val="Tablenumbers"/>
              <w:rPr>
                <w:highlight w:val="green"/>
              </w:rPr>
            </w:pPr>
            <w:r w:rsidRPr="000B20B5">
              <w:t>$65.0</w:t>
            </w:r>
          </w:p>
        </w:tc>
      </w:tr>
      <w:tr w:rsidR="00D2492E" w:rsidRPr="00CD6245" w14:paraId="7F9363E2" w14:textId="77777777" w:rsidTr="007A4980">
        <w:trPr>
          <w:gridAfter w:val="1"/>
          <w:wAfter w:w="13" w:type="dxa"/>
        </w:trPr>
        <w:tc>
          <w:tcPr>
            <w:tcW w:w="992" w:type="dxa"/>
          </w:tcPr>
          <w:p w14:paraId="5FE52853" w14:textId="77777777" w:rsidR="00D2492E" w:rsidRPr="00A30EEE" w:rsidRDefault="00D2492E" w:rsidP="000B20B5">
            <w:pPr>
              <w:pStyle w:val="TableText"/>
            </w:pPr>
            <w:r w:rsidRPr="00A30EEE">
              <w:t>Services</w:t>
            </w:r>
          </w:p>
        </w:tc>
        <w:tc>
          <w:tcPr>
            <w:tcW w:w="967" w:type="dxa"/>
          </w:tcPr>
          <w:p w14:paraId="7548ED43" w14:textId="1486AB22" w:rsidR="00D2492E" w:rsidRPr="000B20B5" w:rsidRDefault="00D2492E" w:rsidP="000B20B5">
            <w:pPr>
              <w:pStyle w:val="Tablenumbers"/>
              <w:rPr>
                <w:highlight w:val="green"/>
              </w:rPr>
            </w:pPr>
            <w:r w:rsidRPr="000B20B5">
              <w:t>941</w:t>
            </w:r>
          </w:p>
        </w:tc>
        <w:tc>
          <w:tcPr>
            <w:tcW w:w="1018" w:type="dxa"/>
          </w:tcPr>
          <w:p w14:paraId="09C31FE0" w14:textId="1DE33C3D" w:rsidR="00D2492E" w:rsidRPr="000B20B5" w:rsidRDefault="00D2492E" w:rsidP="000B20B5">
            <w:pPr>
              <w:pStyle w:val="Tablenumbers"/>
              <w:rPr>
                <w:highlight w:val="green"/>
              </w:rPr>
            </w:pPr>
            <w:r w:rsidRPr="000B20B5">
              <w:t>$1 233.7</w:t>
            </w:r>
          </w:p>
        </w:tc>
        <w:tc>
          <w:tcPr>
            <w:tcW w:w="992" w:type="dxa"/>
          </w:tcPr>
          <w:p w14:paraId="1DAA83A8" w14:textId="49F12495" w:rsidR="00D2492E" w:rsidRPr="000B20B5" w:rsidRDefault="00D2492E" w:rsidP="000B20B5">
            <w:pPr>
              <w:pStyle w:val="Tablenumbers"/>
            </w:pPr>
            <w:r w:rsidRPr="000B20B5">
              <w:t>337</w:t>
            </w:r>
          </w:p>
        </w:tc>
        <w:tc>
          <w:tcPr>
            <w:tcW w:w="1139" w:type="dxa"/>
          </w:tcPr>
          <w:p w14:paraId="31898F1C" w14:textId="1C00D095" w:rsidR="00D2492E" w:rsidRPr="000B20B5" w:rsidRDefault="00D2492E" w:rsidP="000B20B5">
            <w:pPr>
              <w:pStyle w:val="Tablenumbers"/>
            </w:pPr>
            <w:r w:rsidRPr="000B20B5">
              <w:t>$2</w:t>
            </w:r>
            <w:r w:rsidR="009117E3" w:rsidRPr="000B20B5">
              <w:t>10</w:t>
            </w:r>
            <w:r w:rsidRPr="000B20B5">
              <w:t>.3M</w:t>
            </w:r>
          </w:p>
        </w:tc>
        <w:tc>
          <w:tcPr>
            <w:tcW w:w="992" w:type="dxa"/>
            <w:gridSpan w:val="2"/>
          </w:tcPr>
          <w:p w14:paraId="0543FF2A" w14:textId="77777777" w:rsidR="00D2492E" w:rsidRPr="000B20B5" w:rsidRDefault="00D2492E" w:rsidP="000B20B5">
            <w:pPr>
              <w:pStyle w:val="Tablenumbers"/>
              <w:rPr>
                <w:highlight w:val="green"/>
              </w:rPr>
            </w:pPr>
            <w:r w:rsidRPr="000B20B5">
              <w:t>20</w:t>
            </w:r>
          </w:p>
        </w:tc>
        <w:tc>
          <w:tcPr>
            <w:tcW w:w="993" w:type="dxa"/>
          </w:tcPr>
          <w:p w14:paraId="1CA0A781" w14:textId="1C638850" w:rsidR="00D2492E" w:rsidRPr="000B20B5" w:rsidRDefault="00D2492E" w:rsidP="000B20B5">
            <w:pPr>
              <w:pStyle w:val="Tablenumbers"/>
            </w:pPr>
            <w:r w:rsidRPr="000B20B5">
              <w:t>$32.2</w:t>
            </w:r>
          </w:p>
        </w:tc>
        <w:tc>
          <w:tcPr>
            <w:tcW w:w="993" w:type="dxa"/>
            <w:gridSpan w:val="2"/>
          </w:tcPr>
          <w:p w14:paraId="5A46D102" w14:textId="3C90B2F4" w:rsidR="00D2492E" w:rsidRPr="000B20B5" w:rsidRDefault="00D2492E" w:rsidP="000B20B5">
            <w:pPr>
              <w:pStyle w:val="Tablenumbers"/>
              <w:rPr>
                <w:highlight w:val="green"/>
              </w:rPr>
            </w:pPr>
            <w:r w:rsidRPr="000B20B5">
              <w:t>5</w:t>
            </w:r>
          </w:p>
        </w:tc>
        <w:tc>
          <w:tcPr>
            <w:tcW w:w="991" w:type="dxa"/>
          </w:tcPr>
          <w:p w14:paraId="69CD2F10" w14:textId="01BA7A03" w:rsidR="00D2492E" w:rsidRPr="000B20B5" w:rsidRDefault="00D2492E" w:rsidP="000B20B5">
            <w:pPr>
              <w:pStyle w:val="Tablenumbers"/>
              <w:rPr>
                <w:highlight w:val="green"/>
              </w:rPr>
            </w:pPr>
            <w:r w:rsidRPr="000B20B5">
              <w:t>$230.5</w:t>
            </w:r>
          </w:p>
        </w:tc>
      </w:tr>
      <w:tr w:rsidR="00D2492E" w:rsidRPr="000B20B5" w14:paraId="105B8188" w14:textId="77777777" w:rsidTr="00190BC9">
        <w:trPr>
          <w:gridAfter w:val="1"/>
          <w:wAfter w:w="13" w:type="dxa"/>
        </w:trPr>
        <w:tc>
          <w:tcPr>
            <w:tcW w:w="992" w:type="dxa"/>
          </w:tcPr>
          <w:p w14:paraId="546BC498" w14:textId="77777777" w:rsidR="00D2492E" w:rsidRPr="000B20B5" w:rsidRDefault="00D2492E" w:rsidP="000B20B5">
            <w:pPr>
              <w:pStyle w:val="TableText"/>
              <w:rPr>
                <w:rStyle w:val="Strong"/>
              </w:rPr>
            </w:pPr>
            <w:r w:rsidRPr="000B20B5">
              <w:rPr>
                <w:rStyle w:val="Strong"/>
              </w:rPr>
              <w:t>Total</w:t>
            </w:r>
          </w:p>
        </w:tc>
        <w:tc>
          <w:tcPr>
            <w:tcW w:w="967" w:type="dxa"/>
          </w:tcPr>
          <w:p w14:paraId="4561DFD9" w14:textId="2D80281B" w:rsidR="00D2492E" w:rsidRPr="000B20B5" w:rsidRDefault="00D2492E" w:rsidP="000B20B5">
            <w:pPr>
              <w:pStyle w:val="Tablenumbers"/>
              <w:rPr>
                <w:rStyle w:val="Strong"/>
                <w:highlight w:val="green"/>
              </w:rPr>
            </w:pPr>
            <w:r w:rsidRPr="000B20B5">
              <w:rPr>
                <w:rStyle w:val="Strong"/>
              </w:rPr>
              <w:t>1</w:t>
            </w:r>
            <w:r w:rsidR="00BA5B64" w:rsidRPr="000B20B5">
              <w:rPr>
                <w:rStyle w:val="Strong"/>
              </w:rPr>
              <w:t> </w:t>
            </w:r>
            <w:r w:rsidRPr="000B20B5">
              <w:rPr>
                <w:rStyle w:val="Strong"/>
              </w:rPr>
              <w:t>036</w:t>
            </w:r>
          </w:p>
        </w:tc>
        <w:tc>
          <w:tcPr>
            <w:tcW w:w="1018" w:type="dxa"/>
          </w:tcPr>
          <w:p w14:paraId="56D55F7F" w14:textId="2EC5B51D" w:rsidR="00D2492E" w:rsidRPr="000B20B5" w:rsidRDefault="00D2492E" w:rsidP="000B20B5">
            <w:pPr>
              <w:pStyle w:val="Tablenumbers"/>
              <w:rPr>
                <w:rStyle w:val="Strong"/>
                <w:highlight w:val="green"/>
              </w:rPr>
            </w:pPr>
            <w:r w:rsidRPr="000B20B5">
              <w:rPr>
                <w:rStyle w:val="Strong"/>
              </w:rPr>
              <w:t>$1 272.0</w:t>
            </w:r>
          </w:p>
        </w:tc>
        <w:tc>
          <w:tcPr>
            <w:tcW w:w="992" w:type="dxa"/>
          </w:tcPr>
          <w:p w14:paraId="52BD78E8" w14:textId="1FE16C2B" w:rsidR="00D2492E" w:rsidRPr="000B20B5" w:rsidRDefault="00D2492E" w:rsidP="000B20B5">
            <w:pPr>
              <w:pStyle w:val="Tablenumbers"/>
              <w:rPr>
                <w:rStyle w:val="Strong"/>
              </w:rPr>
            </w:pPr>
            <w:r w:rsidRPr="000B20B5">
              <w:rPr>
                <w:rStyle w:val="Strong"/>
              </w:rPr>
              <w:t>571</w:t>
            </w:r>
          </w:p>
        </w:tc>
        <w:tc>
          <w:tcPr>
            <w:tcW w:w="1139" w:type="dxa"/>
          </w:tcPr>
          <w:p w14:paraId="49D43A17" w14:textId="5A988CDC" w:rsidR="00D2492E" w:rsidRPr="000B20B5" w:rsidRDefault="00D2492E" w:rsidP="000B20B5">
            <w:pPr>
              <w:pStyle w:val="Tablenumbers"/>
              <w:rPr>
                <w:rStyle w:val="Strong"/>
              </w:rPr>
            </w:pPr>
            <w:r w:rsidRPr="000B20B5">
              <w:rPr>
                <w:rStyle w:val="Strong"/>
              </w:rPr>
              <w:t>$</w:t>
            </w:r>
            <w:r w:rsidR="009117E3" w:rsidRPr="000B20B5">
              <w:rPr>
                <w:rStyle w:val="Strong"/>
              </w:rPr>
              <w:t>285</w:t>
            </w:r>
            <w:r w:rsidRPr="000B20B5">
              <w:rPr>
                <w:rStyle w:val="Strong"/>
              </w:rPr>
              <w:t>.</w:t>
            </w:r>
            <w:r w:rsidR="009117E3" w:rsidRPr="000B20B5">
              <w:rPr>
                <w:rStyle w:val="Strong"/>
              </w:rPr>
              <w:t>4</w:t>
            </w:r>
            <w:r w:rsidR="009C03B3">
              <w:rPr>
                <w:rStyle w:val="Strong"/>
              </w:rPr>
              <w:t>*</w:t>
            </w:r>
          </w:p>
        </w:tc>
        <w:tc>
          <w:tcPr>
            <w:tcW w:w="992" w:type="dxa"/>
            <w:gridSpan w:val="2"/>
          </w:tcPr>
          <w:p w14:paraId="6DC56E14" w14:textId="77777777" w:rsidR="00D2492E" w:rsidRPr="000B20B5" w:rsidRDefault="00D2492E" w:rsidP="000B20B5">
            <w:pPr>
              <w:pStyle w:val="Tablenumbers"/>
              <w:rPr>
                <w:rStyle w:val="Strong"/>
                <w:highlight w:val="green"/>
              </w:rPr>
            </w:pPr>
            <w:r w:rsidRPr="000B20B5">
              <w:rPr>
                <w:rStyle w:val="Strong"/>
              </w:rPr>
              <w:t>44</w:t>
            </w:r>
          </w:p>
        </w:tc>
        <w:tc>
          <w:tcPr>
            <w:tcW w:w="993" w:type="dxa"/>
          </w:tcPr>
          <w:p w14:paraId="4A1CDA6B" w14:textId="5F170624" w:rsidR="00D2492E" w:rsidRPr="000B20B5" w:rsidRDefault="00D2492E" w:rsidP="000B20B5">
            <w:pPr>
              <w:pStyle w:val="Tablenumbers"/>
              <w:rPr>
                <w:rStyle w:val="Strong"/>
              </w:rPr>
            </w:pPr>
            <w:r w:rsidRPr="000B20B5">
              <w:rPr>
                <w:rStyle w:val="Strong"/>
              </w:rPr>
              <w:t>$98.8</w:t>
            </w:r>
          </w:p>
        </w:tc>
        <w:tc>
          <w:tcPr>
            <w:tcW w:w="993" w:type="dxa"/>
            <w:gridSpan w:val="2"/>
          </w:tcPr>
          <w:p w14:paraId="4FF41D1A" w14:textId="724DCA39" w:rsidR="00D2492E" w:rsidRPr="000B20B5" w:rsidRDefault="00D2492E" w:rsidP="000B20B5">
            <w:pPr>
              <w:pStyle w:val="Tablenumbers"/>
              <w:rPr>
                <w:rStyle w:val="Strong"/>
                <w:highlight w:val="green"/>
              </w:rPr>
            </w:pPr>
            <w:r w:rsidRPr="000B20B5">
              <w:rPr>
                <w:rStyle w:val="Strong"/>
              </w:rPr>
              <w:t>6</w:t>
            </w:r>
          </w:p>
        </w:tc>
        <w:tc>
          <w:tcPr>
            <w:tcW w:w="991" w:type="dxa"/>
          </w:tcPr>
          <w:p w14:paraId="630D4D4D" w14:textId="07109FD7" w:rsidR="00D2492E" w:rsidRPr="000B20B5" w:rsidRDefault="00D2492E" w:rsidP="000B20B5">
            <w:pPr>
              <w:pStyle w:val="Tablenumbers"/>
              <w:rPr>
                <w:rStyle w:val="Strong"/>
                <w:highlight w:val="green"/>
              </w:rPr>
            </w:pPr>
            <w:r w:rsidRPr="000B20B5">
              <w:rPr>
                <w:rStyle w:val="Strong"/>
              </w:rPr>
              <w:t>$295.5</w:t>
            </w:r>
          </w:p>
        </w:tc>
      </w:tr>
    </w:tbl>
    <w:p w14:paraId="2D260101" w14:textId="2960C763" w:rsidR="00F952B1" w:rsidRDefault="001C109A" w:rsidP="00B37969">
      <w:pPr>
        <w:pStyle w:val="Tablenotes"/>
      </w:pPr>
      <w:r>
        <w:t xml:space="preserve">Note: Due to the high number of critical incident procurements </w:t>
      </w:r>
      <w:r w:rsidR="00875A6B">
        <w:t xml:space="preserve">reported </w:t>
      </w:r>
      <w:r>
        <w:t>in 2019</w:t>
      </w:r>
      <w:r w:rsidR="00875A6B">
        <w:t>–20</w:t>
      </w:r>
      <w:r>
        <w:t xml:space="preserve">, </w:t>
      </w:r>
      <w:r w:rsidR="00AB16F6">
        <w:t>critical and non-critical contract approvals h</w:t>
      </w:r>
      <w:r>
        <w:t xml:space="preserve">ave been reported separately under one-off supplies in this table. </w:t>
      </w:r>
      <w:r w:rsidR="00F952B1" w:rsidRPr="000019EF">
        <w:t>Discrepancies between totals and sums of totals reflect rounding.</w:t>
      </w:r>
    </w:p>
    <w:p w14:paraId="00CDF749" w14:textId="4C3F2AD1" w:rsidR="009C03B3" w:rsidRDefault="009C03B3" w:rsidP="00B37969">
      <w:pPr>
        <w:pStyle w:val="Tablenotes"/>
      </w:pPr>
      <w:r>
        <w:t>*</w:t>
      </w:r>
      <w:r w:rsidRPr="009C03B3">
        <w:t>Contract value excludes the Department of Jobs, Precincts and Regions’ contracts where contract value is still to be finalised.</w:t>
      </w:r>
    </w:p>
    <w:p w14:paraId="22A5E49A" w14:textId="513706B6" w:rsidR="001604D5" w:rsidRPr="001B73C0" w:rsidRDefault="001604D5" w:rsidP="001604D5">
      <w:pPr>
        <w:pStyle w:val="Normal1"/>
      </w:pPr>
      <w:r w:rsidRPr="001B73C0">
        <w:t>The majority of contract approvals were for one-off supplies (9</w:t>
      </w:r>
      <w:r w:rsidR="00D2492E">
        <w:t>7.0</w:t>
      </w:r>
      <w:r w:rsidRPr="001B73C0">
        <w:t xml:space="preserve"> per cent), followed by SEPCs (2.</w:t>
      </w:r>
      <w:r w:rsidR="000461A0">
        <w:t>7</w:t>
      </w:r>
      <w:r w:rsidRPr="001B73C0">
        <w:t xml:space="preserve"> per cent) and SPCs (0.</w:t>
      </w:r>
      <w:r w:rsidR="00AD2AD7" w:rsidRPr="001B73C0">
        <w:t>4</w:t>
      </w:r>
      <w:r w:rsidRPr="001B73C0">
        <w:t xml:space="preserve"> per cent).</w:t>
      </w:r>
      <w:r w:rsidR="00751445" w:rsidRPr="001B73C0">
        <w:t xml:space="preserve"> </w:t>
      </w:r>
      <w:r w:rsidRPr="001B73C0">
        <w:t xml:space="preserve">In terms of value, one-off supplies were equivalent to </w:t>
      </w:r>
      <w:r w:rsidR="009117E3">
        <w:t>79.8</w:t>
      </w:r>
      <w:r w:rsidRPr="001B73C0">
        <w:t xml:space="preserve"> </w:t>
      </w:r>
      <w:r w:rsidR="009117E3">
        <w:t> </w:t>
      </w:r>
      <w:r w:rsidRPr="001B73C0">
        <w:t xml:space="preserve">per cent of the total value of approved contracts, followed by SPCs at </w:t>
      </w:r>
      <w:r w:rsidR="009117E3">
        <w:t>15.1</w:t>
      </w:r>
      <w:r w:rsidRPr="001B73C0">
        <w:t xml:space="preserve"> per cent and SEPCs at </w:t>
      </w:r>
      <w:r w:rsidR="009117E3">
        <w:t>5.1</w:t>
      </w:r>
      <w:r w:rsidRPr="001B73C0">
        <w:t> per cent.</w:t>
      </w:r>
    </w:p>
    <w:p w14:paraId="513FBCBA" w14:textId="77777777" w:rsidR="001604D5" w:rsidRPr="001B73C0" w:rsidRDefault="001604D5" w:rsidP="001604D5">
      <w:pPr>
        <w:pStyle w:val="Normal1"/>
      </w:pPr>
      <w:r w:rsidRPr="001B73C0">
        <w:t>The difference in proportions between numbers and values is because SPCs and SEPCs generally have higher estimated contract values and span multiple years.</w:t>
      </w:r>
    </w:p>
    <w:bookmarkEnd w:id="122"/>
    <w:p w14:paraId="51450622" w14:textId="77777777" w:rsidR="001604D5" w:rsidRPr="00CD6245" w:rsidRDefault="001604D5" w:rsidP="001604D5">
      <w:pPr>
        <w:pStyle w:val="Heading3NoNum"/>
      </w:pPr>
      <w:r w:rsidRPr="00CD6245">
        <w:t xml:space="preserve">Trends in </w:t>
      </w:r>
      <w:r>
        <w:t>contract approvals</w:t>
      </w:r>
    </w:p>
    <w:bookmarkStart w:id="128" w:name="_Ref451521043"/>
    <w:p w14:paraId="3587B6AB" w14:textId="12E3B6F4" w:rsidR="000461A0" w:rsidRDefault="001604D5" w:rsidP="001604D5">
      <w:pPr>
        <w:pStyle w:val="Normal1"/>
      </w:pPr>
      <w:r w:rsidRPr="00135A2C">
        <w:fldChar w:fldCharType="begin"/>
      </w:r>
      <w:r w:rsidRPr="00135A2C">
        <w:instrText xml:space="preserve"> REF _Ref489003425 \h  \* MERGEFORMAT </w:instrText>
      </w:r>
      <w:r w:rsidRPr="00135A2C">
        <w:fldChar w:fldCharType="separate"/>
      </w:r>
      <w:r w:rsidR="00152B74" w:rsidRPr="00135A2C">
        <w:t xml:space="preserve">Table </w:t>
      </w:r>
      <w:r w:rsidR="00152B74">
        <w:rPr>
          <w:noProof/>
        </w:rPr>
        <w:t>16</w:t>
      </w:r>
      <w:r w:rsidRPr="00135A2C">
        <w:fldChar w:fldCharType="end"/>
      </w:r>
      <w:r w:rsidRPr="00135A2C">
        <w:t xml:space="preserve"> </w:t>
      </w:r>
      <w:r w:rsidR="00771D7E">
        <w:t xml:space="preserve">and </w:t>
      </w:r>
      <w:r w:rsidR="00771D7E">
        <w:fldChar w:fldCharType="begin"/>
      </w:r>
      <w:r w:rsidR="00771D7E">
        <w:instrText xml:space="preserve"> REF _Ref51168650 \h </w:instrText>
      </w:r>
      <w:r w:rsidR="00771D7E">
        <w:fldChar w:fldCharType="separate"/>
      </w:r>
      <w:r w:rsidR="00152B74">
        <w:t xml:space="preserve">Figure </w:t>
      </w:r>
      <w:r w:rsidR="00152B74">
        <w:rPr>
          <w:noProof/>
        </w:rPr>
        <w:t>5</w:t>
      </w:r>
      <w:r w:rsidR="00771D7E">
        <w:fldChar w:fldCharType="end"/>
      </w:r>
      <w:r w:rsidR="00771D7E">
        <w:t xml:space="preserve"> </w:t>
      </w:r>
      <w:r w:rsidRPr="00135A2C">
        <w:t xml:space="preserve">show the </w:t>
      </w:r>
      <w:r>
        <w:t>number and value of contracts approved over the last three years.</w:t>
      </w:r>
      <w:r w:rsidR="00F41F22">
        <w:t xml:space="preserve"> The number of contracts increased in 2019–20, but the total value decreased. This can be attributed to the increase in one-off supply contracts </w:t>
      </w:r>
      <w:r w:rsidR="007D4D1C">
        <w:t xml:space="preserve">for </w:t>
      </w:r>
      <w:r w:rsidR="00F41F22">
        <w:t>critical incident p</w:t>
      </w:r>
      <w:r w:rsidR="007D4D1C">
        <w:t>rocurements</w:t>
      </w:r>
      <w:r w:rsidR="00F41F22">
        <w:t xml:space="preserve"> and the decrease in </w:t>
      </w:r>
      <w:r w:rsidR="000461A0">
        <w:t>value in standing offer agreements.</w:t>
      </w:r>
    </w:p>
    <w:p w14:paraId="60092309" w14:textId="5ECC59C5" w:rsidR="001604D5" w:rsidRDefault="000461A0" w:rsidP="001604D5">
      <w:pPr>
        <w:pStyle w:val="Normal1"/>
      </w:pPr>
      <w:r>
        <w:t xml:space="preserve">SPCs and SEPCs typically have </w:t>
      </w:r>
      <w:r w:rsidR="00F41F22">
        <w:t xml:space="preserve">higher </w:t>
      </w:r>
      <w:r>
        <w:t xml:space="preserve">contract </w:t>
      </w:r>
      <w:r w:rsidR="00F41F22">
        <w:t>values and span multiple years. For some organisations, the need to prioritise response and recovery efforts will have delayed planned procurements</w:t>
      </w:r>
      <w:r>
        <w:t>, including setting up and renewing these contracts.</w:t>
      </w:r>
    </w:p>
    <w:p w14:paraId="4ADBECE0" w14:textId="2E5A5FC1" w:rsidR="00F41F22" w:rsidRDefault="00F41F22" w:rsidP="00F41F22">
      <w:pPr>
        <w:pStyle w:val="Normal1"/>
        <w:rPr>
          <w:rStyle w:val="NormalChar"/>
        </w:rPr>
      </w:pPr>
      <w:r w:rsidRPr="005768D5">
        <w:rPr>
          <w:rStyle w:val="NormalChar"/>
        </w:rPr>
        <w:t xml:space="preserve">The number and value of SEPC and SPC approvals </w:t>
      </w:r>
      <w:r>
        <w:rPr>
          <w:rStyle w:val="NormalChar"/>
        </w:rPr>
        <w:t xml:space="preserve">usually </w:t>
      </w:r>
      <w:r w:rsidRPr="005768D5">
        <w:rPr>
          <w:rStyle w:val="NormalChar"/>
        </w:rPr>
        <w:t>var</w:t>
      </w:r>
      <w:r>
        <w:rPr>
          <w:rStyle w:val="NormalChar"/>
        </w:rPr>
        <w:t>ies</w:t>
      </w:r>
      <w:r w:rsidRPr="005768D5">
        <w:rPr>
          <w:rStyle w:val="NormalChar"/>
        </w:rPr>
        <w:t xml:space="preserve"> from year to year based on the specific procurement projects that need to be carried out in any given year, and/or the expiry and need for renewal of SEPCs and SPCs.</w:t>
      </w:r>
    </w:p>
    <w:p w14:paraId="5C18420F" w14:textId="2C34A3F4" w:rsidR="009C03B3" w:rsidRDefault="009C03B3" w:rsidP="00F41F22">
      <w:pPr>
        <w:pStyle w:val="Normal1"/>
        <w:rPr>
          <w:rStyle w:val="NormalChar"/>
        </w:rPr>
      </w:pPr>
    </w:p>
    <w:p w14:paraId="7A82A393" w14:textId="01A2006D" w:rsidR="009C03B3" w:rsidRDefault="009C03B3" w:rsidP="00F41F22">
      <w:pPr>
        <w:pStyle w:val="Normal1"/>
        <w:rPr>
          <w:rStyle w:val="NormalChar"/>
        </w:rPr>
      </w:pPr>
    </w:p>
    <w:p w14:paraId="3EF70EB2" w14:textId="67D38C64" w:rsidR="009C03B3" w:rsidRDefault="009C03B3" w:rsidP="00F41F22">
      <w:pPr>
        <w:pStyle w:val="Normal1"/>
        <w:rPr>
          <w:rStyle w:val="NormalChar"/>
        </w:rPr>
      </w:pPr>
    </w:p>
    <w:p w14:paraId="39BDBE28" w14:textId="77777777" w:rsidR="009C03B3" w:rsidRDefault="009C03B3" w:rsidP="00F41F22">
      <w:pPr>
        <w:pStyle w:val="Normal1"/>
        <w:rPr>
          <w:rStyle w:val="NormalChar"/>
        </w:rPr>
      </w:pPr>
    </w:p>
    <w:p w14:paraId="016882E7" w14:textId="3AAFDE51" w:rsidR="001604D5" w:rsidRDefault="001604D5" w:rsidP="001604D5">
      <w:pPr>
        <w:pStyle w:val="Caption"/>
      </w:pPr>
      <w:bookmarkStart w:id="129" w:name="_Ref451521058"/>
      <w:bookmarkStart w:id="130" w:name="_Ref489003425"/>
      <w:bookmarkStart w:id="131" w:name="_Toc17130203"/>
      <w:bookmarkStart w:id="132" w:name="_Toc48837149"/>
      <w:bookmarkStart w:id="133" w:name="_Toc49185539"/>
      <w:r w:rsidRPr="00135A2C">
        <w:lastRenderedPageBreak/>
        <w:t xml:space="preserve">Table </w:t>
      </w:r>
      <w:r w:rsidRPr="00135A2C">
        <w:rPr>
          <w:noProof/>
        </w:rPr>
        <w:fldChar w:fldCharType="begin"/>
      </w:r>
      <w:r w:rsidRPr="00135A2C">
        <w:rPr>
          <w:noProof/>
        </w:rPr>
        <w:instrText xml:space="preserve"> SEQ Table \* ARABIC </w:instrText>
      </w:r>
      <w:r w:rsidRPr="00135A2C">
        <w:rPr>
          <w:noProof/>
        </w:rPr>
        <w:fldChar w:fldCharType="separate"/>
      </w:r>
      <w:r w:rsidR="00152B74">
        <w:rPr>
          <w:noProof/>
        </w:rPr>
        <w:t>16</w:t>
      </w:r>
      <w:r w:rsidRPr="00135A2C">
        <w:rPr>
          <w:noProof/>
        </w:rPr>
        <w:fldChar w:fldCharType="end"/>
      </w:r>
      <w:bookmarkEnd w:id="128"/>
      <w:bookmarkEnd w:id="129"/>
      <w:bookmarkEnd w:id="130"/>
      <w:r w:rsidRPr="00135A2C">
        <w:t xml:space="preserve">: Trends in one-off supply, SEPC and SPC contract approvals from </w:t>
      </w:r>
      <w:r w:rsidR="000A2DD9">
        <w:t>2017–18</w:t>
      </w:r>
      <w:r w:rsidRPr="00135A2C">
        <w:t xml:space="preserve"> to 201</w:t>
      </w:r>
      <w:bookmarkEnd w:id="131"/>
      <w:r w:rsidR="000A2DD9">
        <w:t>9–20</w:t>
      </w:r>
      <w:bookmarkEnd w:id="132"/>
      <w:bookmarkEnd w:id="133"/>
    </w:p>
    <w:tbl>
      <w:tblPr>
        <w:tblStyle w:val="TableGrid1"/>
        <w:tblW w:w="8652" w:type="dxa"/>
        <w:tblInd w:w="846" w:type="dxa"/>
        <w:tblLook w:val="04A0" w:firstRow="1" w:lastRow="0" w:firstColumn="1" w:lastColumn="0" w:noHBand="0" w:noVBand="1"/>
      </w:tblPr>
      <w:tblGrid>
        <w:gridCol w:w="1845"/>
        <w:gridCol w:w="990"/>
        <w:gridCol w:w="1230"/>
        <w:gridCol w:w="16"/>
        <w:gridCol w:w="1022"/>
        <w:gridCol w:w="1276"/>
        <w:gridCol w:w="997"/>
        <w:gridCol w:w="1276"/>
      </w:tblGrid>
      <w:tr w:rsidR="001604D5" w:rsidRPr="00845C2C" w14:paraId="4C59ADC5" w14:textId="77777777" w:rsidTr="001604D5">
        <w:tc>
          <w:tcPr>
            <w:tcW w:w="1845" w:type="dxa"/>
            <w:shd w:val="clear" w:color="auto" w:fill="BFBFBF" w:themeFill="background1" w:themeFillShade="BF"/>
          </w:tcPr>
          <w:p w14:paraId="21729B81" w14:textId="77777777" w:rsidR="001604D5" w:rsidRPr="00845C2C" w:rsidRDefault="001604D5" w:rsidP="000B20B5">
            <w:pPr>
              <w:pStyle w:val="TableText"/>
            </w:pPr>
          </w:p>
        </w:tc>
        <w:tc>
          <w:tcPr>
            <w:tcW w:w="2236" w:type="dxa"/>
            <w:gridSpan w:val="3"/>
            <w:shd w:val="clear" w:color="auto" w:fill="BFBFBF" w:themeFill="background1" w:themeFillShade="BF"/>
          </w:tcPr>
          <w:p w14:paraId="44C4778F" w14:textId="5389572F" w:rsidR="001604D5" w:rsidRPr="00845C2C" w:rsidRDefault="000A2DD9" w:rsidP="000B20B5">
            <w:pPr>
              <w:pStyle w:val="TableText"/>
            </w:pPr>
            <w:r w:rsidRPr="00845C2C">
              <w:t>2017–18</w:t>
            </w:r>
          </w:p>
        </w:tc>
        <w:tc>
          <w:tcPr>
            <w:tcW w:w="2298" w:type="dxa"/>
            <w:gridSpan w:val="2"/>
            <w:shd w:val="clear" w:color="auto" w:fill="BFBFBF" w:themeFill="background1" w:themeFillShade="BF"/>
          </w:tcPr>
          <w:p w14:paraId="402B8A2B" w14:textId="7F1C7E66" w:rsidR="001604D5" w:rsidRPr="00845C2C" w:rsidRDefault="000A2DD9" w:rsidP="000B20B5">
            <w:pPr>
              <w:pStyle w:val="TableText"/>
            </w:pPr>
            <w:r w:rsidRPr="00845C2C">
              <w:t>2018–19</w:t>
            </w:r>
          </w:p>
        </w:tc>
        <w:tc>
          <w:tcPr>
            <w:tcW w:w="2273" w:type="dxa"/>
            <w:gridSpan w:val="2"/>
            <w:shd w:val="clear" w:color="auto" w:fill="BFBFBF" w:themeFill="background1" w:themeFillShade="BF"/>
          </w:tcPr>
          <w:p w14:paraId="61607447" w14:textId="682FD9FA" w:rsidR="001604D5" w:rsidRPr="00845C2C" w:rsidRDefault="000A2DD9" w:rsidP="000B20B5">
            <w:pPr>
              <w:pStyle w:val="TableText"/>
            </w:pPr>
            <w:r>
              <w:t>2019–20</w:t>
            </w:r>
          </w:p>
        </w:tc>
      </w:tr>
      <w:tr w:rsidR="001604D5" w:rsidRPr="00845C2C" w14:paraId="36B40913" w14:textId="77777777" w:rsidTr="001604D5">
        <w:tc>
          <w:tcPr>
            <w:tcW w:w="1845" w:type="dxa"/>
            <w:shd w:val="clear" w:color="auto" w:fill="BFBFBF" w:themeFill="background1" w:themeFillShade="BF"/>
          </w:tcPr>
          <w:p w14:paraId="276C4093" w14:textId="77777777" w:rsidR="001604D5" w:rsidRPr="00845C2C" w:rsidRDefault="001604D5" w:rsidP="000B20B5">
            <w:pPr>
              <w:pStyle w:val="TableText"/>
            </w:pPr>
          </w:p>
        </w:tc>
        <w:tc>
          <w:tcPr>
            <w:tcW w:w="990" w:type="dxa"/>
            <w:shd w:val="clear" w:color="auto" w:fill="BFBFBF" w:themeFill="background1" w:themeFillShade="BF"/>
          </w:tcPr>
          <w:p w14:paraId="7EF6115A" w14:textId="77777777" w:rsidR="001604D5" w:rsidRPr="00845C2C" w:rsidRDefault="001604D5" w:rsidP="000B20B5">
            <w:pPr>
              <w:pStyle w:val="TableText"/>
            </w:pPr>
            <w:r w:rsidRPr="00845C2C">
              <w:t>Number</w:t>
            </w:r>
          </w:p>
        </w:tc>
        <w:tc>
          <w:tcPr>
            <w:tcW w:w="1230" w:type="dxa"/>
            <w:shd w:val="clear" w:color="auto" w:fill="BFBFBF" w:themeFill="background1" w:themeFillShade="BF"/>
          </w:tcPr>
          <w:p w14:paraId="4104B49D" w14:textId="0D7F50F7" w:rsidR="001604D5" w:rsidRPr="00845C2C" w:rsidRDefault="001604D5" w:rsidP="000B20B5">
            <w:pPr>
              <w:pStyle w:val="TableText"/>
            </w:pPr>
            <w:r w:rsidRPr="00845C2C">
              <w:t>Value (</w:t>
            </w:r>
            <w:r w:rsidR="005C4F4A">
              <w:t>$m</w:t>
            </w:r>
            <w:r w:rsidRPr="00845C2C">
              <w:t>)</w:t>
            </w:r>
          </w:p>
        </w:tc>
        <w:tc>
          <w:tcPr>
            <w:tcW w:w="1038" w:type="dxa"/>
            <w:gridSpan w:val="2"/>
            <w:shd w:val="clear" w:color="auto" w:fill="BFBFBF" w:themeFill="background1" w:themeFillShade="BF"/>
          </w:tcPr>
          <w:p w14:paraId="6C91BBE1" w14:textId="77777777" w:rsidR="001604D5" w:rsidRPr="00845C2C" w:rsidRDefault="001604D5" w:rsidP="000B20B5">
            <w:pPr>
              <w:pStyle w:val="TableText"/>
            </w:pPr>
            <w:r w:rsidRPr="00845C2C">
              <w:t>Number</w:t>
            </w:r>
          </w:p>
        </w:tc>
        <w:tc>
          <w:tcPr>
            <w:tcW w:w="1276" w:type="dxa"/>
            <w:shd w:val="clear" w:color="auto" w:fill="BFBFBF" w:themeFill="background1" w:themeFillShade="BF"/>
          </w:tcPr>
          <w:p w14:paraId="2DE1A691" w14:textId="233A5A9A" w:rsidR="001604D5" w:rsidRPr="00845C2C" w:rsidRDefault="001604D5" w:rsidP="000B20B5">
            <w:pPr>
              <w:pStyle w:val="TableText"/>
            </w:pPr>
            <w:r w:rsidRPr="00845C2C">
              <w:t>Value (</w:t>
            </w:r>
            <w:r w:rsidR="005C4F4A">
              <w:t>$m</w:t>
            </w:r>
            <w:r w:rsidRPr="00845C2C">
              <w:t>)</w:t>
            </w:r>
          </w:p>
        </w:tc>
        <w:tc>
          <w:tcPr>
            <w:tcW w:w="997" w:type="dxa"/>
            <w:shd w:val="clear" w:color="auto" w:fill="BFBFBF" w:themeFill="background1" w:themeFillShade="BF"/>
          </w:tcPr>
          <w:p w14:paraId="44BFDE05" w14:textId="77777777" w:rsidR="001604D5" w:rsidRPr="00845C2C" w:rsidRDefault="001604D5" w:rsidP="000B20B5">
            <w:pPr>
              <w:pStyle w:val="TableText"/>
            </w:pPr>
            <w:r w:rsidRPr="00845C2C">
              <w:t>Number</w:t>
            </w:r>
          </w:p>
        </w:tc>
        <w:tc>
          <w:tcPr>
            <w:tcW w:w="1276" w:type="dxa"/>
            <w:shd w:val="clear" w:color="auto" w:fill="BFBFBF" w:themeFill="background1" w:themeFillShade="BF"/>
          </w:tcPr>
          <w:p w14:paraId="0FB53B63" w14:textId="2CDFD3C4" w:rsidR="001604D5" w:rsidRPr="00845C2C" w:rsidRDefault="001604D5" w:rsidP="000B20B5">
            <w:pPr>
              <w:pStyle w:val="TableText"/>
            </w:pPr>
            <w:r w:rsidRPr="00845C2C">
              <w:t>Value (</w:t>
            </w:r>
            <w:r w:rsidR="005C4F4A">
              <w:t>$m</w:t>
            </w:r>
            <w:r w:rsidRPr="00845C2C">
              <w:t>)</w:t>
            </w:r>
          </w:p>
        </w:tc>
      </w:tr>
      <w:tr w:rsidR="00D2492E" w:rsidRPr="00CD6245" w14:paraId="60FE09D0" w14:textId="77777777" w:rsidTr="001604D5">
        <w:tc>
          <w:tcPr>
            <w:tcW w:w="1845" w:type="dxa"/>
          </w:tcPr>
          <w:p w14:paraId="33CCFC03" w14:textId="77777777" w:rsidR="00D2492E" w:rsidRPr="00546DF9" w:rsidRDefault="00D2492E" w:rsidP="000B20B5">
            <w:pPr>
              <w:pStyle w:val="TableText"/>
            </w:pPr>
            <w:r w:rsidRPr="00546DF9">
              <w:t>One-off supplies</w:t>
            </w:r>
          </w:p>
        </w:tc>
        <w:tc>
          <w:tcPr>
            <w:tcW w:w="990" w:type="dxa"/>
          </w:tcPr>
          <w:p w14:paraId="59ECDE53" w14:textId="6FE262E8" w:rsidR="00D2492E" w:rsidRPr="007C2746" w:rsidRDefault="00D2492E" w:rsidP="000B20B5">
            <w:pPr>
              <w:pStyle w:val="Tablenumbers"/>
            </w:pPr>
            <w:r w:rsidRPr="00C27AA9">
              <w:t>1</w:t>
            </w:r>
            <w:r>
              <w:t> </w:t>
            </w:r>
            <w:r w:rsidRPr="00C27AA9">
              <w:t>152</w:t>
            </w:r>
          </w:p>
        </w:tc>
        <w:tc>
          <w:tcPr>
            <w:tcW w:w="1230" w:type="dxa"/>
          </w:tcPr>
          <w:p w14:paraId="6F19EAD2" w14:textId="29DBC1B1" w:rsidR="00D2492E" w:rsidRPr="00735E0F" w:rsidRDefault="00D2492E" w:rsidP="000B20B5">
            <w:pPr>
              <w:pStyle w:val="Tablenumbers"/>
            </w:pPr>
            <w:r>
              <w:t>$</w:t>
            </w:r>
            <w:r w:rsidRPr="00C27AA9">
              <w:t>1 515.8</w:t>
            </w:r>
          </w:p>
        </w:tc>
        <w:tc>
          <w:tcPr>
            <w:tcW w:w="1038" w:type="dxa"/>
            <w:gridSpan w:val="2"/>
          </w:tcPr>
          <w:p w14:paraId="50525DDE" w14:textId="776FAFD4" w:rsidR="00D2492E" w:rsidRPr="00C27AA9" w:rsidRDefault="00D2492E" w:rsidP="000B20B5">
            <w:pPr>
              <w:pStyle w:val="Tablenumbers"/>
              <w:rPr>
                <w:highlight w:val="yellow"/>
              </w:rPr>
            </w:pPr>
            <w:r w:rsidRPr="005F0C9A">
              <w:t>1</w:t>
            </w:r>
            <w:r>
              <w:t> </w:t>
            </w:r>
            <w:r w:rsidRPr="005F0C9A">
              <w:t>239</w:t>
            </w:r>
          </w:p>
        </w:tc>
        <w:tc>
          <w:tcPr>
            <w:tcW w:w="1276" w:type="dxa"/>
          </w:tcPr>
          <w:p w14:paraId="02E7F6ED" w14:textId="12B946B0" w:rsidR="00D2492E" w:rsidRPr="00C27AA9" w:rsidRDefault="00D2492E" w:rsidP="000B20B5">
            <w:pPr>
              <w:pStyle w:val="Tablenumbers"/>
              <w:rPr>
                <w:highlight w:val="yellow"/>
              </w:rPr>
            </w:pPr>
            <w:r w:rsidRPr="005F0C9A">
              <w:t>$1</w:t>
            </w:r>
            <w:r>
              <w:t> </w:t>
            </w:r>
            <w:r w:rsidRPr="005F0C9A">
              <w:t>249.7</w:t>
            </w:r>
          </w:p>
        </w:tc>
        <w:tc>
          <w:tcPr>
            <w:tcW w:w="997" w:type="dxa"/>
          </w:tcPr>
          <w:p w14:paraId="17F89D72" w14:textId="2DEB59D6" w:rsidR="00D2492E" w:rsidRPr="00C27AA9" w:rsidRDefault="00D2492E" w:rsidP="000B20B5">
            <w:pPr>
              <w:pStyle w:val="Tablenumbers"/>
            </w:pPr>
            <w:r w:rsidRPr="00451E40">
              <w:t>1</w:t>
            </w:r>
            <w:r>
              <w:t> </w:t>
            </w:r>
            <w:r w:rsidRPr="00451E40">
              <w:t>607</w:t>
            </w:r>
          </w:p>
        </w:tc>
        <w:tc>
          <w:tcPr>
            <w:tcW w:w="1276" w:type="dxa"/>
          </w:tcPr>
          <w:p w14:paraId="37BCCC80" w14:textId="47095333" w:rsidR="00D2492E" w:rsidRPr="00C27AA9" w:rsidRDefault="00D2492E" w:rsidP="000B20B5">
            <w:pPr>
              <w:pStyle w:val="Tablenumbers"/>
            </w:pPr>
            <w:r w:rsidRPr="00451E40">
              <w:t>$1</w:t>
            </w:r>
            <w:r>
              <w:t> </w:t>
            </w:r>
            <w:r w:rsidR="009117E3">
              <w:t>557.4</w:t>
            </w:r>
          </w:p>
        </w:tc>
      </w:tr>
      <w:tr w:rsidR="00EC64FC" w:rsidRPr="00CD6245" w14:paraId="6496D151" w14:textId="77777777" w:rsidTr="001604D5">
        <w:tc>
          <w:tcPr>
            <w:tcW w:w="1845" w:type="dxa"/>
          </w:tcPr>
          <w:p w14:paraId="0CCB5D10" w14:textId="77777777" w:rsidR="00EC64FC" w:rsidRPr="00546DF9" w:rsidRDefault="00EC64FC" w:rsidP="000B20B5">
            <w:pPr>
              <w:pStyle w:val="TableText"/>
            </w:pPr>
            <w:r w:rsidRPr="00546DF9">
              <w:t>SEPCs</w:t>
            </w:r>
          </w:p>
        </w:tc>
        <w:tc>
          <w:tcPr>
            <w:tcW w:w="990" w:type="dxa"/>
          </w:tcPr>
          <w:p w14:paraId="70BDE2E3" w14:textId="689F5728" w:rsidR="00EC64FC" w:rsidRPr="00881556" w:rsidRDefault="00EC64FC" w:rsidP="000B20B5">
            <w:pPr>
              <w:pStyle w:val="Tablenumbers"/>
            </w:pPr>
            <w:r w:rsidRPr="00C27AA9">
              <w:t>36</w:t>
            </w:r>
          </w:p>
        </w:tc>
        <w:tc>
          <w:tcPr>
            <w:tcW w:w="1230" w:type="dxa"/>
          </w:tcPr>
          <w:p w14:paraId="3FB60185" w14:textId="70D7F878" w:rsidR="00EC64FC" w:rsidRPr="00735E0F" w:rsidRDefault="00EC64FC" w:rsidP="000B20B5">
            <w:pPr>
              <w:pStyle w:val="Tablenumbers"/>
            </w:pPr>
            <w:r>
              <w:t>$</w:t>
            </w:r>
            <w:r w:rsidRPr="00C27AA9">
              <w:t>254.2</w:t>
            </w:r>
          </w:p>
        </w:tc>
        <w:tc>
          <w:tcPr>
            <w:tcW w:w="1038" w:type="dxa"/>
            <w:gridSpan w:val="2"/>
          </w:tcPr>
          <w:p w14:paraId="44652A40" w14:textId="68D999FD" w:rsidR="00EC64FC" w:rsidRPr="00C27AA9" w:rsidRDefault="00EC64FC" w:rsidP="000B20B5">
            <w:pPr>
              <w:pStyle w:val="Tablenumbers"/>
              <w:rPr>
                <w:highlight w:val="yellow"/>
              </w:rPr>
            </w:pPr>
            <w:r w:rsidRPr="00FE2F21">
              <w:t>32</w:t>
            </w:r>
          </w:p>
        </w:tc>
        <w:tc>
          <w:tcPr>
            <w:tcW w:w="1276" w:type="dxa"/>
          </w:tcPr>
          <w:p w14:paraId="7812B868" w14:textId="7EF566C2" w:rsidR="00EC64FC" w:rsidRPr="00C27AA9" w:rsidRDefault="00EC64FC" w:rsidP="000B20B5">
            <w:pPr>
              <w:pStyle w:val="Tablenumbers"/>
              <w:rPr>
                <w:highlight w:val="yellow"/>
              </w:rPr>
            </w:pPr>
            <w:r w:rsidRPr="00F878A4">
              <w:t>$441.9</w:t>
            </w:r>
          </w:p>
        </w:tc>
        <w:tc>
          <w:tcPr>
            <w:tcW w:w="997" w:type="dxa"/>
          </w:tcPr>
          <w:p w14:paraId="013961D9" w14:textId="568F3E71" w:rsidR="00EC64FC" w:rsidRPr="00C27AA9" w:rsidRDefault="00EC64FC" w:rsidP="000B20B5">
            <w:pPr>
              <w:pStyle w:val="Tablenumbers"/>
            </w:pPr>
            <w:r w:rsidRPr="008B4605">
              <w:t>44</w:t>
            </w:r>
          </w:p>
        </w:tc>
        <w:tc>
          <w:tcPr>
            <w:tcW w:w="1276" w:type="dxa"/>
          </w:tcPr>
          <w:p w14:paraId="116B833F" w14:textId="5D668A89" w:rsidR="00EC64FC" w:rsidRPr="00F878A4" w:rsidRDefault="00EC64FC" w:rsidP="000B20B5">
            <w:pPr>
              <w:pStyle w:val="Tablenumbers"/>
            </w:pPr>
            <w:r w:rsidRPr="008B4605">
              <w:t>$98.</w:t>
            </w:r>
            <w:r>
              <w:t>8</w:t>
            </w:r>
          </w:p>
        </w:tc>
      </w:tr>
      <w:tr w:rsidR="00EC64FC" w:rsidRPr="00CD6245" w14:paraId="2DA67BD2" w14:textId="77777777" w:rsidTr="001604D5">
        <w:tc>
          <w:tcPr>
            <w:tcW w:w="1845" w:type="dxa"/>
          </w:tcPr>
          <w:p w14:paraId="08E8F612" w14:textId="77777777" w:rsidR="00EC64FC" w:rsidRPr="00546DF9" w:rsidRDefault="00EC64FC" w:rsidP="000B20B5">
            <w:pPr>
              <w:pStyle w:val="TableText"/>
            </w:pPr>
            <w:r w:rsidRPr="00546DF9">
              <w:t>SPCs</w:t>
            </w:r>
          </w:p>
        </w:tc>
        <w:tc>
          <w:tcPr>
            <w:tcW w:w="990" w:type="dxa"/>
          </w:tcPr>
          <w:p w14:paraId="6C34C00B" w14:textId="2327418C" w:rsidR="00EC64FC" w:rsidRPr="00CD6245" w:rsidRDefault="00EC64FC" w:rsidP="000B20B5">
            <w:pPr>
              <w:pStyle w:val="Tablenumbers"/>
            </w:pPr>
            <w:r w:rsidRPr="00C27AA9">
              <w:t>9</w:t>
            </w:r>
          </w:p>
        </w:tc>
        <w:tc>
          <w:tcPr>
            <w:tcW w:w="1230" w:type="dxa"/>
          </w:tcPr>
          <w:p w14:paraId="3EB845FB" w14:textId="0C79F714" w:rsidR="00EC64FC" w:rsidRPr="00735E0F" w:rsidRDefault="00EC64FC" w:rsidP="000B20B5">
            <w:pPr>
              <w:pStyle w:val="Tablenumbers"/>
            </w:pPr>
            <w:r>
              <w:t>$</w:t>
            </w:r>
            <w:r w:rsidRPr="00C27AA9">
              <w:t>1 241.2</w:t>
            </w:r>
          </w:p>
        </w:tc>
        <w:tc>
          <w:tcPr>
            <w:tcW w:w="1038" w:type="dxa"/>
            <w:gridSpan w:val="2"/>
          </w:tcPr>
          <w:p w14:paraId="3E617BE2" w14:textId="2774173D" w:rsidR="00EC64FC" w:rsidRPr="00C27AA9" w:rsidRDefault="00EC64FC" w:rsidP="000B20B5">
            <w:pPr>
              <w:pStyle w:val="Tablenumbers"/>
              <w:rPr>
                <w:highlight w:val="yellow"/>
              </w:rPr>
            </w:pPr>
            <w:r w:rsidRPr="00FE2F21">
              <w:t>9</w:t>
            </w:r>
          </w:p>
        </w:tc>
        <w:tc>
          <w:tcPr>
            <w:tcW w:w="1276" w:type="dxa"/>
          </w:tcPr>
          <w:p w14:paraId="3CDA74CE" w14:textId="2BAC5541" w:rsidR="00EC64FC" w:rsidRPr="00C27AA9" w:rsidRDefault="00EC64FC" w:rsidP="000B20B5">
            <w:pPr>
              <w:pStyle w:val="Tablenumbers"/>
              <w:rPr>
                <w:highlight w:val="yellow"/>
              </w:rPr>
            </w:pPr>
            <w:r w:rsidRPr="00E50EBC">
              <w:t>$8</w:t>
            </w:r>
            <w:r>
              <w:t>85</w:t>
            </w:r>
            <w:r w:rsidRPr="00E50EBC">
              <w:t>.8</w:t>
            </w:r>
          </w:p>
        </w:tc>
        <w:tc>
          <w:tcPr>
            <w:tcW w:w="997" w:type="dxa"/>
          </w:tcPr>
          <w:p w14:paraId="23BFC54D" w14:textId="41DDA21B" w:rsidR="00EC64FC" w:rsidRPr="00C27AA9" w:rsidRDefault="00EC64FC" w:rsidP="000B20B5">
            <w:pPr>
              <w:pStyle w:val="Tablenumbers"/>
            </w:pPr>
            <w:r>
              <w:t>6</w:t>
            </w:r>
          </w:p>
        </w:tc>
        <w:tc>
          <w:tcPr>
            <w:tcW w:w="1276" w:type="dxa"/>
          </w:tcPr>
          <w:p w14:paraId="0F00D2DF" w14:textId="363A302D" w:rsidR="00EC64FC" w:rsidRPr="00C27AA9" w:rsidRDefault="00EC64FC" w:rsidP="000B20B5">
            <w:pPr>
              <w:pStyle w:val="Tablenumbers"/>
            </w:pPr>
            <w:r w:rsidRPr="00F92086">
              <w:t>$</w:t>
            </w:r>
            <w:r>
              <w:t>295</w:t>
            </w:r>
            <w:r w:rsidRPr="00F92086">
              <w:t>.5</w:t>
            </w:r>
          </w:p>
        </w:tc>
      </w:tr>
      <w:tr w:rsidR="00D2492E" w:rsidRPr="000B20B5" w14:paraId="0FF08AE1" w14:textId="77777777" w:rsidTr="00854290">
        <w:tc>
          <w:tcPr>
            <w:tcW w:w="1845" w:type="dxa"/>
          </w:tcPr>
          <w:p w14:paraId="66E8F3B7" w14:textId="77777777" w:rsidR="00D2492E" w:rsidRPr="000B20B5" w:rsidRDefault="00D2492E" w:rsidP="000B20B5">
            <w:pPr>
              <w:pStyle w:val="TableText"/>
              <w:rPr>
                <w:rStyle w:val="Strong"/>
              </w:rPr>
            </w:pPr>
            <w:r w:rsidRPr="000B20B5">
              <w:rPr>
                <w:rStyle w:val="Strong"/>
              </w:rPr>
              <w:t>Total</w:t>
            </w:r>
          </w:p>
        </w:tc>
        <w:tc>
          <w:tcPr>
            <w:tcW w:w="990" w:type="dxa"/>
          </w:tcPr>
          <w:p w14:paraId="11DA97D0" w14:textId="00F1BCC6" w:rsidR="00D2492E" w:rsidRPr="000B20B5" w:rsidRDefault="00D2492E" w:rsidP="000B20B5">
            <w:pPr>
              <w:pStyle w:val="Tablenumbers"/>
              <w:rPr>
                <w:rStyle w:val="Strong"/>
              </w:rPr>
            </w:pPr>
            <w:r w:rsidRPr="000B20B5">
              <w:rPr>
                <w:rStyle w:val="Strong"/>
              </w:rPr>
              <w:t>1 197</w:t>
            </w:r>
          </w:p>
        </w:tc>
        <w:tc>
          <w:tcPr>
            <w:tcW w:w="1230" w:type="dxa"/>
          </w:tcPr>
          <w:p w14:paraId="09FEC25C" w14:textId="35BF23C2" w:rsidR="00D2492E" w:rsidRPr="000B20B5" w:rsidRDefault="00D2492E" w:rsidP="000B20B5">
            <w:pPr>
              <w:pStyle w:val="Tablenumbers"/>
              <w:rPr>
                <w:rStyle w:val="Strong"/>
              </w:rPr>
            </w:pPr>
            <w:r w:rsidRPr="000B20B5">
              <w:rPr>
                <w:rStyle w:val="Strong"/>
              </w:rPr>
              <w:t>$3 011.2</w:t>
            </w:r>
          </w:p>
        </w:tc>
        <w:tc>
          <w:tcPr>
            <w:tcW w:w="1038" w:type="dxa"/>
            <w:gridSpan w:val="2"/>
          </w:tcPr>
          <w:p w14:paraId="0D72F4F4" w14:textId="0D4F6D24" w:rsidR="00D2492E" w:rsidRPr="000B20B5" w:rsidRDefault="00D2492E" w:rsidP="000B20B5">
            <w:pPr>
              <w:pStyle w:val="Tablenumbers"/>
              <w:rPr>
                <w:rStyle w:val="Strong"/>
                <w:highlight w:val="yellow"/>
              </w:rPr>
            </w:pPr>
            <w:r w:rsidRPr="000B20B5">
              <w:rPr>
                <w:rStyle w:val="Strong"/>
              </w:rPr>
              <w:t>1 280</w:t>
            </w:r>
          </w:p>
        </w:tc>
        <w:tc>
          <w:tcPr>
            <w:tcW w:w="1276" w:type="dxa"/>
          </w:tcPr>
          <w:p w14:paraId="0E2BEA98" w14:textId="3B1ABF57" w:rsidR="00D2492E" w:rsidRPr="000B20B5" w:rsidRDefault="00D2492E" w:rsidP="000B20B5">
            <w:pPr>
              <w:pStyle w:val="Tablenumbers"/>
              <w:rPr>
                <w:rStyle w:val="Strong"/>
                <w:highlight w:val="yellow"/>
              </w:rPr>
            </w:pPr>
            <w:r w:rsidRPr="000B20B5">
              <w:rPr>
                <w:rStyle w:val="Strong"/>
              </w:rPr>
              <w:t>$2 577.4</w:t>
            </w:r>
          </w:p>
        </w:tc>
        <w:tc>
          <w:tcPr>
            <w:tcW w:w="997" w:type="dxa"/>
            <w:vAlign w:val="center"/>
          </w:tcPr>
          <w:p w14:paraId="45D3744D" w14:textId="05F2C05E" w:rsidR="00D2492E" w:rsidRPr="000B20B5" w:rsidRDefault="00D2492E" w:rsidP="000B20B5">
            <w:pPr>
              <w:pStyle w:val="Tablenumbers"/>
              <w:rPr>
                <w:rStyle w:val="Strong"/>
              </w:rPr>
            </w:pPr>
            <w:r w:rsidRPr="000B20B5">
              <w:rPr>
                <w:rStyle w:val="Strong"/>
              </w:rPr>
              <w:t>1 657</w:t>
            </w:r>
          </w:p>
        </w:tc>
        <w:tc>
          <w:tcPr>
            <w:tcW w:w="1276" w:type="dxa"/>
            <w:vAlign w:val="center"/>
          </w:tcPr>
          <w:p w14:paraId="5C2198D2" w14:textId="22101795" w:rsidR="00D2492E" w:rsidRPr="000B20B5" w:rsidRDefault="00D2492E" w:rsidP="000B20B5">
            <w:pPr>
              <w:pStyle w:val="Tablenumbers"/>
              <w:rPr>
                <w:rStyle w:val="Strong"/>
              </w:rPr>
            </w:pPr>
            <w:r w:rsidRPr="000B20B5">
              <w:rPr>
                <w:rStyle w:val="Strong"/>
              </w:rPr>
              <w:t>$</w:t>
            </w:r>
            <w:r w:rsidR="009117E3" w:rsidRPr="000B20B5">
              <w:rPr>
                <w:rStyle w:val="Strong"/>
              </w:rPr>
              <w:t>1 951.7</w:t>
            </w:r>
          </w:p>
        </w:tc>
      </w:tr>
    </w:tbl>
    <w:p w14:paraId="17F7D846" w14:textId="77777777" w:rsidR="001604D5" w:rsidRDefault="001604D5" w:rsidP="001604D5">
      <w:pPr>
        <w:pStyle w:val="Heading3NoNum"/>
      </w:pPr>
      <w:bookmarkStart w:id="134" w:name="_Hlk521251284"/>
      <w:r>
        <w:t>Trends at a glance</w:t>
      </w:r>
    </w:p>
    <w:p w14:paraId="00309C6B" w14:textId="22049CD3" w:rsidR="00D2492E" w:rsidRDefault="00D2492E" w:rsidP="00D2492E">
      <w:pPr>
        <w:ind w:left="851"/>
      </w:pPr>
      <w:r>
        <w:rPr>
          <w:noProof/>
        </w:rPr>
        <w:drawing>
          <wp:inline distT="0" distB="0" distL="0" distR="0" wp14:anchorId="2601119D" wp14:editId="518E9579">
            <wp:extent cx="5295900" cy="2619375"/>
            <wp:effectExtent l="0" t="0" r="0" b="9525"/>
            <wp:docPr id="17" name="Chart 17">
              <a:extLst xmlns:a="http://schemas.openxmlformats.org/drawingml/2006/main">
                <a:ext uri="{FF2B5EF4-FFF2-40B4-BE49-F238E27FC236}">
                  <a16:creationId xmlns:a16="http://schemas.microsoft.com/office/drawing/2014/main" id="{9E7B1291-F37D-4BCE-86D5-71A6406D1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2ACB3D5" w14:textId="342336BF" w:rsidR="00D2492E" w:rsidRDefault="009117E3" w:rsidP="00D2492E">
      <w:pPr>
        <w:ind w:left="851"/>
      </w:pPr>
      <w:r w:rsidRPr="009117E3">
        <w:rPr>
          <w:noProof/>
        </w:rPr>
        <w:t xml:space="preserve"> </w:t>
      </w:r>
      <w:r>
        <w:rPr>
          <w:noProof/>
        </w:rPr>
        <w:drawing>
          <wp:inline distT="0" distB="0" distL="0" distR="0" wp14:anchorId="722635DE" wp14:editId="580D80E6">
            <wp:extent cx="5200650" cy="2571750"/>
            <wp:effectExtent l="0" t="0" r="0" b="0"/>
            <wp:docPr id="15" name="Chart 15">
              <a:extLst xmlns:a="http://schemas.openxmlformats.org/drawingml/2006/main">
                <a:ext uri="{FF2B5EF4-FFF2-40B4-BE49-F238E27FC236}">
                  <a16:creationId xmlns:a16="http://schemas.microsoft.com/office/drawing/2014/main" id="{E91EE96C-2A69-4737-899E-8C365215E3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4A5C70" w14:textId="3B2426FD" w:rsidR="000B585B" w:rsidRDefault="000B585B" w:rsidP="000B585B">
      <w:pPr>
        <w:pStyle w:val="Caption"/>
      </w:pPr>
      <w:bookmarkStart w:id="135" w:name="_Ref51168650"/>
      <w:bookmarkStart w:id="136" w:name="_Toc17130228"/>
      <w:bookmarkStart w:id="137" w:name="_Toc20648410"/>
      <w:bookmarkEnd w:id="134"/>
      <w:r>
        <w:t xml:space="preserve">Figure </w:t>
      </w:r>
      <w:r>
        <w:rPr>
          <w:noProof/>
        </w:rPr>
        <w:fldChar w:fldCharType="begin"/>
      </w:r>
      <w:r>
        <w:rPr>
          <w:noProof/>
        </w:rPr>
        <w:instrText xml:space="preserve"> SEQ Figure \* ARABIC </w:instrText>
      </w:r>
      <w:r>
        <w:rPr>
          <w:noProof/>
        </w:rPr>
        <w:fldChar w:fldCharType="separate"/>
      </w:r>
      <w:r w:rsidR="00152B74">
        <w:rPr>
          <w:noProof/>
        </w:rPr>
        <w:t>5</w:t>
      </w:r>
      <w:r>
        <w:rPr>
          <w:noProof/>
        </w:rPr>
        <w:fldChar w:fldCharType="end"/>
      </w:r>
      <w:bookmarkEnd w:id="135"/>
      <w:r>
        <w:t xml:space="preserve">: Trends in number and value of contract approvals from 2017–18 to </w:t>
      </w:r>
      <w:bookmarkEnd w:id="136"/>
      <w:r>
        <w:t>2019–20</w:t>
      </w:r>
    </w:p>
    <w:p w14:paraId="1E48ABD8" w14:textId="77777777" w:rsidR="009C03B3" w:rsidRDefault="009C03B3">
      <w:pPr>
        <w:rPr>
          <w:rFonts w:ascii="Calibri" w:hAnsi="Calibri" w:cs="Calibri"/>
          <w:color w:val="4D4D4D"/>
          <w:kern w:val="28"/>
          <w:sz w:val="30"/>
          <w:szCs w:val="22"/>
          <w:lang w:eastAsia="en-US"/>
        </w:rPr>
      </w:pPr>
      <w:bookmarkStart w:id="138" w:name="_Toc52187733"/>
      <w:r>
        <w:br w:type="page"/>
      </w:r>
    </w:p>
    <w:p w14:paraId="6E3923E4" w14:textId="17366EE3" w:rsidR="001604D5" w:rsidRPr="00CD6245" w:rsidRDefault="001604D5" w:rsidP="001604D5">
      <w:pPr>
        <w:pStyle w:val="Heading2NoNum"/>
      </w:pPr>
      <w:r>
        <w:lastRenderedPageBreak/>
        <w:t>O</w:t>
      </w:r>
      <w:r w:rsidRPr="00CD6245">
        <w:t>ne-off supply contract</w:t>
      </w:r>
      <w:bookmarkEnd w:id="137"/>
      <w:r w:rsidR="00F0017B">
        <w:t xml:space="preserve"> </w:t>
      </w:r>
      <w:r w:rsidR="00F0017B" w:rsidRPr="00093156">
        <w:t xml:space="preserve">approvals </w:t>
      </w:r>
      <w:r w:rsidR="0028162F" w:rsidRPr="00093156">
        <w:t>(non-critical)</w:t>
      </w:r>
      <w:bookmarkEnd w:id="138"/>
    </w:p>
    <w:p w14:paraId="2122E15C" w14:textId="2FF0CB68" w:rsidR="001604D5" w:rsidRDefault="001604D5" w:rsidP="001604D5">
      <w:pPr>
        <w:pStyle w:val="Normal1"/>
      </w:pPr>
      <w:r w:rsidRPr="00CD6245">
        <w:rPr>
          <w:lang w:eastAsia="en-US"/>
        </w:rPr>
        <w:t xml:space="preserve">In </w:t>
      </w:r>
      <w:r w:rsidR="000A2DD9">
        <w:rPr>
          <w:lang w:eastAsia="en-US"/>
        </w:rPr>
        <w:t>2019–20</w:t>
      </w:r>
      <w:r w:rsidRPr="00CD6245">
        <w:rPr>
          <w:lang w:eastAsia="en-US"/>
        </w:rPr>
        <w:t>, organisations reporte</w:t>
      </w:r>
      <w:r w:rsidRPr="00FD7FAE">
        <w:rPr>
          <w:lang w:eastAsia="en-US"/>
        </w:rPr>
        <w:t>d</w:t>
      </w:r>
      <w:r w:rsidR="000A2DD9">
        <w:rPr>
          <w:lang w:eastAsia="en-US"/>
        </w:rPr>
        <w:t xml:space="preserve"> </w:t>
      </w:r>
      <w:r w:rsidR="00914B79">
        <w:rPr>
          <w:lang w:eastAsia="en-US"/>
        </w:rPr>
        <w:t>1 036</w:t>
      </w:r>
      <w:r w:rsidRPr="00FD7FAE">
        <w:rPr>
          <w:lang w:eastAsia="en-US"/>
        </w:rPr>
        <w:t xml:space="preserve"> </w:t>
      </w:r>
      <w:r w:rsidRPr="00FD7FAE">
        <w:t>o</w:t>
      </w:r>
      <w:r w:rsidRPr="00CD6245">
        <w:t xml:space="preserve">ne-off supply </w:t>
      </w:r>
      <w:r>
        <w:rPr>
          <w:lang w:eastAsia="en-US"/>
        </w:rPr>
        <w:t>contract</w:t>
      </w:r>
      <w:r w:rsidRPr="00CD6245">
        <w:rPr>
          <w:lang w:eastAsia="en-US"/>
        </w:rPr>
        <w:t xml:space="preserve"> </w:t>
      </w:r>
      <w:r w:rsidRPr="00CD6245">
        <w:t xml:space="preserve">approvals valued at </w:t>
      </w:r>
      <w:r w:rsidR="000A2DD9">
        <w:t>$</w:t>
      </w:r>
      <w:r w:rsidR="00914B79">
        <w:t>1 272</w:t>
      </w:r>
      <w:r w:rsidR="0028162F">
        <w:t> </w:t>
      </w:r>
      <w:r w:rsidRPr="006628E6">
        <w:t>million</w:t>
      </w:r>
      <w:r w:rsidR="0028162F">
        <w:t xml:space="preserve">, excluding critical incident procurement contract approvals (see </w:t>
      </w:r>
      <w:r w:rsidR="0028162F">
        <w:fldChar w:fldCharType="begin"/>
      </w:r>
      <w:r w:rsidR="0028162F">
        <w:instrText xml:space="preserve"> REF _Ref425585681 \h </w:instrText>
      </w:r>
      <w:r w:rsidR="0028162F">
        <w:fldChar w:fldCharType="separate"/>
      </w:r>
      <w:r w:rsidR="00152B74" w:rsidRPr="00381BB6">
        <w:t xml:space="preserve">Table </w:t>
      </w:r>
      <w:r w:rsidR="00152B74">
        <w:rPr>
          <w:noProof/>
        </w:rPr>
        <w:t>17</w:t>
      </w:r>
      <w:r w:rsidR="0028162F">
        <w:fldChar w:fldCharType="end"/>
      </w:r>
      <w:r w:rsidR="0028162F">
        <w:t>).</w:t>
      </w:r>
    </w:p>
    <w:p w14:paraId="522C3FE4" w14:textId="5526DB55" w:rsidR="001604D5" w:rsidRDefault="001604D5" w:rsidP="001604D5">
      <w:pPr>
        <w:pStyle w:val="Normal1"/>
      </w:pPr>
      <w:r w:rsidRPr="00CD6245">
        <w:t>This compares t</w:t>
      </w:r>
      <w:r>
        <w:t xml:space="preserve">o </w:t>
      </w:r>
      <w:r w:rsidR="000A2DD9" w:rsidRPr="00FE2F21">
        <w:t>1</w:t>
      </w:r>
      <w:r w:rsidR="000A2DD9">
        <w:t> </w:t>
      </w:r>
      <w:r w:rsidR="000A2DD9" w:rsidRPr="00FE2F21">
        <w:t>2</w:t>
      </w:r>
      <w:r w:rsidR="000A2DD9">
        <w:t>39</w:t>
      </w:r>
      <w:r w:rsidR="000A2DD9">
        <w:rPr>
          <w:lang w:eastAsia="en-US"/>
        </w:rPr>
        <w:t xml:space="preserve"> </w:t>
      </w:r>
      <w:r w:rsidRPr="00CD6245">
        <w:t>one-off supply</w:t>
      </w:r>
      <w:r>
        <w:t xml:space="preserve"> contract</w:t>
      </w:r>
      <w:r w:rsidRPr="00CD6245">
        <w:t xml:space="preserve"> approvals in </w:t>
      </w:r>
      <w:r>
        <w:rPr>
          <w:lang w:eastAsia="en-US"/>
        </w:rPr>
        <w:t>2018</w:t>
      </w:r>
      <w:r w:rsidR="000A2DD9">
        <w:rPr>
          <w:lang w:eastAsia="en-US"/>
        </w:rPr>
        <w:t>–19</w:t>
      </w:r>
      <w:r>
        <w:t xml:space="preserve"> valued at </w:t>
      </w:r>
      <w:r w:rsidR="000A2DD9">
        <w:t>$</w:t>
      </w:r>
      <w:r w:rsidR="000A2DD9" w:rsidRPr="00FE2F21">
        <w:t>1</w:t>
      </w:r>
      <w:r w:rsidR="000A2DD9">
        <w:t xml:space="preserve"> 250 </w:t>
      </w:r>
      <w:r w:rsidRPr="00CD6245">
        <w:t>million.</w:t>
      </w:r>
    </w:p>
    <w:p w14:paraId="27E7E7B7" w14:textId="47EC0A17" w:rsidR="001604D5" w:rsidRPr="00381BB6" w:rsidRDefault="001604D5" w:rsidP="001604D5">
      <w:pPr>
        <w:pStyle w:val="Caption"/>
      </w:pPr>
      <w:bookmarkStart w:id="139" w:name="_Ref425585681"/>
      <w:bookmarkStart w:id="140" w:name="_Toc17130204"/>
      <w:bookmarkStart w:id="141" w:name="_Toc48837150"/>
      <w:bookmarkStart w:id="142" w:name="_Toc49185540"/>
      <w:r w:rsidRPr="00381BB6">
        <w:t xml:space="preserve">Table </w:t>
      </w:r>
      <w:r w:rsidRPr="00381BB6">
        <w:rPr>
          <w:noProof/>
        </w:rPr>
        <w:fldChar w:fldCharType="begin"/>
      </w:r>
      <w:r w:rsidRPr="00381BB6">
        <w:rPr>
          <w:noProof/>
        </w:rPr>
        <w:instrText xml:space="preserve"> SEQ Table \* ARABIC </w:instrText>
      </w:r>
      <w:r w:rsidRPr="00381BB6">
        <w:rPr>
          <w:noProof/>
        </w:rPr>
        <w:fldChar w:fldCharType="separate"/>
      </w:r>
      <w:r w:rsidR="00152B74">
        <w:rPr>
          <w:noProof/>
        </w:rPr>
        <w:t>17</w:t>
      </w:r>
      <w:r w:rsidRPr="00381BB6">
        <w:rPr>
          <w:noProof/>
        </w:rPr>
        <w:fldChar w:fldCharType="end"/>
      </w:r>
      <w:bookmarkEnd w:id="139"/>
      <w:r w:rsidRPr="00381BB6">
        <w:t xml:space="preserve">: One-off supply contract approvals by organisation and by goods and services in </w:t>
      </w:r>
      <w:r>
        <w:t>201</w:t>
      </w:r>
      <w:r w:rsidR="000A2DD9">
        <w:t>9</w:t>
      </w:r>
      <w:r>
        <w:t>–</w:t>
      </w:r>
      <w:bookmarkEnd w:id="140"/>
      <w:r w:rsidR="000A2DD9">
        <w:t>20</w:t>
      </w:r>
      <w:bookmarkEnd w:id="141"/>
      <w:bookmarkEnd w:id="142"/>
    </w:p>
    <w:tbl>
      <w:tblPr>
        <w:tblStyle w:val="TableGrid1"/>
        <w:tblW w:w="8039" w:type="dxa"/>
        <w:tblInd w:w="846" w:type="dxa"/>
        <w:tblLook w:val="04A0" w:firstRow="1" w:lastRow="0" w:firstColumn="1" w:lastColumn="0" w:noHBand="0" w:noVBand="1"/>
      </w:tblPr>
      <w:tblGrid>
        <w:gridCol w:w="3544"/>
        <w:gridCol w:w="1034"/>
        <w:gridCol w:w="1234"/>
        <w:gridCol w:w="1034"/>
        <w:gridCol w:w="1193"/>
      </w:tblGrid>
      <w:tr w:rsidR="001604D5" w:rsidRPr="000B20B5" w14:paraId="74299C0F" w14:textId="77777777" w:rsidTr="00901105">
        <w:trPr>
          <w:trHeight w:val="255"/>
        </w:trPr>
        <w:tc>
          <w:tcPr>
            <w:tcW w:w="3544" w:type="dxa"/>
            <w:vMerge w:val="restart"/>
            <w:shd w:val="clear" w:color="auto" w:fill="BFBFBF" w:themeFill="background1" w:themeFillShade="BF"/>
            <w:noWrap/>
          </w:tcPr>
          <w:p w14:paraId="06B11D51" w14:textId="77777777" w:rsidR="001604D5" w:rsidRPr="000B20B5" w:rsidRDefault="001604D5" w:rsidP="000B20B5">
            <w:pPr>
              <w:pStyle w:val="TableHeader"/>
            </w:pPr>
            <w:r w:rsidRPr="000B20B5">
              <w:t>Organisation</w:t>
            </w:r>
          </w:p>
        </w:tc>
        <w:tc>
          <w:tcPr>
            <w:tcW w:w="2268" w:type="dxa"/>
            <w:gridSpan w:val="2"/>
            <w:shd w:val="clear" w:color="auto" w:fill="BFBFBF" w:themeFill="background1" w:themeFillShade="BF"/>
          </w:tcPr>
          <w:p w14:paraId="53BE6AFD" w14:textId="77777777" w:rsidR="001604D5" w:rsidRPr="000B20B5" w:rsidRDefault="001604D5" w:rsidP="000B20B5">
            <w:pPr>
              <w:pStyle w:val="TableHeader"/>
            </w:pPr>
            <w:r w:rsidRPr="000B20B5">
              <w:t>Goods</w:t>
            </w:r>
          </w:p>
        </w:tc>
        <w:tc>
          <w:tcPr>
            <w:tcW w:w="2227" w:type="dxa"/>
            <w:gridSpan w:val="2"/>
            <w:shd w:val="clear" w:color="auto" w:fill="BFBFBF" w:themeFill="background1" w:themeFillShade="BF"/>
          </w:tcPr>
          <w:p w14:paraId="4B1B5F73" w14:textId="77777777" w:rsidR="001604D5" w:rsidRPr="000B20B5" w:rsidRDefault="001604D5" w:rsidP="000B20B5">
            <w:pPr>
              <w:pStyle w:val="TableHeader"/>
            </w:pPr>
            <w:r w:rsidRPr="000B20B5">
              <w:t>Services</w:t>
            </w:r>
          </w:p>
        </w:tc>
      </w:tr>
      <w:tr w:rsidR="001604D5" w:rsidRPr="00554B10" w14:paraId="230026FC" w14:textId="77777777" w:rsidTr="00901105">
        <w:trPr>
          <w:trHeight w:val="115"/>
        </w:trPr>
        <w:tc>
          <w:tcPr>
            <w:tcW w:w="3544" w:type="dxa"/>
            <w:vMerge/>
            <w:shd w:val="clear" w:color="auto" w:fill="BFBFBF" w:themeFill="background1" w:themeFillShade="BF"/>
          </w:tcPr>
          <w:p w14:paraId="7B54F11E" w14:textId="77777777" w:rsidR="001604D5" w:rsidRPr="00554B10" w:rsidRDefault="001604D5" w:rsidP="000B20B5">
            <w:pPr>
              <w:pStyle w:val="TableText"/>
            </w:pPr>
          </w:p>
        </w:tc>
        <w:tc>
          <w:tcPr>
            <w:tcW w:w="1034" w:type="dxa"/>
            <w:shd w:val="clear" w:color="auto" w:fill="BFBFBF" w:themeFill="background1" w:themeFillShade="BF"/>
          </w:tcPr>
          <w:p w14:paraId="04B30DE7" w14:textId="77777777" w:rsidR="001604D5" w:rsidRPr="00554B10" w:rsidRDefault="001604D5" w:rsidP="000B20B5">
            <w:pPr>
              <w:pStyle w:val="TableText"/>
            </w:pPr>
            <w:r w:rsidRPr="00554B10">
              <w:t>Number</w:t>
            </w:r>
          </w:p>
        </w:tc>
        <w:tc>
          <w:tcPr>
            <w:tcW w:w="1234" w:type="dxa"/>
            <w:shd w:val="clear" w:color="auto" w:fill="BFBFBF" w:themeFill="background1" w:themeFillShade="BF"/>
            <w:noWrap/>
          </w:tcPr>
          <w:p w14:paraId="64291016" w14:textId="233CB03E" w:rsidR="001604D5" w:rsidRPr="00554B10" w:rsidRDefault="001604D5" w:rsidP="000B20B5">
            <w:pPr>
              <w:pStyle w:val="TableText"/>
            </w:pPr>
            <w:r w:rsidRPr="00554B10">
              <w:t>Value (</w:t>
            </w:r>
            <w:r w:rsidR="005C4F4A">
              <w:t>$m</w:t>
            </w:r>
            <w:r w:rsidRPr="00554B10">
              <w:t>)</w:t>
            </w:r>
          </w:p>
        </w:tc>
        <w:tc>
          <w:tcPr>
            <w:tcW w:w="1034" w:type="dxa"/>
            <w:shd w:val="clear" w:color="auto" w:fill="BFBFBF" w:themeFill="background1" w:themeFillShade="BF"/>
          </w:tcPr>
          <w:p w14:paraId="165B0C8A" w14:textId="77777777" w:rsidR="001604D5" w:rsidRPr="00554B10" w:rsidRDefault="001604D5" w:rsidP="000B20B5">
            <w:pPr>
              <w:pStyle w:val="TableText"/>
            </w:pPr>
            <w:r w:rsidRPr="00554B10">
              <w:t>Number</w:t>
            </w:r>
          </w:p>
        </w:tc>
        <w:tc>
          <w:tcPr>
            <w:tcW w:w="1193" w:type="dxa"/>
            <w:shd w:val="clear" w:color="auto" w:fill="BFBFBF" w:themeFill="background1" w:themeFillShade="BF"/>
          </w:tcPr>
          <w:p w14:paraId="3DFCB6DE" w14:textId="009EAD4B" w:rsidR="001604D5" w:rsidRPr="00554B10" w:rsidRDefault="001604D5" w:rsidP="000B20B5">
            <w:pPr>
              <w:pStyle w:val="TableText"/>
            </w:pPr>
            <w:r w:rsidRPr="00554B10">
              <w:t>Value (</w:t>
            </w:r>
            <w:r w:rsidR="005C4F4A">
              <w:t>$m</w:t>
            </w:r>
            <w:r w:rsidRPr="00554B10">
              <w:t>)</w:t>
            </w:r>
          </w:p>
        </w:tc>
      </w:tr>
      <w:tr w:rsidR="00504687" w:rsidRPr="00554B10" w14:paraId="42F27E04" w14:textId="77777777" w:rsidTr="00901105">
        <w:trPr>
          <w:trHeight w:val="256"/>
        </w:trPr>
        <w:tc>
          <w:tcPr>
            <w:tcW w:w="3544" w:type="dxa"/>
          </w:tcPr>
          <w:p w14:paraId="57E45E33" w14:textId="77777777" w:rsidR="00504687" w:rsidRPr="00554B10" w:rsidRDefault="00504687" w:rsidP="000B20B5">
            <w:pPr>
              <w:pStyle w:val="TableText"/>
            </w:pPr>
            <w:r w:rsidRPr="00554B10">
              <w:t>Education and Training</w:t>
            </w:r>
          </w:p>
        </w:tc>
        <w:tc>
          <w:tcPr>
            <w:tcW w:w="1034" w:type="dxa"/>
          </w:tcPr>
          <w:p w14:paraId="6EFE9D65" w14:textId="05477BE5" w:rsidR="00504687" w:rsidRPr="00554B10" w:rsidRDefault="00504687" w:rsidP="000B20B5">
            <w:pPr>
              <w:pStyle w:val="Tablenumbers"/>
            </w:pPr>
            <w:r w:rsidRPr="001B58F3">
              <w:t>2</w:t>
            </w:r>
          </w:p>
        </w:tc>
        <w:tc>
          <w:tcPr>
            <w:tcW w:w="1234" w:type="dxa"/>
            <w:noWrap/>
          </w:tcPr>
          <w:p w14:paraId="38E927D9" w14:textId="55591250" w:rsidR="00504687" w:rsidRPr="00554B10" w:rsidRDefault="000461A0" w:rsidP="000B20B5">
            <w:pPr>
              <w:pStyle w:val="Tablenumbers"/>
            </w:pPr>
            <w:r>
              <w:t>$</w:t>
            </w:r>
            <w:r w:rsidR="00504687">
              <w:t>0</w:t>
            </w:r>
            <w:r w:rsidR="00504687" w:rsidRPr="001B58F3">
              <w:t>.4</w:t>
            </w:r>
          </w:p>
        </w:tc>
        <w:tc>
          <w:tcPr>
            <w:tcW w:w="1034" w:type="dxa"/>
          </w:tcPr>
          <w:p w14:paraId="63AA88EB" w14:textId="3076027F" w:rsidR="00504687" w:rsidRPr="00554B10" w:rsidRDefault="00504687" w:rsidP="000B20B5">
            <w:pPr>
              <w:pStyle w:val="Tablenumbers"/>
            </w:pPr>
            <w:r w:rsidRPr="001B58F3">
              <w:t>161</w:t>
            </w:r>
          </w:p>
        </w:tc>
        <w:tc>
          <w:tcPr>
            <w:tcW w:w="1193" w:type="dxa"/>
          </w:tcPr>
          <w:p w14:paraId="20539E74" w14:textId="0C222BF9" w:rsidR="00504687" w:rsidRPr="00554B10" w:rsidRDefault="000461A0" w:rsidP="000B20B5">
            <w:pPr>
              <w:pStyle w:val="Tablenumbers"/>
            </w:pPr>
            <w:r>
              <w:t>$</w:t>
            </w:r>
            <w:r w:rsidR="00504687" w:rsidRPr="001B58F3">
              <w:t>189.</w:t>
            </w:r>
            <w:r w:rsidR="00504687">
              <w:t>0</w:t>
            </w:r>
          </w:p>
        </w:tc>
      </w:tr>
      <w:tr w:rsidR="00172A2F" w:rsidRPr="00554B10" w14:paraId="40EBCFD2" w14:textId="77777777" w:rsidTr="00901105">
        <w:trPr>
          <w:trHeight w:val="256"/>
        </w:trPr>
        <w:tc>
          <w:tcPr>
            <w:tcW w:w="3544" w:type="dxa"/>
            <w:shd w:val="clear" w:color="auto" w:fill="auto"/>
          </w:tcPr>
          <w:p w14:paraId="6BD929EE" w14:textId="77777777" w:rsidR="00172A2F" w:rsidRPr="000019EF" w:rsidRDefault="00172A2F" w:rsidP="000B20B5">
            <w:pPr>
              <w:pStyle w:val="TableText"/>
              <w:rPr>
                <w:color w:val="000000"/>
              </w:rPr>
            </w:pPr>
            <w:r w:rsidRPr="000019EF">
              <w:t>Environment, Land, Water and Planning</w:t>
            </w:r>
          </w:p>
        </w:tc>
        <w:tc>
          <w:tcPr>
            <w:tcW w:w="1034" w:type="dxa"/>
            <w:shd w:val="clear" w:color="auto" w:fill="auto"/>
          </w:tcPr>
          <w:p w14:paraId="052A7E6F" w14:textId="338B2A30" w:rsidR="00172A2F" w:rsidRPr="000019EF" w:rsidRDefault="00172A2F" w:rsidP="000B20B5">
            <w:pPr>
              <w:pStyle w:val="Tablenumbers"/>
            </w:pPr>
            <w:r w:rsidRPr="000019EF">
              <w:t>8</w:t>
            </w:r>
          </w:p>
        </w:tc>
        <w:tc>
          <w:tcPr>
            <w:tcW w:w="1234" w:type="dxa"/>
            <w:shd w:val="clear" w:color="auto" w:fill="auto"/>
            <w:noWrap/>
          </w:tcPr>
          <w:p w14:paraId="4A411C40" w14:textId="552057E9" w:rsidR="00172A2F" w:rsidRPr="000019EF" w:rsidRDefault="000461A0" w:rsidP="000B20B5">
            <w:pPr>
              <w:pStyle w:val="Tablenumbers"/>
            </w:pPr>
            <w:r w:rsidRPr="000019EF">
              <w:t>$</w:t>
            </w:r>
            <w:r w:rsidR="00172A2F" w:rsidRPr="000019EF">
              <w:t>1.9</w:t>
            </w:r>
          </w:p>
        </w:tc>
        <w:tc>
          <w:tcPr>
            <w:tcW w:w="1034" w:type="dxa"/>
            <w:shd w:val="clear" w:color="auto" w:fill="auto"/>
          </w:tcPr>
          <w:p w14:paraId="3EE5985E" w14:textId="118B47DF" w:rsidR="00172A2F" w:rsidRPr="000019EF" w:rsidRDefault="00172A2F" w:rsidP="000B20B5">
            <w:pPr>
              <w:pStyle w:val="Tablenumbers"/>
            </w:pPr>
            <w:r w:rsidRPr="000019EF">
              <w:t>203</w:t>
            </w:r>
          </w:p>
        </w:tc>
        <w:tc>
          <w:tcPr>
            <w:tcW w:w="1193" w:type="dxa"/>
            <w:shd w:val="clear" w:color="auto" w:fill="auto"/>
          </w:tcPr>
          <w:p w14:paraId="0913352E" w14:textId="15FDAA5B" w:rsidR="00172A2F" w:rsidRPr="00554B10" w:rsidRDefault="000461A0" w:rsidP="000B20B5">
            <w:pPr>
              <w:pStyle w:val="Tablenumbers"/>
            </w:pPr>
            <w:r w:rsidRPr="000019EF">
              <w:t>$</w:t>
            </w:r>
            <w:r w:rsidR="00172A2F" w:rsidRPr="000019EF">
              <w:t>248.7</w:t>
            </w:r>
          </w:p>
        </w:tc>
      </w:tr>
      <w:tr w:rsidR="00504687" w:rsidRPr="00554B10" w14:paraId="2020819F" w14:textId="77777777" w:rsidTr="00901105">
        <w:trPr>
          <w:trHeight w:val="256"/>
        </w:trPr>
        <w:tc>
          <w:tcPr>
            <w:tcW w:w="3544" w:type="dxa"/>
          </w:tcPr>
          <w:p w14:paraId="31908847" w14:textId="77777777" w:rsidR="00504687" w:rsidRPr="00554B10" w:rsidRDefault="00504687" w:rsidP="000B20B5">
            <w:pPr>
              <w:pStyle w:val="TableText"/>
              <w:rPr>
                <w:color w:val="000000"/>
              </w:rPr>
            </w:pPr>
            <w:r w:rsidRPr="00554B10">
              <w:t>Health and Human Services</w:t>
            </w:r>
          </w:p>
        </w:tc>
        <w:tc>
          <w:tcPr>
            <w:tcW w:w="1034" w:type="dxa"/>
          </w:tcPr>
          <w:p w14:paraId="10C8CF3B" w14:textId="52DE1F6F" w:rsidR="00504687" w:rsidRPr="00554B10" w:rsidRDefault="00504687" w:rsidP="000B20B5">
            <w:pPr>
              <w:pStyle w:val="Tablenumbers"/>
            </w:pPr>
            <w:r w:rsidRPr="001B58F3">
              <w:t>0</w:t>
            </w:r>
          </w:p>
        </w:tc>
        <w:tc>
          <w:tcPr>
            <w:tcW w:w="1234" w:type="dxa"/>
            <w:noWrap/>
          </w:tcPr>
          <w:p w14:paraId="02C2D032" w14:textId="32228A5E" w:rsidR="00504687" w:rsidRPr="00554B10" w:rsidRDefault="00504687" w:rsidP="000B20B5">
            <w:pPr>
              <w:pStyle w:val="Tablenumbers"/>
            </w:pPr>
            <w:r>
              <w:t>0</w:t>
            </w:r>
          </w:p>
        </w:tc>
        <w:tc>
          <w:tcPr>
            <w:tcW w:w="1034" w:type="dxa"/>
          </w:tcPr>
          <w:p w14:paraId="06B9C5C4" w14:textId="23D44838" w:rsidR="00504687" w:rsidRPr="00554B10" w:rsidRDefault="00504687" w:rsidP="000B20B5">
            <w:pPr>
              <w:pStyle w:val="Tablenumbers"/>
            </w:pPr>
            <w:r w:rsidRPr="001B58F3">
              <w:t>75</w:t>
            </w:r>
          </w:p>
        </w:tc>
        <w:tc>
          <w:tcPr>
            <w:tcW w:w="1193" w:type="dxa"/>
          </w:tcPr>
          <w:p w14:paraId="1FE49B24" w14:textId="3F7D0FB1" w:rsidR="00504687" w:rsidRPr="00554B10" w:rsidRDefault="000461A0" w:rsidP="000B20B5">
            <w:pPr>
              <w:pStyle w:val="Tablenumbers"/>
            </w:pPr>
            <w:r>
              <w:t>$</w:t>
            </w:r>
            <w:r w:rsidR="00504687" w:rsidRPr="001B58F3">
              <w:t>54.4</w:t>
            </w:r>
          </w:p>
        </w:tc>
      </w:tr>
      <w:tr w:rsidR="00504687" w:rsidRPr="00554B10" w14:paraId="78E93727" w14:textId="77777777" w:rsidTr="00901105">
        <w:trPr>
          <w:trHeight w:val="256"/>
        </w:trPr>
        <w:tc>
          <w:tcPr>
            <w:tcW w:w="3544" w:type="dxa"/>
          </w:tcPr>
          <w:p w14:paraId="1A197B48" w14:textId="77777777" w:rsidR="00504687" w:rsidRPr="00554B10" w:rsidRDefault="00504687" w:rsidP="000B20B5">
            <w:pPr>
              <w:pStyle w:val="TableText"/>
              <w:rPr>
                <w:color w:val="000000"/>
              </w:rPr>
            </w:pPr>
            <w:r w:rsidRPr="00554B10">
              <w:t>Jobs, Precincts and Regions</w:t>
            </w:r>
          </w:p>
        </w:tc>
        <w:tc>
          <w:tcPr>
            <w:tcW w:w="1034" w:type="dxa"/>
          </w:tcPr>
          <w:p w14:paraId="5E9B3210" w14:textId="417256DE" w:rsidR="00504687" w:rsidRPr="00554B10" w:rsidRDefault="00504687" w:rsidP="000B20B5">
            <w:pPr>
              <w:pStyle w:val="Tablenumbers"/>
            </w:pPr>
            <w:r w:rsidRPr="001B58F3">
              <w:t>20</w:t>
            </w:r>
          </w:p>
        </w:tc>
        <w:tc>
          <w:tcPr>
            <w:tcW w:w="1234" w:type="dxa"/>
            <w:noWrap/>
          </w:tcPr>
          <w:p w14:paraId="02DC7B27" w14:textId="7222FFC7" w:rsidR="00504687" w:rsidRPr="00554B10" w:rsidRDefault="000461A0" w:rsidP="000B20B5">
            <w:pPr>
              <w:pStyle w:val="Tablenumbers"/>
            </w:pPr>
            <w:r>
              <w:t>$</w:t>
            </w:r>
            <w:r w:rsidR="00504687" w:rsidRPr="001B58F3">
              <w:t>9.8</w:t>
            </w:r>
          </w:p>
        </w:tc>
        <w:tc>
          <w:tcPr>
            <w:tcW w:w="1034" w:type="dxa"/>
          </w:tcPr>
          <w:p w14:paraId="5F6D2F2E" w14:textId="64F2BF04" w:rsidR="00504687" w:rsidRPr="00554B10" w:rsidRDefault="00504687" w:rsidP="000B20B5">
            <w:pPr>
              <w:pStyle w:val="Tablenumbers"/>
            </w:pPr>
            <w:r w:rsidRPr="001B58F3">
              <w:t>138</w:t>
            </w:r>
          </w:p>
        </w:tc>
        <w:tc>
          <w:tcPr>
            <w:tcW w:w="1193" w:type="dxa"/>
          </w:tcPr>
          <w:p w14:paraId="7AB7D166" w14:textId="3BCFE0B4" w:rsidR="00504687" w:rsidRPr="00554B10" w:rsidRDefault="000461A0" w:rsidP="000B20B5">
            <w:pPr>
              <w:pStyle w:val="Tablenumbers"/>
            </w:pPr>
            <w:r>
              <w:t>$</w:t>
            </w:r>
            <w:r w:rsidR="00504687" w:rsidRPr="001B58F3">
              <w:t>75.</w:t>
            </w:r>
            <w:r w:rsidR="00504687">
              <w:t>0</w:t>
            </w:r>
          </w:p>
        </w:tc>
      </w:tr>
      <w:tr w:rsidR="00D2492E" w:rsidRPr="00554B10" w14:paraId="52F910D2" w14:textId="77777777" w:rsidTr="00901105">
        <w:trPr>
          <w:trHeight w:val="256"/>
        </w:trPr>
        <w:tc>
          <w:tcPr>
            <w:tcW w:w="3544" w:type="dxa"/>
          </w:tcPr>
          <w:p w14:paraId="25F5D22C" w14:textId="77777777" w:rsidR="00D2492E" w:rsidRPr="00554B10" w:rsidRDefault="00D2492E" w:rsidP="000B20B5">
            <w:pPr>
              <w:pStyle w:val="TableText"/>
              <w:rPr>
                <w:color w:val="000000"/>
              </w:rPr>
            </w:pPr>
            <w:r w:rsidRPr="00554B10">
              <w:t>Justice and Community Safety</w:t>
            </w:r>
          </w:p>
        </w:tc>
        <w:tc>
          <w:tcPr>
            <w:tcW w:w="1034" w:type="dxa"/>
          </w:tcPr>
          <w:p w14:paraId="628CB753" w14:textId="5F0491D0" w:rsidR="00D2492E" w:rsidRPr="00554B10" w:rsidRDefault="00D2492E" w:rsidP="000B20B5">
            <w:pPr>
              <w:pStyle w:val="Tablenumbers"/>
            </w:pPr>
            <w:r w:rsidRPr="001B58F3">
              <w:t>13</w:t>
            </w:r>
          </w:p>
        </w:tc>
        <w:tc>
          <w:tcPr>
            <w:tcW w:w="1234" w:type="dxa"/>
            <w:noWrap/>
          </w:tcPr>
          <w:p w14:paraId="4B61E715" w14:textId="43BB6802" w:rsidR="00D2492E" w:rsidRPr="00554B10" w:rsidRDefault="00D2492E" w:rsidP="000B20B5">
            <w:pPr>
              <w:pStyle w:val="Tablenumbers"/>
            </w:pPr>
            <w:r>
              <w:t>$</w:t>
            </w:r>
            <w:r w:rsidRPr="001B58F3">
              <w:t>6.8</w:t>
            </w:r>
          </w:p>
        </w:tc>
        <w:tc>
          <w:tcPr>
            <w:tcW w:w="1034" w:type="dxa"/>
          </w:tcPr>
          <w:p w14:paraId="05EAFB1B" w14:textId="7F71BA8B" w:rsidR="00D2492E" w:rsidRPr="00554B10" w:rsidRDefault="00D2492E" w:rsidP="000B20B5">
            <w:pPr>
              <w:pStyle w:val="Tablenumbers"/>
            </w:pPr>
            <w:r w:rsidRPr="00BD511E">
              <w:t>69</w:t>
            </w:r>
          </w:p>
        </w:tc>
        <w:tc>
          <w:tcPr>
            <w:tcW w:w="1193" w:type="dxa"/>
          </w:tcPr>
          <w:p w14:paraId="22AFF28F" w14:textId="6A6D319A" w:rsidR="00D2492E" w:rsidRPr="00554B10" w:rsidRDefault="00D2492E" w:rsidP="000B20B5">
            <w:pPr>
              <w:pStyle w:val="Tablenumbers"/>
            </w:pPr>
            <w:r>
              <w:t>$</w:t>
            </w:r>
            <w:r w:rsidRPr="00BD511E">
              <w:t>396.5</w:t>
            </w:r>
          </w:p>
        </w:tc>
      </w:tr>
      <w:tr w:rsidR="00504687" w:rsidRPr="00554B10" w14:paraId="08E7A0E3" w14:textId="77777777" w:rsidTr="00901105">
        <w:trPr>
          <w:trHeight w:val="256"/>
        </w:trPr>
        <w:tc>
          <w:tcPr>
            <w:tcW w:w="3544" w:type="dxa"/>
          </w:tcPr>
          <w:p w14:paraId="38071CF5" w14:textId="77777777" w:rsidR="00504687" w:rsidRPr="00554B10" w:rsidRDefault="00504687" w:rsidP="000B20B5">
            <w:pPr>
              <w:pStyle w:val="TableText"/>
              <w:rPr>
                <w:color w:val="000000"/>
              </w:rPr>
            </w:pPr>
            <w:r w:rsidRPr="00554B10">
              <w:t>Premier and Cabinet</w:t>
            </w:r>
          </w:p>
        </w:tc>
        <w:tc>
          <w:tcPr>
            <w:tcW w:w="1034" w:type="dxa"/>
          </w:tcPr>
          <w:p w14:paraId="03EEC696" w14:textId="7F1DD216" w:rsidR="00504687" w:rsidRPr="00554B10" w:rsidRDefault="00504687" w:rsidP="000B20B5">
            <w:pPr>
              <w:pStyle w:val="Tablenumbers"/>
            </w:pPr>
            <w:r w:rsidRPr="001B58F3">
              <w:t>7</w:t>
            </w:r>
          </w:p>
        </w:tc>
        <w:tc>
          <w:tcPr>
            <w:tcW w:w="1234" w:type="dxa"/>
            <w:noWrap/>
          </w:tcPr>
          <w:p w14:paraId="7A452B53" w14:textId="0791F22A" w:rsidR="00504687" w:rsidRPr="00554B10" w:rsidRDefault="000461A0" w:rsidP="000B20B5">
            <w:pPr>
              <w:pStyle w:val="Tablenumbers"/>
            </w:pPr>
            <w:r>
              <w:t>$</w:t>
            </w:r>
            <w:r w:rsidR="00504687" w:rsidRPr="001B58F3">
              <w:t>2.4</w:t>
            </w:r>
          </w:p>
        </w:tc>
        <w:tc>
          <w:tcPr>
            <w:tcW w:w="1034" w:type="dxa"/>
          </w:tcPr>
          <w:p w14:paraId="4A9C1041" w14:textId="76B62647" w:rsidR="00504687" w:rsidRPr="00554B10" w:rsidRDefault="00504687" w:rsidP="000B20B5">
            <w:pPr>
              <w:pStyle w:val="Tablenumbers"/>
            </w:pPr>
            <w:r w:rsidRPr="001B58F3">
              <w:t>57</w:t>
            </w:r>
          </w:p>
        </w:tc>
        <w:tc>
          <w:tcPr>
            <w:tcW w:w="1193" w:type="dxa"/>
          </w:tcPr>
          <w:p w14:paraId="60286640" w14:textId="6E87C659" w:rsidR="00504687" w:rsidRPr="00554B10" w:rsidRDefault="000461A0" w:rsidP="000B20B5">
            <w:pPr>
              <w:pStyle w:val="Tablenumbers"/>
            </w:pPr>
            <w:r>
              <w:t>$</w:t>
            </w:r>
            <w:r w:rsidR="00504687" w:rsidRPr="001B58F3">
              <w:t>32.7</w:t>
            </w:r>
          </w:p>
        </w:tc>
      </w:tr>
      <w:tr w:rsidR="00504687" w:rsidRPr="00554B10" w14:paraId="5232B29D" w14:textId="77777777" w:rsidTr="00901105">
        <w:trPr>
          <w:trHeight w:val="256"/>
        </w:trPr>
        <w:tc>
          <w:tcPr>
            <w:tcW w:w="3544" w:type="dxa"/>
          </w:tcPr>
          <w:p w14:paraId="3913CCB4" w14:textId="77777777" w:rsidR="00504687" w:rsidRPr="00554B10" w:rsidRDefault="00504687" w:rsidP="000B20B5">
            <w:pPr>
              <w:pStyle w:val="TableText"/>
              <w:rPr>
                <w:color w:val="000000"/>
              </w:rPr>
            </w:pPr>
            <w:r w:rsidRPr="00554B10">
              <w:t>Transport</w:t>
            </w:r>
          </w:p>
        </w:tc>
        <w:tc>
          <w:tcPr>
            <w:tcW w:w="1034" w:type="dxa"/>
          </w:tcPr>
          <w:p w14:paraId="47A0DD9F" w14:textId="55C5046C" w:rsidR="00504687" w:rsidRPr="00554B10" w:rsidRDefault="00504687" w:rsidP="000B20B5">
            <w:pPr>
              <w:pStyle w:val="Tablenumbers"/>
            </w:pPr>
            <w:r w:rsidRPr="001B58F3">
              <w:t>21</w:t>
            </w:r>
          </w:p>
        </w:tc>
        <w:tc>
          <w:tcPr>
            <w:tcW w:w="1234" w:type="dxa"/>
            <w:noWrap/>
          </w:tcPr>
          <w:p w14:paraId="0162FA80" w14:textId="0503FC25" w:rsidR="00504687" w:rsidRPr="00554B10" w:rsidRDefault="000461A0" w:rsidP="000B20B5">
            <w:pPr>
              <w:pStyle w:val="Tablenumbers"/>
            </w:pPr>
            <w:r>
              <w:t>$</w:t>
            </w:r>
            <w:r w:rsidR="00504687" w:rsidRPr="001B58F3">
              <w:t>10.3</w:t>
            </w:r>
          </w:p>
        </w:tc>
        <w:tc>
          <w:tcPr>
            <w:tcW w:w="1034" w:type="dxa"/>
          </w:tcPr>
          <w:p w14:paraId="4D30BCE4" w14:textId="7DE14884" w:rsidR="00504687" w:rsidRPr="00554B10" w:rsidRDefault="00504687" w:rsidP="000B20B5">
            <w:pPr>
              <w:pStyle w:val="Tablenumbers"/>
            </w:pPr>
            <w:r w:rsidRPr="001B58F3">
              <w:t>197</w:t>
            </w:r>
          </w:p>
        </w:tc>
        <w:tc>
          <w:tcPr>
            <w:tcW w:w="1193" w:type="dxa"/>
          </w:tcPr>
          <w:p w14:paraId="61CB601A" w14:textId="69D13000" w:rsidR="00504687" w:rsidRPr="00554B10" w:rsidRDefault="000461A0" w:rsidP="000B20B5">
            <w:pPr>
              <w:pStyle w:val="Tablenumbers"/>
            </w:pPr>
            <w:r>
              <w:t>$</w:t>
            </w:r>
            <w:r w:rsidR="00504687" w:rsidRPr="001B58F3">
              <w:t>180.6</w:t>
            </w:r>
          </w:p>
        </w:tc>
      </w:tr>
      <w:tr w:rsidR="00504687" w:rsidRPr="00554B10" w14:paraId="4F52DE6D" w14:textId="77777777" w:rsidTr="00901105">
        <w:trPr>
          <w:trHeight w:val="256"/>
        </w:trPr>
        <w:tc>
          <w:tcPr>
            <w:tcW w:w="3544" w:type="dxa"/>
          </w:tcPr>
          <w:p w14:paraId="7DFB23D2" w14:textId="77777777" w:rsidR="00504687" w:rsidRPr="00554B10" w:rsidRDefault="00504687" w:rsidP="000B20B5">
            <w:pPr>
              <w:pStyle w:val="TableText"/>
              <w:rPr>
                <w:color w:val="000000"/>
              </w:rPr>
            </w:pPr>
            <w:r w:rsidRPr="00554B10">
              <w:t>Treasury and Finance</w:t>
            </w:r>
          </w:p>
        </w:tc>
        <w:tc>
          <w:tcPr>
            <w:tcW w:w="1034" w:type="dxa"/>
          </w:tcPr>
          <w:p w14:paraId="269A39FC" w14:textId="40F3C872" w:rsidR="00504687" w:rsidRPr="00554B10" w:rsidRDefault="00504687" w:rsidP="000B20B5">
            <w:pPr>
              <w:pStyle w:val="Tablenumbers"/>
            </w:pPr>
            <w:r w:rsidRPr="001B58F3">
              <w:t>8</w:t>
            </w:r>
          </w:p>
        </w:tc>
        <w:tc>
          <w:tcPr>
            <w:tcW w:w="1234" w:type="dxa"/>
            <w:noWrap/>
          </w:tcPr>
          <w:p w14:paraId="05AF346B" w14:textId="04ECC47A" w:rsidR="00504687" w:rsidRPr="00554B10" w:rsidRDefault="000461A0" w:rsidP="000B20B5">
            <w:pPr>
              <w:pStyle w:val="Tablenumbers"/>
            </w:pPr>
            <w:r>
              <w:t>$</w:t>
            </w:r>
            <w:r w:rsidR="00504687" w:rsidRPr="001B58F3">
              <w:t>1.3</w:t>
            </w:r>
          </w:p>
        </w:tc>
        <w:tc>
          <w:tcPr>
            <w:tcW w:w="1034" w:type="dxa"/>
          </w:tcPr>
          <w:p w14:paraId="2D7AA55E" w14:textId="2C115039" w:rsidR="00504687" w:rsidRPr="00554B10" w:rsidRDefault="00504687" w:rsidP="000B20B5">
            <w:pPr>
              <w:pStyle w:val="Tablenumbers"/>
            </w:pPr>
            <w:r w:rsidRPr="001B58F3">
              <w:t>17</w:t>
            </w:r>
          </w:p>
        </w:tc>
        <w:tc>
          <w:tcPr>
            <w:tcW w:w="1193" w:type="dxa"/>
          </w:tcPr>
          <w:p w14:paraId="5526DF57" w14:textId="192B70F4" w:rsidR="00504687" w:rsidRPr="00554B10" w:rsidRDefault="000461A0" w:rsidP="000B20B5">
            <w:pPr>
              <w:pStyle w:val="Tablenumbers"/>
            </w:pPr>
            <w:r>
              <w:t>$</w:t>
            </w:r>
            <w:r w:rsidR="00504687" w:rsidRPr="001B58F3">
              <w:t>4.8</w:t>
            </w:r>
          </w:p>
        </w:tc>
      </w:tr>
      <w:tr w:rsidR="00504687" w:rsidRPr="00554B10" w14:paraId="65B5D8D9" w14:textId="77777777" w:rsidTr="00901105">
        <w:trPr>
          <w:trHeight w:val="256"/>
        </w:trPr>
        <w:tc>
          <w:tcPr>
            <w:tcW w:w="3544" w:type="dxa"/>
          </w:tcPr>
          <w:p w14:paraId="392BE2ED" w14:textId="77777777" w:rsidR="00504687" w:rsidRPr="00554B10" w:rsidRDefault="00504687" w:rsidP="00504687">
            <w:pPr>
              <w:rPr>
                <w:rFonts w:asciiTheme="majorHAnsi" w:hAnsiTheme="majorHAnsi" w:cstheme="majorHAnsi"/>
                <w:bCs/>
                <w:color w:val="000000"/>
                <w:sz w:val="20"/>
                <w:szCs w:val="20"/>
              </w:rPr>
            </w:pPr>
            <w:bookmarkStart w:id="143" w:name="_Hlk488219359"/>
            <w:r w:rsidRPr="00554B10">
              <w:rPr>
                <w:rFonts w:asciiTheme="majorHAnsi" w:hAnsiTheme="majorHAnsi" w:cstheme="majorHAnsi"/>
                <w:bCs/>
                <w:color w:val="000000"/>
                <w:sz w:val="20"/>
                <w:szCs w:val="20"/>
              </w:rPr>
              <w:t>Cenitex</w:t>
            </w:r>
          </w:p>
        </w:tc>
        <w:tc>
          <w:tcPr>
            <w:tcW w:w="1034" w:type="dxa"/>
          </w:tcPr>
          <w:p w14:paraId="63AD6414" w14:textId="44FA106F" w:rsidR="00504687" w:rsidRPr="00554B10" w:rsidRDefault="00504687" w:rsidP="000B20B5">
            <w:pPr>
              <w:pStyle w:val="Tablenumbers"/>
            </w:pPr>
            <w:r w:rsidRPr="001B58F3">
              <w:t>3</w:t>
            </w:r>
          </w:p>
        </w:tc>
        <w:tc>
          <w:tcPr>
            <w:tcW w:w="1234" w:type="dxa"/>
            <w:noWrap/>
          </w:tcPr>
          <w:p w14:paraId="0DE54622" w14:textId="0A3A362B" w:rsidR="00504687" w:rsidRPr="00554B10" w:rsidRDefault="000461A0" w:rsidP="000B20B5">
            <w:pPr>
              <w:pStyle w:val="Tablenumbers"/>
            </w:pPr>
            <w:r>
              <w:t>$</w:t>
            </w:r>
            <w:r w:rsidR="00504687">
              <w:t>0</w:t>
            </w:r>
            <w:r w:rsidR="00504687" w:rsidRPr="001B58F3">
              <w:t>.9</w:t>
            </w:r>
          </w:p>
        </w:tc>
        <w:tc>
          <w:tcPr>
            <w:tcW w:w="1034" w:type="dxa"/>
          </w:tcPr>
          <w:p w14:paraId="2FC04B49" w14:textId="3981B916" w:rsidR="00504687" w:rsidRPr="00554B10" w:rsidRDefault="00504687" w:rsidP="000B20B5">
            <w:pPr>
              <w:pStyle w:val="Tablenumbers"/>
            </w:pPr>
            <w:r w:rsidRPr="001B58F3">
              <w:t>13</w:t>
            </w:r>
          </w:p>
        </w:tc>
        <w:tc>
          <w:tcPr>
            <w:tcW w:w="1193" w:type="dxa"/>
          </w:tcPr>
          <w:p w14:paraId="7F150D8D" w14:textId="32990B45" w:rsidR="00504687" w:rsidRPr="00554B10" w:rsidRDefault="000461A0" w:rsidP="000B20B5">
            <w:pPr>
              <w:pStyle w:val="Tablenumbers"/>
            </w:pPr>
            <w:r>
              <w:t>$</w:t>
            </w:r>
            <w:r w:rsidR="00504687" w:rsidRPr="001B58F3">
              <w:t>27.5</w:t>
            </w:r>
          </w:p>
        </w:tc>
      </w:tr>
      <w:bookmarkEnd w:id="143"/>
      <w:tr w:rsidR="00504687" w:rsidRPr="00554B10" w14:paraId="3F237384" w14:textId="77777777" w:rsidTr="00901105">
        <w:trPr>
          <w:trHeight w:val="256"/>
        </w:trPr>
        <w:tc>
          <w:tcPr>
            <w:tcW w:w="3544" w:type="dxa"/>
          </w:tcPr>
          <w:p w14:paraId="57C396FE" w14:textId="77777777" w:rsidR="00504687" w:rsidRPr="00554B10" w:rsidRDefault="00504687" w:rsidP="00504687">
            <w:pPr>
              <w:rPr>
                <w:rFonts w:asciiTheme="majorHAnsi" w:hAnsiTheme="majorHAnsi" w:cstheme="majorHAnsi"/>
                <w:bCs/>
                <w:color w:val="000000"/>
                <w:sz w:val="20"/>
                <w:szCs w:val="20"/>
              </w:rPr>
            </w:pPr>
            <w:r w:rsidRPr="00554B10">
              <w:rPr>
                <w:rFonts w:asciiTheme="majorHAnsi" w:hAnsiTheme="majorHAnsi" w:cstheme="majorHAnsi"/>
                <w:bCs/>
                <w:color w:val="000000"/>
                <w:sz w:val="20"/>
                <w:szCs w:val="20"/>
              </w:rPr>
              <w:t>Victoria Police</w:t>
            </w:r>
          </w:p>
        </w:tc>
        <w:tc>
          <w:tcPr>
            <w:tcW w:w="1034" w:type="dxa"/>
          </w:tcPr>
          <w:p w14:paraId="05846C9D" w14:textId="49228065" w:rsidR="00504687" w:rsidRPr="00554B10" w:rsidRDefault="00504687" w:rsidP="000B20B5">
            <w:pPr>
              <w:pStyle w:val="Tablenumbers"/>
            </w:pPr>
            <w:r w:rsidRPr="001B58F3">
              <w:t>13</w:t>
            </w:r>
          </w:p>
        </w:tc>
        <w:tc>
          <w:tcPr>
            <w:tcW w:w="1234" w:type="dxa"/>
            <w:noWrap/>
          </w:tcPr>
          <w:p w14:paraId="44476A73" w14:textId="763CCBC9" w:rsidR="00504687" w:rsidRPr="00554B10" w:rsidRDefault="000461A0" w:rsidP="000B20B5">
            <w:pPr>
              <w:pStyle w:val="Tablenumbers"/>
            </w:pPr>
            <w:r>
              <w:t>$</w:t>
            </w:r>
            <w:r w:rsidR="00504687" w:rsidRPr="001B58F3">
              <w:t>4.3</w:t>
            </w:r>
          </w:p>
        </w:tc>
        <w:tc>
          <w:tcPr>
            <w:tcW w:w="1034" w:type="dxa"/>
          </w:tcPr>
          <w:p w14:paraId="02CB8616" w14:textId="349F8F92" w:rsidR="00504687" w:rsidRPr="00554B10" w:rsidRDefault="00504687" w:rsidP="000B20B5">
            <w:pPr>
              <w:pStyle w:val="Tablenumbers"/>
            </w:pPr>
            <w:r w:rsidRPr="001B58F3">
              <w:t>11</w:t>
            </w:r>
          </w:p>
        </w:tc>
        <w:tc>
          <w:tcPr>
            <w:tcW w:w="1193" w:type="dxa"/>
          </w:tcPr>
          <w:p w14:paraId="54E3B855" w14:textId="34522C9C" w:rsidR="00504687" w:rsidRPr="00554B10" w:rsidRDefault="000461A0" w:rsidP="000B20B5">
            <w:pPr>
              <w:pStyle w:val="Tablenumbers"/>
            </w:pPr>
            <w:r>
              <w:t>$</w:t>
            </w:r>
            <w:r w:rsidR="00504687" w:rsidRPr="001B58F3">
              <w:t>24.5</w:t>
            </w:r>
          </w:p>
        </w:tc>
      </w:tr>
      <w:tr w:rsidR="00D2492E" w:rsidRPr="000B20B5" w14:paraId="5DA89E73" w14:textId="77777777" w:rsidTr="00901105">
        <w:trPr>
          <w:trHeight w:val="256"/>
        </w:trPr>
        <w:tc>
          <w:tcPr>
            <w:tcW w:w="3544" w:type="dxa"/>
          </w:tcPr>
          <w:p w14:paraId="4E13693E" w14:textId="77777777" w:rsidR="00D2492E" w:rsidRPr="000B20B5" w:rsidRDefault="00D2492E" w:rsidP="00ED447C">
            <w:pPr>
              <w:pStyle w:val="TableText"/>
              <w:rPr>
                <w:rStyle w:val="Strong"/>
              </w:rPr>
            </w:pPr>
            <w:r w:rsidRPr="000B20B5">
              <w:rPr>
                <w:rStyle w:val="Strong"/>
              </w:rPr>
              <w:t>Total</w:t>
            </w:r>
          </w:p>
        </w:tc>
        <w:tc>
          <w:tcPr>
            <w:tcW w:w="1034" w:type="dxa"/>
          </w:tcPr>
          <w:p w14:paraId="59B944A4" w14:textId="6A5B3445" w:rsidR="00D2492E" w:rsidRPr="000B20B5" w:rsidRDefault="00D2492E" w:rsidP="00ED447C">
            <w:pPr>
              <w:pStyle w:val="Tablenumbers"/>
              <w:rPr>
                <w:rStyle w:val="Strong"/>
              </w:rPr>
            </w:pPr>
            <w:r w:rsidRPr="000B20B5">
              <w:rPr>
                <w:rStyle w:val="Strong"/>
              </w:rPr>
              <w:t>95</w:t>
            </w:r>
          </w:p>
        </w:tc>
        <w:tc>
          <w:tcPr>
            <w:tcW w:w="1234" w:type="dxa"/>
            <w:noWrap/>
          </w:tcPr>
          <w:p w14:paraId="338B2E9B" w14:textId="1562D8C1" w:rsidR="00D2492E" w:rsidRPr="000B20B5" w:rsidRDefault="00D2492E" w:rsidP="00ED447C">
            <w:pPr>
              <w:pStyle w:val="Tablenumbers"/>
              <w:rPr>
                <w:rStyle w:val="Strong"/>
              </w:rPr>
            </w:pPr>
            <w:r w:rsidRPr="000B20B5">
              <w:rPr>
                <w:rStyle w:val="Strong"/>
              </w:rPr>
              <w:t>$38.2</w:t>
            </w:r>
          </w:p>
        </w:tc>
        <w:tc>
          <w:tcPr>
            <w:tcW w:w="1034" w:type="dxa"/>
          </w:tcPr>
          <w:p w14:paraId="7D87C0C7" w14:textId="57276094" w:rsidR="00D2492E" w:rsidRPr="000B20B5" w:rsidRDefault="00D2492E" w:rsidP="00ED447C">
            <w:pPr>
              <w:pStyle w:val="Tablenumbers"/>
              <w:rPr>
                <w:rStyle w:val="Strong"/>
              </w:rPr>
            </w:pPr>
            <w:r w:rsidRPr="000B20B5">
              <w:rPr>
                <w:rStyle w:val="Strong"/>
              </w:rPr>
              <w:t>941</w:t>
            </w:r>
          </w:p>
        </w:tc>
        <w:tc>
          <w:tcPr>
            <w:tcW w:w="1193" w:type="dxa"/>
          </w:tcPr>
          <w:p w14:paraId="5BFB95A4" w14:textId="4FE4E288" w:rsidR="00D2492E" w:rsidRPr="000B20B5" w:rsidRDefault="00D2492E" w:rsidP="00ED447C">
            <w:pPr>
              <w:pStyle w:val="Tablenumbers"/>
              <w:rPr>
                <w:rStyle w:val="Strong"/>
              </w:rPr>
            </w:pPr>
            <w:r w:rsidRPr="000B20B5">
              <w:rPr>
                <w:rStyle w:val="Strong"/>
              </w:rPr>
              <w:t>$1 233.7</w:t>
            </w:r>
          </w:p>
        </w:tc>
      </w:tr>
    </w:tbl>
    <w:p w14:paraId="28D394DE" w14:textId="660935F8" w:rsidR="001604D5" w:rsidRDefault="001604D5" w:rsidP="001604D5">
      <w:pPr>
        <w:pStyle w:val="Tablenotes"/>
      </w:pPr>
      <w:r w:rsidRPr="000019EF">
        <w:t>Note: Discrepancies between totals and sums of totals reflect rounding.</w:t>
      </w:r>
    </w:p>
    <w:p w14:paraId="703A6062" w14:textId="22DF0F4A" w:rsidR="00846792" w:rsidRPr="00CD6245" w:rsidRDefault="0028162F" w:rsidP="00846792">
      <w:pPr>
        <w:pStyle w:val="Heading2NoNum"/>
      </w:pPr>
      <w:bookmarkStart w:id="144" w:name="_Toc52187734"/>
      <w:bookmarkStart w:id="145" w:name="_Hlk14878424"/>
      <w:bookmarkStart w:id="146" w:name="_Toc20648411"/>
      <w:r w:rsidRPr="00B87374">
        <w:t>One-off supply approvals (c</w:t>
      </w:r>
      <w:r w:rsidR="00846792" w:rsidRPr="00B87374">
        <w:t>ritical incident</w:t>
      </w:r>
      <w:r w:rsidRPr="00B87374">
        <w:t>s)</w:t>
      </w:r>
      <w:bookmarkEnd w:id="144"/>
    </w:p>
    <w:p w14:paraId="4AAC66A6" w14:textId="32B561A0" w:rsidR="0096082E" w:rsidRDefault="006C5473" w:rsidP="00846792">
      <w:pPr>
        <w:pStyle w:val="Normal1"/>
      </w:pPr>
      <w:r>
        <w:t xml:space="preserve">The VGPB’s market approach policy allows </w:t>
      </w:r>
      <w:r w:rsidR="0096082E">
        <w:t>organisation</w:t>
      </w:r>
      <w:r>
        <w:t>s</w:t>
      </w:r>
      <w:r w:rsidR="0096082E">
        <w:t xml:space="preserve"> </w:t>
      </w:r>
      <w:r>
        <w:t xml:space="preserve">to </w:t>
      </w:r>
      <w:r w:rsidR="0096082E">
        <w:t>adopt streamlined and flexible procurement processes to facilitate an immediate response to an emergency, crisis or disaster</w:t>
      </w:r>
      <w:r>
        <w:t xml:space="preserve"> (referred to in the policy as a critical incident)</w:t>
      </w:r>
      <w:r w:rsidR="00EB3CA5">
        <w:t xml:space="preserve">. </w:t>
      </w:r>
      <w:r>
        <w:t xml:space="preserve">This policy applies to </w:t>
      </w:r>
      <w:bookmarkStart w:id="147" w:name="_Hlk49433972"/>
      <w:r>
        <w:t>all Victorian Government departments and any public bodies</w:t>
      </w:r>
      <w:r w:rsidR="00E4368E">
        <w:t xml:space="preserve"> </w:t>
      </w:r>
      <w:r>
        <w:t>that are subject to VGPB supply policies</w:t>
      </w:r>
      <w:r w:rsidR="0044382D">
        <w:t xml:space="preserve"> (hereby referred to as organisations)</w:t>
      </w:r>
      <w:r>
        <w:t>.</w:t>
      </w:r>
      <w:bookmarkEnd w:id="147"/>
    </w:p>
    <w:p w14:paraId="3292CBE8" w14:textId="1F0A8A7F" w:rsidR="0096082E" w:rsidRDefault="0096082E" w:rsidP="0096082E">
      <w:pPr>
        <w:pStyle w:val="Normal1"/>
      </w:pPr>
      <w:r>
        <w:t xml:space="preserve">Critical incident protocols and processes are invoked when a relevant </w:t>
      </w:r>
      <w:r w:rsidR="00914B79">
        <w:t>m</w:t>
      </w:r>
      <w:r>
        <w:t>inister, accountable officer or chief procurement officer (CPO) declares a critical incident to exist in relation to the operation of procurement processes by reason of:</w:t>
      </w:r>
    </w:p>
    <w:p w14:paraId="166E05E3" w14:textId="2886717B" w:rsidR="0096082E" w:rsidRDefault="0096082E" w:rsidP="0096082E">
      <w:pPr>
        <w:pStyle w:val="Bullet1"/>
      </w:pPr>
      <w:r>
        <w:t xml:space="preserve">an emergency within the meaning of </w:t>
      </w:r>
      <w:r w:rsidRPr="003F6EC5">
        <w:rPr>
          <w:i/>
          <w:iCs/>
        </w:rPr>
        <w:t>the Emergency Management Act 1986</w:t>
      </w:r>
      <w:r w:rsidR="003F6EC5">
        <w:t>;</w:t>
      </w:r>
    </w:p>
    <w:p w14:paraId="15E4863F" w14:textId="3D24A02C" w:rsidR="0096082E" w:rsidRDefault="0096082E" w:rsidP="0096082E">
      <w:pPr>
        <w:pStyle w:val="Bullet1"/>
      </w:pPr>
      <w:r>
        <w:t>an incident that causes</w:t>
      </w:r>
      <w:r w:rsidR="003F6EC5">
        <w:t xml:space="preserve"> an</w:t>
      </w:r>
      <w:r>
        <w:t xml:space="preserve"> organisation's business continuity plan to be activated</w:t>
      </w:r>
      <w:r w:rsidR="003F6EC5">
        <w:t>;</w:t>
      </w:r>
    </w:p>
    <w:p w14:paraId="7AFEDBE0" w14:textId="45F8035F" w:rsidR="0096082E" w:rsidRDefault="0096082E" w:rsidP="0096082E">
      <w:pPr>
        <w:pStyle w:val="Bullet1"/>
      </w:pPr>
      <w:r>
        <w:t>an incident that represents a serious and urgent threat to the health, safety or security of a person or property</w:t>
      </w:r>
      <w:r w:rsidR="003F6EC5">
        <w:t>; or</w:t>
      </w:r>
    </w:p>
    <w:p w14:paraId="14FB9A62" w14:textId="56A62003" w:rsidR="0096082E" w:rsidRDefault="0096082E" w:rsidP="0096082E">
      <w:pPr>
        <w:pStyle w:val="Bullet1"/>
      </w:pPr>
      <w:r>
        <w:t xml:space="preserve">a situation that represents a serious or urgent disruption to services provided by </w:t>
      </w:r>
      <w:r w:rsidR="003F6EC5">
        <w:t xml:space="preserve">an </w:t>
      </w:r>
      <w:r>
        <w:t>organisation</w:t>
      </w:r>
      <w:r w:rsidR="003F6EC5">
        <w:t>.</w:t>
      </w:r>
    </w:p>
    <w:p w14:paraId="4B95730E" w14:textId="3E26FE63" w:rsidR="003F6EC5" w:rsidRDefault="003F6EC5" w:rsidP="003F6EC5">
      <w:pPr>
        <w:pStyle w:val="Normal1"/>
      </w:pPr>
      <w:r>
        <w:t>During a critical incident, all other supply policies do not apply to the extent that the critical incident makes it impractical to apply them. Regardless, an organisation must:</w:t>
      </w:r>
    </w:p>
    <w:p w14:paraId="7FA2264B" w14:textId="6984FE44" w:rsidR="003F6EC5" w:rsidRDefault="003F6EC5" w:rsidP="003F6EC5">
      <w:pPr>
        <w:pStyle w:val="Bullet1"/>
      </w:pPr>
      <w:proofErr w:type="gramStart"/>
      <w:r>
        <w:t>take into account</w:t>
      </w:r>
      <w:proofErr w:type="gramEnd"/>
      <w:r>
        <w:t xml:space="preserve"> value for money, accountability, information asset security and probity to the extent that they can be applied given the severity and urgency of the incident;</w:t>
      </w:r>
    </w:p>
    <w:p w14:paraId="0AA40229" w14:textId="1BE46E28" w:rsidR="003F6EC5" w:rsidRDefault="003F6EC5" w:rsidP="003F6EC5">
      <w:pPr>
        <w:pStyle w:val="Bullet1"/>
      </w:pPr>
      <w:r>
        <w:t xml:space="preserve"> adopt minimum recordkeeping processes; and</w:t>
      </w:r>
    </w:p>
    <w:p w14:paraId="6EF6EFBD" w14:textId="78F9F9FF" w:rsidR="003F6EC5" w:rsidRDefault="003F6EC5" w:rsidP="003F6EC5">
      <w:pPr>
        <w:pStyle w:val="Bullet1"/>
      </w:pPr>
      <w:r>
        <w:t xml:space="preserve"> adhere to contract disclosure requirements.</w:t>
      </w:r>
    </w:p>
    <w:p w14:paraId="2355646F" w14:textId="7811542C" w:rsidR="003F6EC5" w:rsidRDefault="003F6EC5" w:rsidP="003F6EC5">
      <w:pPr>
        <w:pStyle w:val="Normal1"/>
      </w:pPr>
      <w:r>
        <w:t>Organisations must develop a plan or adopt a format that allows for minimum recording of certain information in relation to procurement decisions during a critical incident.</w:t>
      </w:r>
    </w:p>
    <w:p w14:paraId="4BD710A6" w14:textId="28F8AA44" w:rsidR="003F6EC5" w:rsidRDefault="003F6EC5" w:rsidP="003F6EC5">
      <w:pPr>
        <w:pStyle w:val="Normal1"/>
      </w:pPr>
      <w:r>
        <w:lastRenderedPageBreak/>
        <w:t>The accountable officer or CPO is to define a date at which procedures under critical incidents cease, after which organisations resume operating under standard VGPB procurement policies and processes.</w:t>
      </w:r>
    </w:p>
    <w:p w14:paraId="64C1BC69" w14:textId="0E5191B1" w:rsidR="00846792" w:rsidRDefault="003F414F" w:rsidP="00846792">
      <w:pPr>
        <w:pStyle w:val="Normal1"/>
      </w:pPr>
      <w:r>
        <w:t>Nine</w:t>
      </w:r>
      <w:r w:rsidR="00846792" w:rsidRPr="00B4766E">
        <w:t xml:space="preserve"> organisation</w:t>
      </w:r>
      <w:r w:rsidR="00846792">
        <w:t>s</w:t>
      </w:r>
      <w:r w:rsidR="00846792" w:rsidRPr="00B4766E">
        <w:t xml:space="preserve"> reported </w:t>
      </w:r>
      <w:r w:rsidR="004233AC">
        <w:t>5</w:t>
      </w:r>
      <w:r w:rsidR="00AA7838">
        <w:t>7</w:t>
      </w:r>
      <w:r w:rsidR="00EC64FC">
        <w:t>1</w:t>
      </w:r>
      <w:r w:rsidR="00846792" w:rsidRPr="00B4766E">
        <w:t xml:space="preserve"> critical incident procurements </w:t>
      </w:r>
      <w:r w:rsidR="00846792">
        <w:t xml:space="preserve">valued at </w:t>
      </w:r>
      <w:r w:rsidR="00D270EC">
        <w:t>$</w:t>
      </w:r>
      <w:r w:rsidR="00EE5B77">
        <w:t>285.4</w:t>
      </w:r>
      <w:r w:rsidR="00846792">
        <w:t xml:space="preserve"> million </w:t>
      </w:r>
      <w:r w:rsidR="00846792" w:rsidRPr="00B4766E">
        <w:t>in 20</w:t>
      </w:r>
      <w:r w:rsidR="00846792">
        <w:t>1</w:t>
      </w:r>
      <w:r w:rsidR="00846792" w:rsidRPr="00B4766E">
        <w:t>9</w:t>
      </w:r>
      <w:r w:rsidR="00846792">
        <w:t>–20</w:t>
      </w:r>
      <w:r w:rsidR="00846792" w:rsidRPr="00B4766E">
        <w:t xml:space="preserve">. </w:t>
      </w:r>
      <w:r w:rsidR="00846792">
        <w:t>Sixteen</w:t>
      </w:r>
      <w:r w:rsidR="00846792" w:rsidRPr="00B4766E">
        <w:t xml:space="preserve"> incidents were reported in 2018</w:t>
      </w:r>
      <w:r w:rsidR="00846792">
        <w:t>–19</w:t>
      </w:r>
      <w:r w:rsidR="00846792" w:rsidRPr="00B4766E">
        <w:t>, valued at $</w:t>
      </w:r>
      <w:r w:rsidR="00846792">
        <w:t xml:space="preserve">4.6 </w:t>
      </w:r>
      <w:r w:rsidR="00846792" w:rsidRPr="00B4766E">
        <w:t>million.</w:t>
      </w:r>
    </w:p>
    <w:p w14:paraId="28BB20AA" w14:textId="17AD6E16" w:rsidR="002B5FD8" w:rsidRDefault="002B5FD8" w:rsidP="00846792">
      <w:pPr>
        <w:pStyle w:val="Normal1"/>
        <w:rPr>
          <w:lang w:eastAsia="en-US"/>
        </w:rPr>
      </w:pPr>
      <w:r>
        <w:t xml:space="preserve">Most of these </w:t>
      </w:r>
      <w:r w:rsidR="006F51F7">
        <w:t xml:space="preserve">contract </w:t>
      </w:r>
      <w:r w:rsidR="006F51F7" w:rsidRPr="00093156">
        <w:t>approvals</w:t>
      </w:r>
      <w:r w:rsidRPr="00093156">
        <w:t xml:space="preserve"> (</w:t>
      </w:r>
      <w:r w:rsidR="00093156" w:rsidRPr="00093156">
        <w:t>9</w:t>
      </w:r>
      <w:r w:rsidR="00AA7838">
        <w:t>1</w:t>
      </w:r>
      <w:r w:rsidRPr="00093156">
        <w:t xml:space="preserve"> per cent) were</w:t>
      </w:r>
      <w:r>
        <w:t xml:space="preserve"> for COVID</w:t>
      </w:r>
      <w:r w:rsidR="00BD1CD2">
        <w:t xml:space="preserve">-19 </w:t>
      </w:r>
      <w:r>
        <w:t xml:space="preserve">related goods and services. </w:t>
      </w:r>
      <w:r w:rsidR="006F51F7">
        <w:t>The remaining contract approvals were for bushfire-related goods and services, apart from one critical incident procurement</w:t>
      </w:r>
      <w:r w:rsidR="00D270EC">
        <w:t xml:space="preserve"> in </w:t>
      </w:r>
      <w:r w:rsidR="006F51F7">
        <w:t xml:space="preserve">the </w:t>
      </w:r>
      <w:r>
        <w:rPr>
          <w:lang w:eastAsia="en-US"/>
        </w:rPr>
        <w:t xml:space="preserve">Department of Health and Human Services </w:t>
      </w:r>
      <w:r w:rsidR="006F51F7">
        <w:rPr>
          <w:lang w:eastAsia="en-US"/>
        </w:rPr>
        <w:t>to</w:t>
      </w:r>
      <w:r>
        <w:rPr>
          <w:lang w:eastAsia="en-US"/>
        </w:rPr>
        <w:t xml:space="preserve"> ensure business continuity </w:t>
      </w:r>
      <w:r w:rsidR="006F51F7">
        <w:rPr>
          <w:lang w:eastAsia="en-US"/>
        </w:rPr>
        <w:t xml:space="preserve">related to </w:t>
      </w:r>
      <w:r>
        <w:rPr>
          <w:lang w:eastAsia="en-US"/>
        </w:rPr>
        <w:t>a cyberattack.</w:t>
      </w:r>
    </w:p>
    <w:p w14:paraId="491CFF97" w14:textId="5EF9A65F" w:rsidR="00C1288B" w:rsidRPr="00381BB6" w:rsidRDefault="00C1288B" w:rsidP="00C1288B">
      <w:pPr>
        <w:pStyle w:val="Caption"/>
      </w:pPr>
      <w:bookmarkStart w:id="148" w:name="_Toc48837151"/>
      <w:bookmarkStart w:id="149" w:name="_Toc49185541"/>
      <w:r w:rsidRPr="00381BB6">
        <w:t xml:space="preserve">Table </w:t>
      </w:r>
      <w:r w:rsidRPr="00381BB6">
        <w:rPr>
          <w:noProof/>
        </w:rPr>
        <w:fldChar w:fldCharType="begin"/>
      </w:r>
      <w:r w:rsidRPr="00381BB6">
        <w:rPr>
          <w:noProof/>
        </w:rPr>
        <w:instrText xml:space="preserve"> SEQ Table \* ARABIC </w:instrText>
      </w:r>
      <w:r w:rsidRPr="00381BB6">
        <w:rPr>
          <w:noProof/>
        </w:rPr>
        <w:fldChar w:fldCharType="separate"/>
      </w:r>
      <w:r w:rsidR="00152B74">
        <w:rPr>
          <w:noProof/>
        </w:rPr>
        <w:t>18</w:t>
      </w:r>
      <w:r w:rsidRPr="00381BB6">
        <w:rPr>
          <w:noProof/>
        </w:rPr>
        <w:fldChar w:fldCharType="end"/>
      </w:r>
      <w:r w:rsidRPr="00381BB6">
        <w:t xml:space="preserve">: </w:t>
      </w:r>
      <w:r w:rsidR="006F51F7">
        <w:t>Critical incident</w:t>
      </w:r>
      <w:r w:rsidR="003F414F">
        <w:t xml:space="preserve"> procurement</w:t>
      </w:r>
      <w:r w:rsidR="00F64D8F">
        <w:t xml:space="preserve"> </w:t>
      </w:r>
      <w:r w:rsidR="006F51F7">
        <w:t>by organisation</w:t>
      </w:r>
      <w:r w:rsidR="006D2032">
        <w:t xml:space="preserve"> in 2019–20</w:t>
      </w:r>
      <w:bookmarkEnd w:id="148"/>
      <w:bookmarkEnd w:id="149"/>
    </w:p>
    <w:tbl>
      <w:tblPr>
        <w:tblStyle w:val="TableGrid1"/>
        <w:tblW w:w="8985" w:type="dxa"/>
        <w:tblInd w:w="846" w:type="dxa"/>
        <w:tblLook w:val="04A0" w:firstRow="1" w:lastRow="0" w:firstColumn="1" w:lastColumn="0" w:noHBand="0" w:noVBand="1"/>
      </w:tblPr>
      <w:tblGrid>
        <w:gridCol w:w="2693"/>
        <w:gridCol w:w="897"/>
        <w:gridCol w:w="1234"/>
        <w:gridCol w:w="10"/>
        <w:gridCol w:w="887"/>
        <w:gridCol w:w="1251"/>
        <w:gridCol w:w="885"/>
        <w:gridCol w:w="1128"/>
      </w:tblGrid>
      <w:tr w:rsidR="006F51F7" w:rsidRPr="00043C3A" w14:paraId="16A2065E" w14:textId="56D36332" w:rsidTr="00ED447C">
        <w:trPr>
          <w:trHeight w:val="256"/>
        </w:trPr>
        <w:tc>
          <w:tcPr>
            <w:tcW w:w="2693" w:type="dxa"/>
            <w:shd w:val="clear" w:color="auto" w:fill="BFBFBF" w:themeFill="background1" w:themeFillShade="BF"/>
          </w:tcPr>
          <w:p w14:paraId="01B613F0" w14:textId="3A52901C" w:rsidR="006F51F7" w:rsidRPr="00043C3A" w:rsidRDefault="006F51F7" w:rsidP="00AD64BE">
            <w:pPr>
              <w:pStyle w:val="TableText"/>
            </w:pPr>
          </w:p>
        </w:tc>
        <w:tc>
          <w:tcPr>
            <w:tcW w:w="2141" w:type="dxa"/>
            <w:gridSpan w:val="3"/>
            <w:shd w:val="clear" w:color="auto" w:fill="BFBFBF" w:themeFill="background1" w:themeFillShade="BF"/>
          </w:tcPr>
          <w:p w14:paraId="25739F4A" w14:textId="2194C6AF" w:rsidR="006F51F7" w:rsidRPr="00043C3A" w:rsidRDefault="006F51F7" w:rsidP="00AD64BE">
            <w:pPr>
              <w:pStyle w:val="TableText"/>
            </w:pPr>
            <w:r w:rsidRPr="00043C3A">
              <w:t>COVID-19</w:t>
            </w:r>
          </w:p>
        </w:tc>
        <w:tc>
          <w:tcPr>
            <w:tcW w:w="2138" w:type="dxa"/>
            <w:gridSpan w:val="2"/>
            <w:shd w:val="clear" w:color="auto" w:fill="BFBFBF" w:themeFill="background1" w:themeFillShade="BF"/>
          </w:tcPr>
          <w:p w14:paraId="6183C178" w14:textId="2305CC1C" w:rsidR="006F51F7" w:rsidRPr="00043C3A" w:rsidRDefault="006F51F7" w:rsidP="00AD64BE">
            <w:pPr>
              <w:pStyle w:val="TableText"/>
            </w:pPr>
            <w:r w:rsidRPr="00043C3A">
              <w:t>Bushfire</w:t>
            </w:r>
          </w:p>
        </w:tc>
        <w:tc>
          <w:tcPr>
            <w:tcW w:w="2013" w:type="dxa"/>
            <w:gridSpan w:val="2"/>
            <w:shd w:val="clear" w:color="auto" w:fill="BFBFBF" w:themeFill="background1" w:themeFillShade="BF"/>
          </w:tcPr>
          <w:p w14:paraId="0691553A" w14:textId="65E1F5AC" w:rsidR="006F51F7" w:rsidRPr="00043C3A" w:rsidRDefault="006F51F7" w:rsidP="00AD64BE">
            <w:pPr>
              <w:pStyle w:val="TableText"/>
            </w:pPr>
            <w:r w:rsidRPr="00043C3A">
              <w:t>Other</w:t>
            </w:r>
          </w:p>
        </w:tc>
      </w:tr>
      <w:tr w:rsidR="006F51F7" w:rsidRPr="00043C3A" w14:paraId="18A8408F" w14:textId="107F404E" w:rsidTr="00ED447C">
        <w:trPr>
          <w:trHeight w:val="256"/>
        </w:trPr>
        <w:tc>
          <w:tcPr>
            <w:tcW w:w="2693" w:type="dxa"/>
            <w:shd w:val="clear" w:color="auto" w:fill="BFBFBF" w:themeFill="background1" w:themeFillShade="BF"/>
          </w:tcPr>
          <w:p w14:paraId="5633DE06" w14:textId="0C6F5E1D" w:rsidR="006F51F7" w:rsidRPr="00043C3A" w:rsidRDefault="000B20B5" w:rsidP="000B20B5">
            <w:pPr>
              <w:pStyle w:val="TableText"/>
              <w:rPr>
                <w:rFonts w:asciiTheme="majorHAnsi" w:hAnsiTheme="majorHAnsi" w:cstheme="majorHAnsi"/>
              </w:rPr>
            </w:pPr>
            <w:r w:rsidRPr="00043C3A">
              <w:t>Organisation</w:t>
            </w:r>
          </w:p>
        </w:tc>
        <w:tc>
          <w:tcPr>
            <w:tcW w:w="897" w:type="dxa"/>
            <w:shd w:val="clear" w:color="auto" w:fill="BFBFBF" w:themeFill="background1" w:themeFillShade="BF"/>
          </w:tcPr>
          <w:p w14:paraId="1ED97D40" w14:textId="77777777" w:rsidR="006F51F7" w:rsidRPr="00043C3A" w:rsidRDefault="006F51F7" w:rsidP="000B20B5">
            <w:pPr>
              <w:pStyle w:val="Tablenumbers"/>
            </w:pPr>
            <w:r w:rsidRPr="00043C3A">
              <w:t>Number</w:t>
            </w:r>
          </w:p>
        </w:tc>
        <w:tc>
          <w:tcPr>
            <w:tcW w:w="1234" w:type="dxa"/>
            <w:shd w:val="clear" w:color="auto" w:fill="BFBFBF" w:themeFill="background1" w:themeFillShade="BF"/>
            <w:noWrap/>
          </w:tcPr>
          <w:p w14:paraId="18A6B766" w14:textId="3636CAF7" w:rsidR="006F51F7" w:rsidRPr="00043C3A" w:rsidRDefault="006F51F7" w:rsidP="000B20B5">
            <w:pPr>
              <w:pStyle w:val="Tablenumbers"/>
            </w:pPr>
            <w:r w:rsidRPr="00043C3A">
              <w:t>Value (</w:t>
            </w:r>
            <w:r w:rsidR="005C4F4A">
              <w:t>$m</w:t>
            </w:r>
            <w:r w:rsidRPr="00043C3A">
              <w:t>)</w:t>
            </w:r>
          </w:p>
        </w:tc>
        <w:tc>
          <w:tcPr>
            <w:tcW w:w="897" w:type="dxa"/>
            <w:gridSpan w:val="2"/>
            <w:shd w:val="clear" w:color="auto" w:fill="BFBFBF" w:themeFill="background1" w:themeFillShade="BF"/>
          </w:tcPr>
          <w:p w14:paraId="475049C0" w14:textId="0693366F" w:rsidR="006F51F7" w:rsidRPr="00043C3A" w:rsidRDefault="006F51F7" w:rsidP="000B20B5">
            <w:pPr>
              <w:pStyle w:val="Tablenumbers"/>
            </w:pPr>
            <w:r w:rsidRPr="00043C3A">
              <w:t>Number</w:t>
            </w:r>
          </w:p>
        </w:tc>
        <w:tc>
          <w:tcPr>
            <w:tcW w:w="1251" w:type="dxa"/>
            <w:shd w:val="clear" w:color="auto" w:fill="BFBFBF" w:themeFill="background1" w:themeFillShade="BF"/>
          </w:tcPr>
          <w:p w14:paraId="6E2A2D6E" w14:textId="1E626822" w:rsidR="006F51F7" w:rsidRPr="00043C3A" w:rsidRDefault="006F51F7" w:rsidP="000B20B5">
            <w:pPr>
              <w:pStyle w:val="Tablenumbers"/>
            </w:pPr>
            <w:r w:rsidRPr="00043C3A">
              <w:t>Value (</w:t>
            </w:r>
            <w:r w:rsidR="005C4F4A">
              <w:t>$m</w:t>
            </w:r>
            <w:r w:rsidRPr="00043C3A">
              <w:t>)</w:t>
            </w:r>
          </w:p>
        </w:tc>
        <w:tc>
          <w:tcPr>
            <w:tcW w:w="885" w:type="dxa"/>
            <w:shd w:val="clear" w:color="auto" w:fill="BFBFBF" w:themeFill="background1" w:themeFillShade="BF"/>
          </w:tcPr>
          <w:p w14:paraId="7254638C" w14:textId="4B431581" w:rsidR="006F51F7" w:rsidRPr="00043C3A" w:rsidRDefault="006F51F7" w:rsidP="000B20B5">
            <w:pPr>
              <w:pStyle w:val="Tablenumbers"/>
            </w:pPr>
            <w:r w:rsidRPr="00043C3A">
              <w:t>Number</w:t>
            </w:r>
          </w:p>
        </w:tc>
        <w:tc>
          <w:tcPr>
            <w:tcW w:w="1128" w:type="dxa"/>
            <w:shd w:val="clear" w:color="auto" w:fill="BFBFBF" w:themeFill="background1" w:themeFillShade="BF"/>
          </w:tcPr>
          <w:p w14:paraId="7CD2A695" w14:textId="32E74E9D" w:rsidR="006F51F7" w:rsidRPr="00043C3A" w:rsidRDefault="006F51F7" w:rsidP="000B20B5">
            <w:pPr>
              <w:pStyle w:val="Tablenumbers"/>
            </w:pPr>
            <w:r w:rsidRPr="00043C3A">
              <w:t>Value (</w:t>
            </w:r>
            <w:r w:rsidR="005C4F4A">
              <w:t>$m</w:t>
            </w:r>
            <w:r w:rsidRPr="00043C3A">
              <w:t>)</w:t>
            </w:r>
          </w:p>
        </w:tc>
      </w:tr>
      <w:tr w:rsidR="00D270EC" w:rsidRPr="00554B10" w14:paraId="042E27F0" w14:textId="384D8F73" w:rsidTr="00ED447C">
        <w:trPr>
          <w:trHeight w:val="256"/>
        </w:trPr>
        <w:tc>
          <w:tcPr>
            <w:tcW w:w="2693" w:type="dxa"/>
          </w:tcPr>
          <w:p w14:paraId="348CA0AA" w14:textId="77777777" w:rsidR="006F51F7" w:rsidRPr="00554B10" w:rsidRDefault="006F51F7" w:rsidP="000B20B5">
            <w:pPr>
              <w:pStyle w:val="TableText"/>
            </w:pPr>
            <w:r w:rsidRPr="00554B10">
              <w:t>Education and Training</w:t>
            </w:r>
          </w:p>
        </w:tc>
        <w:tc>
          <w:tcPr>
            <w:tcW w:w="897" w:type="dxa"/>
            <w:shd w:val="clear" w:color="auto" w:fill="FFFFFF" w:themeFill="background1"/>
            <w:vAlign w:val="center"/>
          </w:tcPr>
          <w:p w14:paraId="11FC59AD" w14:textId="083A58A6" w:rsidR="006F51F7" w:rsidRPr="00554B10" w:rsidRDefault="004233AC" w:rsidP="000B20B5">
            <w:pPr>
              <w:pStyle w:val="Tablenumbers"/>
            </w:pPr>
            <w:r>
              <w:t>276</w:t>
            </w:r>
          </w:p>
        </w:tc>
        <w:tc>
          <w:tcPr>
            <w:tcW w:w="1234" w:type="dxa"/>
            <w:shd w:val="clear" w:color="auto" w:fill="FFFFFF" w:themeFill="background1"/>
            <w:noWrap/>
            <w:vAlign w:val="center"/>
          </w:tcPr>
          <w:p w14:paraId="1908F301" w14:textId="41679466" w:rsidR="006F51F7" w:rsidRPr="00554B10" w:rsidRDefault="006F51F7" w:rsidP="000B20B5">
            <w:pPr>
              <w:pStyle w:val="Tablenumbers"/>
            </w:pPr>
            <w:r>
              <w:t>$30.1</w:t>
            </w:r>
          </w:p>
        </w:tc>
        <w:tc>
          <w:tcPr>
            <w:tcW w:w="897" w:type="dxa"/>
            <w:gridSpan w:val="2"/>
            <w:shd w:val="clear" w:color="auto" w:fill="FFFFFF" w:themeFill="background1"/>
            <w:vAlign w:val="center"/>
          </w:tcPr>
          <w:p w14:paraId="060C9189" w14:textId="6EDE3DA8" w:rsidR="006F51F7" w:rsidRPr="00554B10" w:rsidRDefault="00F0017B" w:rsidP="000B20B5">
            <w:pPr>
              <w:pStyle w:val="Tablenumbers"/>
            </w:pPr>
            <w:r>
              <w:t>..</w:t>
            </w:r>
          </w:p>
        </w:tc>
        <w:tc>
          <w:tcPr>
            <w:tcW w:w="1251" w:type="dxa"/>
            <w:shd w:val="clear" w:color="auto" w:fill="FFFFFF" w:themeFill="background1"/>
            <w:vAlign w:val="center"/>
          </w:tcPr>
          <w:p w14:paraId="2B37E27A" w14:textId="40830316" w:rsidR="006F51F7" w:rsidRPr="00554B10" w:rsidRDefault="00F0017B" w:rsidP="000B20B5">
            <w:pPr>
              <w:pStyle w:val="Tablenumbers"/>
            </w:pPr>
            <w:r>
              <w:t>..</w:t>
            </w:r>
          </w:p>
        </w:tc>
        <w:tc>
          <w:tcPr>
            <w:tcW w:w="885" w:type="dxa"/>
            <w:shd w:val="clear" w:color="auto" w:fill="FFFFFF" w:themeFill="background1"/>
            <w:vAlign w:val="center"/>
          </w:tcPr>
          <w:p w14:paraId="70192086" w14:textId="708E80B7" w:rsidR="006F51F7" w:rsidRPr="00554B10" w:rsidRDefault="00F0017B" w:rsidP="000B20B5">
            <w:pPr>
              <w:pStyle w:val="Tablenumbers"/>
            </w:pPr>
            <w:r>
              <w:t>..</w:t>
            </w:r>
          </w:p>
        </w:tc>
        <w:tc>
          <w:tcPr>
            <w:tcW w:w="1128" w:type="dxa"/>
            <w:shd w:val="clear" w:color="auto" w:fill="FFFFFF" w:themeFill="background1"/>
            <w:vAlign w:val="center"/>
          </w:tcPr>
          <w:p w14:paraId="12850938" w14:textId="0B3B5E9A" w:rsidR="006F51F7" w:rsidRPr="00554B10" w:rsidRDefault="00F0017B" w:rsidP="000B20B5">
            <w:pPr>
              <w:pStyle w:val="Tablenumbers"/>
            </w:pPr>
            <w:r>
              <w:t>..</w:t>
            </w:r>
          </w:p>
        </w:tc>
      </w:tr>
      <w:tr w:rsidR="006F51F7" w:rsidRPr="00554B10" w14:paraId="2E22852C" w14:textId="77777777" w:rsidTr="00ED447C">
        <w:trPr>
          <w:trHeight w:val="256"/>
        </w:trPr>
        <w:tc>
          <w:tcPr>
            <w:tcW w:w="2693" w:type="dxa"/>
          </w:tcPr>
          <w:p w14:paraId="6B8FBA00" w14:textId="3F68A2B6" w:rsidR="006F51F7" w:rsidRPr="00554B10" w:rsidRDefault="006F51F7" w:rsidP="000B20B5">
            <w:pPr>
              <w:pStyle w:val="TableText"/>
              <w:rPr>
                <w:rFonts w:asciiTheme="majorHAnsi" w:hAnsiTheme="majorHAnsi" w:cstheme="majorHAnsi"/>
                <w:bCs/>
              </w:rPr>
            </w:pPr>
            <w:r w:rsidRPr="00554B10">
              <w:t>Environment, Land, Water and Planning</w:t>
            </w:r>
          </w:p>
        </w:tc>
        <w:tc>
          <w:tcPr>
            <w:tcW w:w="897" w:type="dxa"/>
            <w:shd w:val="clear" w:color="auto" w:fill="FFFFFF" w:themeFill="background1"/>
            <w:vAlign w:val="center"/>
          </w:tcPr>
          <w:p w14:paraId="03DF700B" w14:textId="60F09745" w:rsidR="006F51F7" w:rsidRPr="00554B10" w:rsidRDefault="00F0017B" w:rsidP="000B20B5">
            <w:pPr>
              <w:pStyle w:val="Tablenumbers"/>
            </w:pPr>
            <w:r>
              <w:t>..</w:t>
            </w:r>
          </w:p>
        </w:tc>
        <w:tc>
          <w:tcPr>
            <w:tcW w:w="1234" w:type="dxa"/>
            <w:shd w:val="clear" w:color="auto" w:fill="FFFFFF" w:themeFill="background1"/>
            <w:noWrap/>
            <w:vAlign w:val="center"/>
          </w:tcPr>
          <w:p w14:paraId="2DD9F88A" w14:textId="4B3FBC61" w:rsidR="006F51F7" w:rsidRPr="00554B10" w:rsidRDefault="00F0017B" w:rsidP="000B20B5">
            <w:pPr>
              <w:pStyle w:val="Tablenumbers"/>
            </w:pPr>
            <w:r>
              <w:t>..</w:t>
            </w:r>
          </w:p>
        </w:tc>
        <w:tc>
          <w:tcPr>
            <w:tcW w:w="897" w:type="dxa"/>
            <w:gridSpan w:val="2"/>
            <w:shd w:val="clear" w:color="auto" w:fill="FFFFFF" w:themeFill="background1"/>
            <w:vAlign w:val="center"/>
          </w:tcPr>
          <w:p w14:paraId="1E2095DC" w14:textId="78ECFC9F" w:rsidR="006F51F7" w:rsidRPr="00554B10" w:rsidRDefault="006F51F7" w:rsidP="000B20B5">
            <w:pPr>
              <w:pStyle w:val="Tablenumbers"/>
            </w:pPr>
            <w:r>
              <w:t>7</w:t>
            </w:r>
          </w:p>
        </w:tc>
        <w:tc>
          <w:tcPr>
            <w:tcW w:w="1251" w:type="dxa"/>
            <w:shd w:val="clear" w:color="auto" w:fill="FFFFFF" w:themeFill="background1"/>
            <w:vAlign w:val="center"/>
          </w:tcPr>
          <w:p w14:paraId="6321D696" w14:textId="36A453D4" w:rsidR="006F51F7" w:rsidRPr="00554B10" w:rsidRDefault="006F51F7" w:rsidP="000B20B5">
            <w:pPr>
              <w:pStyle w:val="Tablenumbers"/>
            </w:pPr>
            <w:r>
              <w:t>$3.9</w:t>
            </w:r>
          </w:p>
        </w:tc>
        <w:tc>
          <w:tcPr>
            <w:tcW w:w="885" w:type="dxa"/>
            <w:shd w:val="clear" w:color="auto" w:fill="FFFFFF" w:themeFill="background1"/>
            <w:vAlign w:val="center"/>
          </w:tcPr>
          <w:p w14:paraId="24322524" w14:textId="1191986A" w:rsidR="006F51F7" w:rsidRPr="00554B10" w:rsidRDefault="00F0017B" w:rsidP="000B20B5">
            <w:pPr>
              <w:pStyle w:val="Tablenumbers"/>
            </w:pPr>
            <w:r>
              <w:t>..</w:t>
            </w:r>
          </w:p>
        </w:tc>
        <w:tc>
          <w:tcPr>
            <w:tcW w:w="1128" w:type="dxa"/>
            <w:shd w:val="clear" w:color="auto" w:fill="FFFFFF" w:themeFill="background1"/>
            <w:vAlign w:val="center"/>
          </w:tcPr>
          <w:p w14:paraId="32C79817" w14:textId="64324318" w:rsidR="006F51F7" w:rsidRPr="00554B10" w:rsidRDefault="00F0017B" w:rsidP="000B20B5">
            <w:pPr>
              <w:pStyle w:val="Tablenumbers"/>
            </w:pPr>
            <w:r>
              <w:t>..</w:t>
            </w:r>
          </w:p>
        </w:tc>
      </w:tr>
      <w:tr w:rsidR="00D270EC" w:rsidRPr="00554B10" w14:paraId="24AC9221" w14:textId="14BF660A" w:rsidTr="00ED447C">
        <w:trPr>
          <w:trHeight w:val="256"/>
        </w:trPr>
        <w:tc>
          <w:tcPr>
            <w:tcW w:w="2693" w:type="dxa"/>
          </w:tcPr>
          <w:p w14:paraId="67DEC30E" w14:textId="77777777" w:rsidR="006F51F7" w:rsidRPr="00554B10" w:rsidRDefault="006F51F7" w:rsidP="000B20B5">
            <w:pPr>
              <w:pStyle w:val="TableText"/>
              <w:rPr>
                <w:color w:val="000000"/>
              </w:rPr>
            </w:pPr>
            <w:r w:rsidRPr="00554B10">
              <w:t>Health and Human Services</w:t>
            </w:r>
          </w:p>
        </w:tc>
        <w:tc>
          <w:tcPr>
            <w:tcW w:w="897" w:type="dxa"/>
            <w:shd w:val="clear" w:color="auto" w:fill="FFFFFF" w:themeFill="background1"/>
            <w:vAlign w:val="center"/>
          </w:tcPr>
          <w:p w14:paraId="67EDEB6A" w14:textId="4570F5C2" w:rsidR="006F51F7" w:rsidRPr="00554B10" w:rsidRDefault="006F51F7" w:rsidP="000B20B5">
            <w:pPr>
              <w:pStyle w:val="Tablenumbers"/>
            </w:pPr>
            <w:r>
              <w:t>69</w:t>
            </w:r>
          </w:p>
        </w:tc>
        <w:tc>
          <w:tcPr>
            <w:tcW w:w="1234" w:type="dxa"/>
            <w:shd w:val="clear" w:color="auto" w:fill="FFFFFF" w:themeFill="background1"/>
            <w:noWrap/>
            <w:vAlign w:val="center"/>
          </w:tcPr>
          <w:p w14:paraId="2D6D40F6" w14:textId="5AB1E6FA" w:rsidR="006F51F7" w:rsidRPr="00554B10" w:rsidRDefault="00AA7838" w:rsidP="000B20B5">
            <w:pPr>
              <w:pStyle w:val="Tablenumbers"/>
            </w:pPr>
            <w:r>
              <w:t>$</w:t>
            </w:r>
            <w:r w:rsidR="006F51F7">
              <w:t>47.8</w:t>
            </w:r>
          </w:p>
        </w:tc>
        <w:tc>
          <w:tcPr>
            <w:tcW w:w="897" w:type="dxa"/>
            <w:gridSpan w:val="2"/>
            <w:shd w:val="clear" w:color="auto" w:fill="FFFFFF" w:themeFill="background1"/>
            <w:vAlign w:val="center"/>
          </w:tcPr>
          <w:p w14:paraId="62038FC1" w14:textId="747E590F" w:rsidR="006F51F7" w:rsidRDefault="006F51F7" w:rsidP="000B20B5">
            <w:pPr>
              <w:pStyle w:val="Tablenumbers"/>
            </w:pPr>
            <w:r>
              <w:t>1</w:t>
            </w:r>
          </w:p>
        </w:tc>
        <w:tc>
          <w:tcPr>
            <w:tcW w:w="1251" w:type="dxa"/>
            <w:shd w:val="clear" w:color="auto" w:fill="FFFFFF" w:themeFill="background1"/>
            <w:vAlign w:val="center"/>
          </w:tcPr>
          <w:p w14:paraId="3DAEDD38" w14:textId="2E2B95A1" w:rsidR="006F51F7" w:rsidRDefault="006F51F7" w:rsidP="000B20B5">
            <w:pPr>
              <w:pStyle w:val="Tablenumbers"/>
            </w:pPr>
            <w:r>
              <w:t>$0.3</w:t>
            </w:r>
          </w:p>
        </w:tc>
        <w:tc>
          <w:tcPr>
            <w:tcW w:w="885" w:type="dxa"/>
            <w:shd w:val="clear" w:color="auto" w:fill="FFFFFF" w:themeFill="background1"/>
            <w:vAlign w:val="center"/>
          </w:tcPr>
          <w:p w14:paraId="4B8E6193" w14:textId="5917FAA8" w:rsidR="006F51F7" w:rsidRDefault="006F51F7" w:rsidP="000B20B5">
            <w:pPr>
              <w:pStyle w:val="Tablenumbers"/>
            </w:pPr>
            <w:r>
              <w:t>1</w:t>
            </w:r>
          </w:p>
        </w:tc>
        <w:tc>
          <w:tcPr>
            <w:tcW w:w="1128" w:type="dxa"/>
            <w:shd w:val="clear" w:color="auto" w:fill="FFFFFF" w:themeFill="background1"/>
            <w:vAlign w:val="center"/>
          </w:tcPr>
          <w:p w14:paraId="0DBA460F" w14:textId="3A929D65" w:rsidR="006F51F7" w:rsidRDefault="006F51F7" w:rsidP="000B20B5">
            <w:pPr>
              <w:pStyle w:val="Tablenumbers"/>
            </w:pPr>
            <w:r>
              <w:t>$2.2</w:t>
            </w:r>
          </w:p>
        </w:tc>
      </w:tr>
      <w:tr w:rsidR="00EC64FC" w:rsidRPr="00554B10" w14:paraId="0704039B" w14:textId="3E1E584F" w:rsidTr="00ED447C">
        <w:trPr>
          <w:trHeight w:val="256"/>
        </w:trPr>
        <w:tc>
          <w:tcPr>
            <w:tcW w:w="2693" w:type="dxa"/>
          </w:tcPr>
          <w:p w14:paraId="0B6EC4BF" w14:textId="77777777" w:rsidR="00EC64FC" w:rsidRPr="00554B10" w:rsidRDefault="00EC64FC" w:rsidP="000B20B5">
            <w:pPr>
              <w:pStyle w:val="TableText"/>
              <w:rPr>
                <w:color w:val="000000"/>
              </w:rPr>
            </w:pPr>
            <w:r w:rsidRPr="00554B10">
              <w:t>Jobs, Precincts and Regions</w:t>
            </w:r>
          </w:p>
        </w:tc>
        <w:tc>
          <w:tcPr>
            <w:tcW w:w="897" w:type="dxa"/>
            <w:shd w:val="clear" w:color="auto" w:fill="FFFFFF" w:themeFill="background1"/>
            <w:vAlign w:val="center"/>
          </w:tcPr>
          <w:p w14:paraId="337E952D" w14:textId="1B9A2286" w:rsidR="00EC64FC" w:rsidRPr="00554B10" w:rsidRDefault="00EC64FC" w:rsidP="000B20B5">
            <w:pPr>
              <w:pStyle w:val="Tablenumbers"/>
            </w:pPr>
            <w:r>
              <w:t>31</w:t>
            </w:r>
          </w:p>
        </w:tc>
        <w:tc>
          <w:tcPr>
            <w:tcW w:w="1234" w:type="dxa"/>
            <w:shd w:val="clear" w:color="auto" w:fill="FFFFFF" w:themeFill="background1"/>
            <w:noWrap/>
            <w:vAlign w:val="center"/>
          </w:tcPr>
          <w:p w14:paraId="1A2DA542" w14:textId="6A4EE8F2" w:rsidR="00EC64FC" w:rsidRPr="00554B10" w:rsidRDefault="00EC64FC" w:rsidP="000B20B5">
            <w:pPr>
              <w:pStyle w:val="Tablenumbers"/>
            </w:pPr>
            <w:r>
              <w:t>$</w:t>
            </w:r>
            <w:r w:rsidR="00023C07">
              <w:t>11</w:t>
            </w:r>
            <w:r w:rsidR="00EE5B77">
              <w:t>3.8</w:t>
            </w:r>
            <w:r w:rsidR="00023C07">
              <w:t>*</w:t>
            </w:r>
          </w:p>
        </w:tc>
        <w:tc>
          <w:tcPr>
            <w:tcW w:w="897" w:type="dxa"/>
            <w:gridSpan w:val="2"/>
            <w:shd w:val="clear" w:color="auto" w:fill="FFFFFF" w:themeFill="background1"/>
            <w:vAlign w:val="center"/>
          </w:tcPr>
          <w:p w14:paraId="01BC1B89" w14:textId="2BBE2831" w:rsidR="00EC64FC" w:rsidRPr="00554B10" w:rsidRDefault="00EC64FC" w:rsidP="000B20B5">
            <w:pPr>
              <w:pStyle w:val="Tablenumbers"/>
            </w:pPr>
            <w:r>
              <w:t>2</w:t>
            </w:r>
          </w:p>
        </w:tc>
        <w:tc>
          <w:tcPr>
            <w:tcW w:w="1251" w:type="dxa"/>
            <w:shd w:val="clear" w:color="auto" w:fill="FFFFFF" w:themeFill="background1"/>
            <w:vAlign w:val="center"/>
          </w:tcPr>
          <w:p w14:paraId="28791A95" w14:textId="3918AF87" w:rsidR="00EC64FC" w:rsidRPr="00554B10" w:rsidRDefault="00EC64FC" w:rsidP="000B20B5">
            <w:pPr>
              <w:pStyle w:val="Tablenumbers"/>
            </w:pPr>
            <w:r w:rsidRPr="0091534C">
              <w:t>$</w:t>
            </w:r>
            <w:r>
              <w:t>3.0</w:t>
            </w:r>
          </w:p>
        </w:tc>
        <w:tc>
          <w:tcPr>
            <w:tcW w:w="885" w:type="dxa"/>
            <w:shd w:val="clear" w:color="auto" w:fill="FFFFFF" w:themeFill="background1"/>
            <w:vAlign w:val="center"/>
          </w:tcPr>
          <w:p w14:paraId="751E9037" w14:textId="294512F6" w:rsidR="00EC64FC" w:rsidRPr="00554B10" w:rsidRDefault="00EC64FC" w:rsidP="000B20B5">
            <w:pPr>
              <w:pStyle w:val="Tablenumbers"/>
            </w:pPr>
            <w:r>
              <w:t>..</w:t>
            </w:r>
          </w:p>
        </w:tc>
        <w:tc>
          <w:tcPr>
            <w:tcW w:w="1128" w:type="dxa"/>
            <w:shd w:val="clear" w:color="auto" w:fill="FFFFFF" w:themeFill="background1"/>
            <w:vAlign w:val="center"/>
          </w:tcPr>
          <w:p w14:paraId="2D2EA4A5" w14:textId="2F57F100" w:rsidR="00EC64FC" w:rsidRPr="00554B10" w:rsidRDefault="00EC64FC" w:rsidP="000B20B5">
            <w:pPr>
              <w:pStyle w:val="Tablenumbers"/>
            </w:pPr>
            <w:r>
              <w:t>..</w:t>
            </w:r>
          </w:p>
        </w:tc>
      </w:tr>
      <w:tr w:rsidR="00D270EC" w:rsidRPr="00554B10" w14:paraId="668922D2" w14:textId="716F0E87" w:rsidTr="00ED447C">
        <w:trPr>
          <w:trHeight w:val="256"/>
        </w:trPr>
        <w:tc>
          <w:tcPr>
            <w:tcW w:w="2693" w:type="dxa"/>
          </w:tcPr>
          <w:p w14:paraId="400B06BC" w14:textId="77777777" w:rsidR="00C64304" w:rsidRPr="00554B10" w:rsidRDefault="00C64304" w:rsidP="000B20B5">
            <w:pPr>
              <w:pStyle w:val="TableText"/>
              <w:rPr>
                <w:color w:val="000000"/>
              </w:rPr>
            </w:pPr>
            <w:r w:rsidRPr="00554B10">
              <w:t>Justice and Community Safety</w:t>
            </w:r>
          </w:p>
        </w:tc>
        <w:tc>
          <w:tcPr>
            <w:tcW w:w="897" w:type="dxa"/>
            <w:shd w:val="clear" w:color="auto" w:fill="FFFFFF" w:themeFill="background1"/>
            <w:vAlign w:val="center"/>
          </w:tcPr>
          <w:p w14:paraId="020E2155" w14:textId="14C0A232" w:rsidR="00C64304" w:rsidRPr="00554B10" w:rsidRDefault="00C64304" w:rsidP="000B20B5">
            <w:pPr>
              <w:pStyle w:val="Tablenumbers"/>
            </w:pPr>
            <w:r>
              <w:t>95</w:t>
            </w:r>
          </w:p>
        </w:tc>
        <w:tc>
          <w:tcPr>
            <w:tcW w:w="1234" w:type="dxa"/>
            <w:shd w:val="clear" w:color="auto" w:fill="FFFFFF" w:themeFill="background1"/>
            <w:noWrap/>
            <w:vAlign w:val="center"/>
          </w:tcPr>
          <w:p w14:paraId="732174D8" w14:textId="5E2D8654" w:rsidR="00C64304" w:rsidRPr="00554B10" w:rsidRDefault="00C64304" w:rsidP="000B20B5">
            <w:pPr>
              <w:pStyle w:val="Tablenumbers"/>
            </w:pPr>
            <w:r>
              <w:t>$38.6</w:t>
            </w:r>
          </w:p>
        </w:tc>
        <w:tc>
          <w:tcPr>
            <w:tcW w:w="897" w:type="dxa"/>
            <w:gridSpan w:val="2"/>
            <w:shd w:val="clear" w:color="auto" w:fill="FFFFFF" w:themeFill="background1"/>
            <w:vAlign w:val="center"/>
          </w:tcPr>
          <w:p w14:paraId="41655E82" w14:textId="405177E6" w:rsidR="00C64304" w:rsidRPr="00554B10" w:rsidRDefault="00D270EC" w:rsidP="000B20B5">
            <w:pPr>
              <w:pStyle w:val="Tablenumbers"/>
            </w:pPr>
            <w:r>
              <w:t>..</w:t>
            </w:r>
          </w:p>
        </w:tc>
        <w:tc>
          <w:tcPr>
            <w:tcW w:w="1251" w:type="dxa"/>
            <w:shd w:val="clear" w:color="auto" w:fill="FFFFFF" w:themeFill="background1"/>
            <w:vAlign w:val="center"/>
          </w:tcPr>
          <w:p w14:paraId="68E76B54" w14:textId="6FA52A8A" w:rsidR="00C64304" w:rsidRPr="00554B10" w:rsidRDefault="00D270EC" w:rsidP="000B20B5">
            <w:pPr>
              <w:pStyle w:val="Tablenumbers"/>
            </w:pPr>
            <w:r>
              <w:t>..</w:t>
            </w:r>
          </w:p>
        </w:tc>
        <w:tc>
          <w:tcPr>
            <w:tcW w:w="885" w:type="dxa"/>
            <w:shd w:val="clear" w:color="auto" w:fill="FFFFFF" w:themeFill="background1"/>
            <w:vAlign w:val="center"/>
          </w:tcPr>
          <w:p w14:paraId="0EA1CF00" w14:textId="65BCFAD8" w:rsidR="00C64304" w:rsidRPr="00554B10" w:rsidRDefault="00D270EC" w:rsidP="000B20B5">
            <w:pPr>
              <w:pStyle w:val="Tablenumbers"/>
            </w:pPr>
            <w:r>
              <w:t>..</w:t>
            </w:r>
          </w:p>
        </w:tc>
        <w:tc>
          <w:tcPr>
            <w:tcW w:w="1128" w:type="dxa"/>
            <w:shd w:val="clear" w:color="auto" w:fill="FFFFFF" w:themeFill="background1"/>
            <w:vAlign w:val="center"/>
          </w:tcPr>
          <w:p w14:paraId="4C8D40E9" w14:textId="21C1B115" w:rsidR="00C64304" w:rsidRPr="00554B10" w:rsidRDefault="00D270EC" w:rsidP="000B20B5">
            <w:pPr>
              <w:pStyle w:val="Tablenumbers"/>
            </w:pPr>
            <w:r>
              <w:t>..</w:t>
            </w:r>
          </w:p>
        </w:tc>
      </w:tr>
      <w:tr w:rsidR="00D270EC" w:rsidRPr="00554B10" w14:paraId="093FADF8" w14:textId="62000BD3" w:rsidTr="00ED447C">
        <w:trPr>
          <w:trHeight w:val="256"/>
        </w:trPr>
        <w:tc>
          <w:tcPr>
            <w:tcW w:w="2693" w:type="dxa"/>
          </w:tcPr>
          <w:p w14:paraId="3609BA37" w14:textId="77777777" w:rsidR="00C64304" w:rsidRPr="00554B10" w:rsidRDefault="00C64304" w:rsidP="000B20B5">
            <w:pPr>
              <w:pStyle w:val="TableText"/>
              <w:rPr>
                <w:color w:val="000000"/>
              </w:rPr>
            </w:pPr>
            <w:r w:rsidRPr="00554B10">
              <w:t>Premier and Cabinet</w:t>
            </w:r>
          </w:p>
        </w:tc>
        <w:tc>
          <w:tcPr>
            <w:tcW w:w="897" w:type="dxa"/>
            <w:shd w:val="clear" w:color="auto" w:fill="FFFFFF" w:themeFill="background1"/>
            <w:vAlign w:val="center"/>
          </w:tcPr>
          <w:p w14:paraId="2E39A759" w14:textId="5B29C513" w:rsidR="00C64304" w:rsidRPr="00554B10" w:rsidRDefault="00C64304" w:rsidP="000B20B5">
            <w:pPr>
              <w:pStyle w:val="Tablenumbers"/>
            </w:pPr>
            <w:r>
              <w:t>6</w:t>
            </w:r>
          </w:p>
        </w:tc>
        <w:tc>
          <w:tcPr>
            <w:tcW w:w="1234" w:type="dxa"/>
            <w:shd w:val="clear" w:color="auto" w:fill="FFFFFF" w:themeFill="background1"/>
            <w:noWrap/>
            <w:vAlign w:val="center"/>
          </w:tcPr>
          <w:p w14:paraId="74D5D33A" w14:textId="13873DD4" w:rsidR="00C64304" w:rsidRPr="00554B10" w:rsidRDefault="00C64304" w:rsidP="000B20B5">
            <w:pPr>
              <w:pStyle w:val="Tablenumbers"/>
            </w:pPr>
            <w:r>
              <w:t>$4.6</w:t>
            </w:r>
          </w:p>
        </w:tc>
        <w:tc>
          <w:tcPr>
            <w:tcW w:w="897" w:type="dxa"/>
            <w:gridSpan w:val="2"/>
            <w:shd w:val="clear" w:color="auto" w:fill="FFFFFF" w:themeFill="background1"/>
            <w:vAlign w:val="center"/>
          </w:tcPr>
          <w:p w14:paraId="4A5BDD2F" w14:textId="7F767E76" w:rsidR="00C64304" w:rsidRPr="00554B10" w:rsidRDefault="00C64304" w:rsidP="000B20B5">
            <w:pPr>
              <w:pStyle w:val="Tablenumbers"/>
            </w:pPr>
            <w:r>
              <w:t>41</w:t>
            </w:r>
          </w:p>
        </w:tc>
        <w:tc>
          <w:tcPr>
            <w:tcW w:w="1251" w:type="dxa"/>
            <w:shd w:val="clear" w:color="auto" w:fill="FFFFFF" w:themeFill="background1"/>
            <w:vAlign w:val="center"/>
          </w:tcPr>
          <w:p w14:paraId="4141205A" w14:textId="305DA808" w:rsidR="00C64304" w:rsidRPr="00554B10" w:rsidRDefault="00C64304" w:rsidP="000B20B5">
            <w:pPr>
              <w:pStyle w:val="Tablenumbers"/>
            </w:pPr>
            <w:r>
              <w:t>$20.3</w:t>
            </w:r>
          </w:p>
        </w:tc>
        <w:tc>
          <w:tcPr>
            <w:tcW w:w="885" w:type="dxa"/>
            <w:shd w:val="clear" w:color="auto" w:fill="FFFFFF" w:themeFill="background1"/>
            <w:vAlign w:val="center"/>
          </w:tcPr>
          <w:p w14:paraId="3471D066" w14:textId="5C16F0F8" w:rsidR="00C64304" w:rsidRPr="00554B10" w:rsidRDefault="00D270EC" w:rsidP="000B20B5">
            <w:pPr>
              <w:pStyle w:val="Tablenumbers"/>
            </w:pPr>
            <w:r>
              <w:t>..</w:t>
            </w:r>
          </w:p>
        </w:tc>
        <w:tc>
          <w:tcPr>
            <w:tcW w:w="1128" w:type="dxa"/>
            <w:shd w:val="clear" w:color="auto" w:fill="FFFFFF" w:themeFill="background1"/>
            <w:vAlign w:val="center"/>
          </w:tcPr>
          <w:p w14:paraId="36D28E0C" w14:textId="35CF4BB2" w:rsidR="00C64304" w:rsidRPr="00554B10" w:rsidRDefault="00D270EC" w:rsidP="000B20B5">
            <w:pPr>
              <w:pStyle w:val="Tablenumbers"/>
            </w:pPr>
            <w:r>
              <w:t>..</w:t>
            </w:r>
          </w:p>
        </w:tc>
      </w:tr>
      <w:tr w:rsidR="00D270EC" w:rsidRPr="00554B10" w14:paraId="738DCED7" w14:textId="46A02785" w:rsidTr="00ED447C">
        <w:trPr>
          <w:trHeight w:val="256"/>
        </w:trPr>
        <w:tc>
          <w:tcPr>
            <w:tcW w:w="2693" w:type="dxa"/>
          </w:tcPr>
          <w:p w14:paraId="6B01C481" w14:textId="77777777" w:rsidR="00C64304" w:rsidRPr="00554B10" w:rsidRDefault="00C64304" w:rsidP="000B20B5">
            <w:pPr>
              <w:pStyle w:val="TableText"/>
              <w:rPr>
                <w:color w:val="000000"/>
              </w:rPr>
            </w:pPr>
            <w:r w:rsidRPr="00554B10">
              <w:t>Transport</w:t>
            </w:r>
          </w:p>
        </w:tc>
        <w:tc>
          <w:tcPr>
            <w:tcW w:w="897" w:type="dxa"/>
            <w:shd w:val="clear" w:color="auto" w:fill="FFFFFF" w:themeFill="background1"/>
            <w:vAlign w:val="center"/>
          </w:tcPr>
          <w:p w14:paraId="3DDC78A8" w14:textId="18CEA803" w:rsidR="00C64304" w:rsidRPr="00554B10" w:rsidRDefault="00C64304" w:rsidP="000B20B5">
            <w:pPr>
              <w:pStyle w:val="Tablenumbers"/>
            </w:pPr>
            <w:r>
              <w:t>2</w:t>
            </w:r>
          </w:p>
        </w:tc>
        <w:tc>
          <w:tcPr>
            <w:tcW w:w="1234" w:type="dxa"/>
            <w:shd w:val="clear" w:color="auto" w:fill="FFFFFF" w:themeFill="background1"/>
            <w:noWrap/>
            <w:vAlign w:val="center"/>
          </w:tcPr>
          <w:p w14:paraId="4E0D9F2B" w14:textId="465BA46A" w:rsidR="00C64304" w:rsidRPr="00554B10" w:rsidRDefault="00C64304" w:rsidP="000B20B5">
            <w:pPr>
              <w:pStyle w:val="Tablenumbers"/>
            </w:pPr>
            <w:r>
              <w:t>$2.3</w:t>
            </w:r>
          </w:p>
        </w:tc>
        <w:tc>
          <w:tcPr>
            <w:tcW w:w="897" w:type="dxa"/>
            <w:gridSpan w:val="2"/>
            <w:shd w:val="clear" w:color="auto" w:fill="FFFFFF" w:themeFill="background1"/>
            <w:vAlign w:val="center"/>
          </w:tcPr>
          <w:p w14:paraId="0CB47D65" w14:textId="147283B2" w:rsidR="00C64304" w:rsidRPr="00554B10" w:rsidRDefault="00D270EC" w:rsidP="000B20B5">
            <w:pPr>
              <w:pStyle w:val="Tablenumbers"/>
            </w:pPr>
            <w:r>
              <w:t>..</w:t>
            </w:r>
          </w:p>
        </w:tc>
        <w:tc>
          <w:tcPr>
            <w:tcW w:w="1251" w:type="dxa"/>
            <w:shd w:val="clear" w:color="auto" w:fill="FFFFFF" w:themeFill="background1"/>
            <w:vAlign w:val="center"/>
          </w:tcPr>
          <w:p w14:paraId="033B3C79" w14:textId="26BE6C10" w:rsidR="00C64304" w:rsidRPr="00554B10" w:rsidRDefault="00D270EC" w:rsidP="000B20B5">
            <w:pPr>
              <w:pStyle w:val="Tablenumbers"/>
            </w:pPr>
            <w:r>
              <w:t>..</w:t>
            </w:r>
          </w:p>
        </w:tc>
        <w:tc>
          <w:tcPr>
            <w:tcW w:w="885" w:type="dxa"/>
            <w:shd w:val="clear" w:color="auto" w:fill="FFFFFF" w:themeFill="background1"/>
            <w:vAlign w:val="center"/>
          </w:tcPr>
          <w:p w14:paraId="05378EAD" w14:textId="4409F83A" w:rsidR="00C64304" w:rsidRPr="00554B10" w:rsidRDefault="00D270EC" w:rsidP="000B20B5">
            <w:pPr>
              <w:pStyle w:val="Tablenumbers"/>
            </w:pPr>
            <w:r>
              <w:t>..</w:t>
            </w:r>
          </w:p>
        </w:tc>
        <w:tc>
          <w:tcPr>
            <w:tcW w:w="1128" w:type="dxa"/>
            <w:shd w:val="clear" w:color="auto" w:fill="FFFFFF" w:themeFill="background1"/>
            <w:vAlign w:val="center"/>
          </w:tcPr>
          <w:p w14:paraId="0918E5E6" w14:textId="7214B137" w:rsidR="00C64304" w:rsidRPr="00554B10" w:rsidRDefault="00D270EC" w:rsidP="000B20B5">
            <w:pPr>
              <w:pStyle w:val="Tablenumbers"/>
            </w:pPr>
            <w:r>
              <w:t>..</w:t>
            </w:r>
          </w:p>
        </w:tc>
      </w:tr>
      <w:tr w:rsidR="0028162F" w:rsidRPr="00554B10" w14:paraId="45275DBA" w14:textId="77777777" w:rsidTr="00ED447C">
        <w:trPr>
          <w:trHeight w:val="256"/>
        </w:trPr>
        <w:tc>
          <w:tcPr>
            <w:tcW w:w="2693" w:type="dxa"/>
          </w:tcPr>
          <w:p w14:paraId="13B7AEBC" w14:textId="6F6F3686" w:rsidR="0028162F" w:rsidRPr="00554B10" w:rsidRDefault="0028162F" w:rsidP="000B20B5">
            <w:pPr>
              <w:pStyle w:val="TableText"/>
            </w:pPr>
            <w:r>
              <w:t>Treasury and Finance</w:t>
            </w:r>
          </w:p>
        </w:tc>
        <w:tc>
          <w:tcPr>
            <w:tcW w:w="897" w:type="dxa"/>
            <w:shd w:val="clear" w:color="auto" w:fill="FFFFFF" w:themeFill="background1"/>
            <w:vAlign w:val="center"/>
          </w:tcPr>
          <w:p w14:paraId="08B7182D" w14:textId="62D9D946" w:rsidR="0028162F" w:rsidRDefault="004233AC" w:rsidP="000B20B5">
            <w:pPr>
              <w:pStyle w:val="Tablenumbers"/>
            </w:pPr>
            <w:r>
              <w:t>..</w:t>
            </w:r>
          </w:p>
        </w:tc>
        <w:tc>
          <w:tcPr>
            <w:tcW w:w="1234" w:type="dxa"/>
            <w:shd w:val="clear" w:color="auto" w:fill="FFFFFF" w:themeFill="background1"/>
            <w:noWrap/>
            <w:vAlign w:val="center"/>
          </w:tcPr>
          <w:p w14:paraId="73271A76" w14:textId="4814672E" w:rsidR="0028162F" w:rsidRDefault="004233AC" w:rsidP="000B20B5">
            <w:pPr>
              <w:pStyle w:val="Tablenumbers"/>
            </w:pPr>
            <w:r>
              <w:t>..</w:t>
            </w:r>
          </w:p>
        </w:tc>
        <w:tc>
          <w:tcPr>
            <w:tcW w:w="897" w:type="dxa"/>
            <w:gridSpan w:val="2"/>
            <w:shd w:val="clear" w:color="auto" w:fill="FFFFFF" w:themeFill="background1"/>
            <w:vAlign w:val="center"/>
          </w:tcPr>
          <w:p w14:paraId="3E2F0FD6" w14:textId="5FBD2177" w:rsidR="0028162F" w:rsidRDefault="004233AC" w:rsidP="000B20B5">
            <w:pPr>
              <w:pStyle w:val="Tablenumbers"/>
            </w:pPr>
            <w:r>
              <w:t>..</w:t>
            </w:r>
          </w:p>
        </w:tc>
        <w:tc>
          <w:tcPr>
            <w:tcW w:w="1251" w:type="dxa"/>
            <w:shd w:val="clear" w:color="auto" w:fill="FFFFFF" w:themeFill="background1"/>
            <w:vAlign w:val="center"/>
          </w:tcPr>
          <w:p w14:paraId="2E7F5F08" w14:textId="6EAF0459" w:rsidR="0028162F" w:rsidRDefault="004233AC" w:rsidP="000B20B5">
            <w:pPr>
              <w:pStyle w:val="Tablenumbers"/>
            </w:pPr>
            <w:r>
              <w:t>..</w:t>
            </w:r>
          </w:p>
        </w:tc>
        <w:tc>
          <w:tcPr>
            <w:tcW w:w="885" w:type="dxa"/>
            <w:shd w:val="clear" w:color="auto" w:fill="FFFFFF" w:themeFill="background1"/>
            <w:vAlign w:val="center"/>
          </w:tcPr>
          <w:p w14:paraId="676D8B06" w14:textId="728D6147" w:rsidR="0028162F" w:rsidRDefault="004233AC" w:rsidP="000B20B5">
            <w:pPr>
              <w:pStyle w:val="Tablenumbers"/>
            </w:pPr>
            <w:r>
              <w:t>..</w:t>
            </w:r>
          </w:p>
        </w:tc>
        <w:tc>
          <w:tcPr>
            <w:tcW w:w="1128" w:type="dxa"/>
            <w:shd w:val="clear" w:color="auto" w:fill="FFFFFF" w:themeFill="background1"/>
            <w:vAlign w:val="center"/>
          </w:tcPr>
          <w:p w14:paraId="707B4C34" w14:textId="22F0271C" w:rsidR="0028162F" w:rsidRDefault="004233AC" w:rsidP="000B20B5">
            <w:pPr>
              <w:pStyle w:val="Tablenumbers"/>
            </w:pPr>
            <w:r>
              <w:t>..</w:t>
            </w:r>
          </w:p>
        </w:tc>
      </w:tr>
      <w:tr w:rsidR="00D270EC" w:rsidRPr="00554B10" w14:paraId="09EB7D30" w14:textId="1B384E19" w:rsidTr="00ED447C">
        <w:trPr>
          <w:trHeight w:val="256"/>
        </w:trPr>
        <w:tc>
          <w:tcPr>
            <w:tcW w:w="2693" w:type="dxa"/>
          </w:tcPr>
          <w:p w14:paraId="734C323F" w14:textId="77777777" w:rsidR="006F51F7" w:rsidRPr="00554B10" w:rsidRDefault="006F51F7" w:rsidP="006F51F7">
            <w:pPr>
              <w:rPr>
                <w:rFonts w:asciiTheme="majorHAnsi" w:hAnsiTheme="majorHAnsi" w:cstheme="majorHAnsi"/>
                <w:bCs/>
                <w:color w:val="000000"/>
                <w:sz w:val="20"/>
                <w:szCs w:val="20"/>
              </w:rPr>
            </w:pPr>
            <w:r w:rsidRPr="00554B10">
              <w:rPr>
                <w:rFonts w:asciiTheme="majorHAnsi" w:hAnsiTheme="majorHAnsi" w:cstheme="majorHAnsi"/>
                <w:bCs/>
                <w:color w:val="000000"/>
                <w:sz w:val="20"/>
                <w:szCs w:val="20"/>
              </w:rPr>
              <w:t>Cenitex</w:t>
            </w:r>
          </w:p>
        </w:tc>
        <w:tc>
          <w:tcPr>
            <w:tcW w:w="897" w:type="dxa"/>
            <w:shd w:val="clear" w:color="auto" w:fill="FFFFFF" w:themeFill="background1"/>
            <w:vAlign w:val="center"/>
          </w:tcPr>
          <w:p w14:paraId="4D3091A6" w14:textId="2CE2543C" w:rsidR="006F51F7" w:rsidRPr="00554B10" w:rsidRDefault="006F51F7" w:rsidP="000B20B5">
            <w:pPr>
              <w:pStyle w:val="Tablenumbers"/>
            </w:pPr>
            <w:r>
              <w:t>4</w:t>
            </w:r>
          </w:p>
        </w:tc>
        <w:tc>
          <w:tcPr>
            <w:tcW w:w="1234" w:type="dxa"/>
            <w:shd w:val="clear" w:color="auto" w:fill="FFFFFF" w:themeFill="background1"/>
            <w:noWrap/>
            <w:vAlign w:val="center"/>
          </w:tcPr>
          <w:p w14:paraId="5B506365" w14:textId="75F6EDCB" w:rsidR="006F51F7" w:rsidRPr="00554B10" w:rsidRDefault="00AA7838" w:rsidP="000B20B5">
            <w:pPr>
              <w:pStyle w:val="Tablenumbers"/>
            </w:pPr>
            <w:r>
              <w:t>$</w:t>
            </w:r>
            <w:r w:rsidR="006F51F7">
              <w:t>0.4</w:t>
            </w:r>
          </w:p>
        </w:tc>
        <w:tc>
          <w:tcPr>
            <w:tcW w:w="897" w:type="dxa"/>
            <w:gridSpan w:val="2"/>
            <w:shd w:val="clear" w:color="auto" w:fill="FFFFFF" w:themeFill="background1"/>
            <w:vAlign w:val="center"/>
          </w:tcPr>
          <w:p w14:paraId="132A0094" w14:textId="6ED65DEA" w:rsidR="006F51F7" w:rsidRDefault="00D270EC" w:rsidP="000B20B5">
            <w:pPr>
              <w:pStyle w:val="Tablenumbers"/>
            </w:pPr>
            <w:r>
              <w:t>..</w:t>
            </w:r>
          </w:p>
        </w:tc>
        <w:tc>
          <w:tcPr>
            <w:tcW w:w="1251" w:type="dxa"/>
            <w:shd w:val="clear" w:color="auto" w:fill="FFFFFF" w:themeFill="background1"/>
            <w:vAlign w:val="center"/>
          </w:tcPr>
          <w:p w14:paraId="4D64DF25" w14:textId="495CA320" w:rsidR="006F51F7" w:rsidRDefault="00D270EC" w:rsidP="000B20B5">
            <w:pPr>
              <w:pStyle w:val="Tablenumbers"/>
            </w:pPr>
            <w:r>
              <w:t>..</w:t>
            </w:r>
          </w:p>
        </w:tc>
        <w:tc>
          <w:tcPr>
            <w:tcW w:w="885" w:type="dxa"/>
            <w:shd w:val="clear" w:color="auto" w:fill="FFFFFF" w:themeFill="background1"/>
            <w:vAlign w:val="center"/>
          </w:tcPr>
          <w:p w14:paraId="452A3F3C" w14:textId="27E24C62" w:rsidR="006F51F7" w:rsidRDefault="00D270EC" w:rsidP="000B20B5">
            <w:pPr>
              <w:pStyle w:val="Tablenumbers"/>
            </w:pPr>
            <w:r>
              <w:t>..</w:t>
            </w:r>
          </w:p>
        </w:tc>
        <w:tc>
          <w:tcPr>
            <w:tcW w:w="1128" w:type="dxa"/>
            <w:shd w:val="clear" w:color="auto" w:fill="FFFFFF" w:themeFill="background1"/>
            <w:vAlign w:val="center"/>
          </w:tcPr>
          <w:p w14:paraId="5A18C8A2" w14:textId="1C5BE0FC" w:rsidR="006F51F7" w:rsidRDefault="00D270EC" w:rsidP="000B20B5">
            <w:pPr>
              <w:pStyle w:val="Tablenumbers"/>
            </w:pPr>
            <w:r>
              <w:t>..</w:t>
            </w:r>
          </w:p>
        </w:tc>
      </w:tr>
      <w:tr w:rsidR="00D270EC" w:rsidRPr="00554B10" w14:paraId="080D79CB" w14:textId="03D5C77F" w:rsidTr="00ED447C">
        <w:trPr>
          <w:trHeight w:val="256"/>
        </w:trPr>
        <w:tc>
          <w:tcPr>
            <w:tcW w:w="2693" w:type="dxa"/>
          </w:tcPr>
          <w:p w14:paraId="2A2E5675" w14:textId="77777777" w:rsidR="00C64304" w:rsidRPr="00554B10" w:rsidRDefault="00C64304" w:rsidP="00C64304">
            <w:pPr>
              <w:rPr>
                <w:rFonts w:asciiTheme="majorHAnsi" w:hAnsiTheme="majorHAnsi" w:cstheme="majorHAnsi"/>
                <w:bCs/>
                <w:color w:val="000000"/>
                <w:sz w:val="20"/>
                <w:szCs w:val="20"/>
              </w:rPr>
            </w:pPr>
            <w:r w:rsidRPr="00554B10">
              <w:rPr>
                <w:rFonts w:asciiTheme="majorHAnsi" w:hAnsiTheme="majorHAnsi" w:cstheme="majorHAnsi"/>
                <w:bCs/>
                <w:color w:val="000000"/>
                <w:sz w:val="20"/>
                <w:szCs w:val="20"/>
              </w:rPr>
              <w:t>Victoria Police</w:t>
            </w:r>
          </w:p>
        </w:tc>
        <w:tc>
          <w:tcPr>
            <w:tcW w:w="897" w:type="dxa"/>
            <w:shd w:val="clear" w:color="auto" w:fill="FFFFFF" w:themeFill="background1"/>
            <w:vAlign w:val="center"/>
          </w:tcPr>
          <w:p w14:paraId="4EB78CF0" w14:textId="61CA9E59" w:rsidR="00C64304" w:rsidRPr="00554B10" w:rsidRDefault="00AA7838" w:rsidP="000B20B5">
            <w:pPr>
              <w:pStyle w:val="Tablenumbers"/>
            </w:pPr>
            <w:r>
              <w:t>36</w:t>
            </w:r>
          </w:p>
        </w:tc>
        <w:tc>
          <w:tcPr>
            <w:tcW w:w="1234" w:type="dxa"/>
            <w:shd w:val="clear" w:color="auto" w:fill="FFFFFF" w:themeFill="background1"/>
            <w:noWrap/>
            <w:vAlign w:val="center"/>
          </w:tcPr>
          <w:p w14:paraId="72A6A322" w14:textId="058B473C" w:rsidR="00C64304" w:rsidRPr="00554B10" w:rsidRDefault="00C64304" w:rsidP="000B20B5">
            <w:pPr>
              <w:pStyle w:val="Tablenumbers"/>
            </w:pPr>
            <w:r>
              <w:t>$</w:t>
            </w:r>
            <w:r w:rsidR="00AA7838">
              <w:t>18.1</w:t>
            </w:r>
          </w:p>
        </w:tc>
        <w:tc>
          <w:tcPr>
            <w:tcW w:w="897" w:type="dxa"/>
            <w:gridSpan w:val="2"/>
            <w:shd w:val="clear" w:color="auto" w:fill="FFFFFF" w:themeFill="background1"/>
            <w:vAlign w:val="center"/>
          </w:tcPr>
          <w:p w14:paraId="47E2979D" w14:textId="3552F30A" w:rsidR="00C64304" w:rsidRPr="00554B10" w:rsidRDefault="00D270EC" w:rsidP="000B20B5">
            <w:pPr>
              <w:pStyle w:val="Tablenumbers"/>
            </w:pPr>
            <w:r>
              <w:t>..</w:t>
            </w:r>
          </w:p>
        </w:tc>
        <w:tc>
          <w:tcPr>
            <w:tcW w:w="1251" w:type="dxa"/>
            <w:shd w:val="clear" w:color="auto" w:fill="FFFFFF" w:themeFill="background1"/>
            <w:vAlign w:val="center"/>
          </w:tcPr>
          <w:p w14:paraId="5ADF4C22" w14:textId="768F3098" w:rsidR="00C64304" w:rsidRPr="00554B10" w:rsidRDefault="00D270EC" w:rsidP="000B20B5">
            <w:pPr>
              <w:pStyle w:val="Tablenumbers"/>
            </w:pPr>
            <w:r>
              <w:t>..</w:t>
            </w:r>
          </w:p>
        </w:tc>
        <w:tc>
          <w:tcPr>
            <w:tcW w:w="885" w:type="dxa"/>
            <w:shd w:val="clear" w:color="auto" w:fill="FFFFFF" w:themeFill="background1"/>
            <w:vAlign w:val="center"/>
          </w:tcPr>
          <w:p w14:paraId="2F341652" w14:textId="63CDB89E" w:rsidR="00C64304" w:rsidRPr="00554B10" w:rsidRDefault="00D270EC" w:rsidP="000B20B5">
            <w:pPr>
              <w:pStyle w:val="Tablenumbers"/>
            </w:pPr>
            <w:r>
              <w:t>..</w:t>
            </w:r>
          </w:p>
        </w:tc>
        <w:tc>
          <w:tcPr>
            <w:tcW w:w="1128" w:type="dxa"/>
            <w:shd w:val="clear" w:color="auto" w:fill="FFFFFF" w:themeFill="background1"/>
            <w:vAlign w:val="center"/>
          </w:tcPr>
          <w:p w14:paraId="3B53020B" w14:textId="6AF01FBE" w:rsidR="00C64304" w:rsidRPr="00554B10" w:rsidRDefault="00D270EC" w:rsidP="000B20B5">
            <w:pPr>
              <w:pStyle w:val="Tablenumbers"/>
            </w:pPr>
            <w:r>
              <w:t>..</w:t>
            </w:r>
          </w:p>
        </w:tc>
      </w:tr>
      <w:tr w:rsidR="00D270EC" w:rsidRPr="000B20B5" w14:paraId="77A8A456" w14:textId="7A822E98" w:rsidTr="00ED447C">
        <w:trPr>
          <w:trHeight w:val="256"/>
        </w:trPr>
        <w:tc>
          <w:tcPr>
            <w:tcW w:w="2693" w:type="dxa"/>
          </w:tcPr>
          <w:p w14:paraId="0806095C" w14:textId="77777777" w:rsidR="00C64304" w:rsidRPr="000B20B5" w:rsidRDefault="00C64304" w:rsidP="00ED447C">
            <w:pPr>
              <w:pStyle w:val="TableText"/>
              <w:rPr>
                <w:rStyle w:val="Strong"/>
              </w:rPr>
            </w:pPr>
            <w:r w:rsidRPr="000B20B5">
              <w:rPr>
                <w:rStyle w:val="Strong"/>
              </w:rPr>
              <w:t>Total</w:t>
            </w:r>
          </w:p>
        </w:tc>
        <w:tc>
          <w:tcPr>
            <w:tcW w:w="897" w:type="dxa"/>
            <w:vAlign w:val="center"/>
          </w:tcPr>
          <w:p w14:paraId="6AA1D321" w14:textId="0312A2B7" w:rsidR="00C64304" w:rsidRPr="000B20B5" w:rsidRDefault="00AA7838" w:rsidP="000B20B5">
            <w:pPr>
              <w:pStyle w:val="Tablenumbers"/>
              <w:rPr>
                <w:rStyle w:val="Strong"/>
              </w:rPr>
            </w:pPr>
            <w:r w:rsidRPr="000B20B5">
              <w:rPr>
                <w:rStyle w:val="Strong"/>
              </w:rPr>
              <w:t>5</w:t>
            </w:r>
            <w:r w:rsidR="00EC64FC" w:rsidRPr="000B20B5">
              <w:rPr>
                <w:rStyle w:val="Strong"/>
              </w:rPr>
              <w:t>19</w:t>
            </w:r>
          </w:p>
        </w:tc>
        <w:tc>
          <w:tcPr>
            <w:tcW w:w="1234" w:type="dxa"/>
            <w:noWrap/>
            <w:vAlign w:val="center"/>
          </w:tcPr>
          <w:p w14:paraId="5D2D887B" w14:textId="2C462774" w:rsidR="00C64304" w:rsidRPr="000B20B5" w:rsidRDefault="00C64304" w:rsidP="000B20B5">
            <w:pPr>
              <w:pStyle w:val="Tablenumbers"/>
              <w:rPr>
                <w:rStyle w:val="Strong"/>
              </w:rPr>
            </w:pPr>
            <w:r w:rsidRPr="000B20B5">
              <w:rPr>
                <w:rStyle w:val="Strong"/>
              </w:rPr>
              <w:t>$</w:t>
            </w:r>
            <w:r w:rsidR="00EE5B77" w:rsidRPr="000B20B5">
              <w:rPr>
                <w:rStyle w:val="Strong"/>
              </w:rPr>
              <w:t>255.7</w:t>
            </w:r>
          </w:p>
        </w:tc>
        <w:tc>
          <w:tcPr>
            <w:tcW w:w="897" w:type="dxa"/>
            <w:gridSpan w:val="2"/>
            <w:vAlign w:val="center"/>
          </w:tcPr>
          <w:p w14:paraId="041EB207" w14:textId="0C678C1B" w:rsidR="00C64304" w:rsidRPr="000B20B5" w:rsidRDefault="00C64304" w:rsidP="000B20B5">
            <w:pPr>
              <w:pStyle w:val="Tablenumbers"/>
              <w:rPr>
                <w:rStyle w:val="Strong"/>
              </w:rPr>
            </w:pPr>
            <w:r w:rsidRPr="000B20B5">
              <w:rPr>
                <w:rStyle w:val="Strong"/>
              </w:rPr>
              <w:t>5</w:t>
            </w:r>
            <w:r w:rsidR="00EC64FC" w:rsidRPr="000B20B5">
              <w:rPr>
                <w:rStyle w:val="Strong"/>
              </w:rPr>
              <w:t>1</w:t>
            </w:r>
          </w:p>
        </w:tc>
        <w:tc>
          <w:tcPr>
            <w:tcW w:w="1251" w:type="dxa"/>
            <w:vAlign w:val="center"/>
          </w:tcPr>
          <w:p w14:paraId="28A062FA" w14:textId="0FB196E3" w:rsidR="00C64304" w:rsidRPr="000B20B5" w:rsidRDefault="00C64304" w:rsidP="000B20B5">
            <w:pPr>
              <w:pStyle w:val="Tablenumbers"/>
              <w:rPr>
                <w:rStyle w:val="Strong"/>
              </w:rPr>
            </w:pPr>
            <w:r w:rsidRPr="000B20B5">
              <w:rPr>
                <w:rStyle w:val="Strong"/>
              </w:rPr>
              <w:t>$</w:t>
            </w:r>
            <w:r w:rsidR="00EC64FC" w:rsidRPr="000B20B5">
              <w:rPr>
                <w:rStyle w:val="Strong"/>
              </w:rPr>
              <w:t>27.5</w:t>
            </w:r>
          </w:p>
        </w:tc>
        <w:tc>
          <w:tcPr>
            <w:tcW w:w="885" w:type="dxa"/>
            <w:shd w:val="clear" w:color="auto" w:fill="FFFFFF" w:themeFill="background1"/>
            <w:vAlign w:val="center"/>
          </w:tcPr>
          <w:p w14:paraId="19BC1BC6" w14:textId="4E2DDF72" w:rsidR="00C64304" w:rsidRPr="000B20B5" w:rsidRDefault="00C64304" w:rsidP="000B20B5">
            <w:pPr>
              <w:pStyle w:val="Tablenumbers"/>
              <w:rPr>
                <w:rStyle w:val="Strong"/>
              </w:rPr>
            </w:pPr>
            <w:r w:rsidRPr="000B20B5">
              <w:rPr>
                <w:rStyle w:val="Strong"/>
              </w:rPr>
              <w:t>1</w:t>
            </w:r>
          </w:p>
        </w:tc>
        <w:tc>
          <w:tcPr>
            <w:tcW w:w="1128" w:type="dxa"/>
            <w:shd w:val="clear" w:color="auto" w:fill="FFFFFF" w:themeFill="background1"/>
            <w:vAlign w:val="center"/>
          </w:tcPr>
          <w:p w14:paraId="6F426BCF" w14:textId="7AE1DD76" w:rsidR="00C64304" w:rsidRPr="000B20B5" w:rsidRDefault="00C64304" w:rsidP="000B20B5">
            <w:pPr>
              <w:pStyle w:val="Tablenumbers"/>
              <w:rPr>
                <w:rStyle w:val="Strong"/>
              </w:rPr>
            </w:pPr>
            <w:r w:rsidRPr="000B20B5">
              <w:rPr>
                <w:rStyle w:val="Strong"/>
              </w:rPr>
              <w:t>$2.2</w:t>
            </w:r>
          </w:p>
        </w:tc>
      </w:tr>
    </w:tbl>
    <w:p w14:paraId="6E22E56C" w14:textId="0999519C" w:rsidR="006841E8" w:rsidRDefault="006841E8" w:rsidP="006841E8">
      <w:pPr>
        <w:pStyle w:val="Tablenotes"/>
      </w:pPr>
      <w:r w:rsidRPr="000019EF">
        <w:t>Note</w:t>
      </w:r>
      <w:r w:rsidR="00023C07">
        <w:t>s</w:t>
      </w:r>
      <w:r w:rsidRPr="000019EF">
        <w:t>: Discrepancies between totals and sums of totals reflect rounding.</w:t>
      </w:r>
    </w:p>
    <w:p w14:paraId="5236C6FF" w14:textId="1EC41A05" w:rsidR="00023C07" w:rsidRDefault="00023C07" w:rsidP="00023C07">
      <w:pPr>
        <w:pStyle w:val="Tablenotes"/>
      </w:pPr>
      <w:r w:rsidRPr="009117E3">
        <w:t>*</w:t>
      </w:r>
      <w:r>
        <w:t xml:space="preserve"> </w:t>
      </w:r>
      <w:r w:rsidR="00A00449" w:rsidRPr="002A1E3B">
        <w:t xml:space="preserve">Contract value </w:t>
      </w:r>
      <w:r w:rsidR="00A00449">
        <w:t>exc</w:t>
      </w:r>
      <w:r w:rsidR="00A00449" w:rsidRPr="002A1E3B">
        <w:t>lude</w:t>
      </w:r>
      <w:r w:rsidR="00A00449">
        <w:t>s</w:t>
      </w:r>
      <w:r w:rsidR="00A00449" w:rsidRPr="002A1E3B">
        <w:t xml:space="preserve"> contracts</w:t>
      </w:r>
      <w:r w:rsidR="00A00449">
        <w:t xml:space="preserve"> where value is still to be finalis</w:t>
      </w:r>
      <w:r w:rsidR="00A00449" w:rsidRPr="002A1E3B">
        <w:t>ed.</w:t>
      </w:r>
    </w:p>
    <w:p w14:paraId="35BB4FD1" w14:textId="06EA3994" w:rsidR="00C64304" w:rsidRDefault="00C64304" w:rsidP="00C64304">
      <w:pPr>
        <w:pStyle w:val="Normal1"/>
        <w:rPr>
          <w:lang w:eastAsia="en-US"/>
        </w:rPr>
      </w:pPr>
      <w:r>
        <w:rPr>
          <w:lang w:eastAsia="en-US"/>
        </w:rPr>
        <w:t xml:space="preserve">Bushfire contract approvals related to procurements </w:t>
      </w:r>
      <w:r w:rsidR="00D270EC">
        <w:rPr>
          <w:lang w:eastAsia="en-US"/>
        </w:rPr>
        <w:t xml:space="preserve">for goods and services </w:t>
      </w:r>
      <w:r>
        <w:rPr>
          <w:lang w:eastAsia="en-US"/>
        </w:rPr>
        <w:t>such as:</w:t>
      </w:r>
    </w:p>
    <w:p w14:paraId="46A81366" w14:textId="623D1067" w:rsidR="00C64304" w:rsidRDefault="00C64304" w:rsidP="00C64304">
      <w:pPr>
        <w:pStyle w:val="Bullet1"/>
        <w:rPr>
          <w:lang w:eastAsia="en-US"/>
        </w:rPr>
      </w:pPr>
      <w:r>
        <w:t>equipment and machinery hire and lease;</w:t>
      </w:r>
    </w:p>
    <w:p w14:paraId="5BAB386E" w14:textId="6E0E3FC8" w:rsidR="002F76FC" w:rsidRDefault="002F76FC" w:rsidP="00C64304">
      <w:pPr>
        <w:pStyle w:val="Bullet1"/>
        <w:rPr>
          <w:lang w:eastAsia="en-US"/>
        </w:rPr>
      </w:pPr>
      <w:r>
        <w:t>clean-up;</w:t>
      </w:r>
    </w:p>
    <w:p w14:paraId="40D4A09E" w14:textId="3ABB8158" w:rsidR="00C64304" w:rsidRDefault="00C64304" w:rsidP="00C64304">
      <w:pPr>
        <w:pStyle w:val="Bullet1"/>
        <w:rPr>
          <w:lang w:eastAsia="en-US"/>
        </w:rPr>
      </w:pPr>
      <w:r>
        <w:t>accommodation;</w:t>
      </w:r>
    </w:p>
    <w:p w14:paraId="17A89DD4" w14:textId="1A076AA8" w:rsidR="00C64304" w:rsidRDefault="00C64304" w:rsidP="00C64304">
      <w:pPr>
        <w:pStyle w:val="Bullet1"/>
        <w:rPr>
          <w:lang w:eastAsia="en-US"/>
        </w:rPr>
      </w:pPr>
      <w:r>
        <w:t>a</w:t>
      </w:r>
      <w:r w:rsidRPr="00582862">
        <w:t xml:space="preserve">dmin </w:t>
      </w:r>
      <w:r>
        <w:t>s</w:t>
      </w:r>
      <w:r w:rsidRPr="00582862">
        <w:t>taff</w:t>
      </w:r>
      <w:r>
        <w:t xml:space="preserve"> to run the</w:t>
      </w:r>
      <w:r w:rsidRPr="00582862">
        <w:t xml:space="preserve"> Personal Hardship Assistance Program Emergency Line</w:t>
      </w:r>
      <w:r>
        <w:t>; and</w:t>
      </w:r>
    </w:p>
    <w:p w14:paraId="426CF197" w14:textId="319727F5" w:rsidR="00C64304" w:rsidRDefault="002F76FC" w:rsidP="00C64304">
      <w:pPr>
        <w:pStyle w:val="Bullet1"/>
        <w:rPr>
          <w:lang w:eastAsia="en-US"/>
        </w:rPr>
      </w:pPr>
      <w:r>
        <w:t>recovery services</w:t>
      </w:r>
      <w:r w:rsidR="00C64304">
        <w:t>.</w:t>
      </w:r>
    </w:p>
    <w:p w14:paraId="34392AE8" w14:textId="2AF62B27" w:rsidR="00C64304" w:rsidRDefault="00C64304" w:rsidP="00C64304">
      <w:pPr>
        <w:pStyle w:val="Bullet1"/>
        <w:numPr>
          <w:ilvl w:val="0"/>
          <w:numId w:val="0"/>
        </w:numPr>
        <w:ind w:left="1077" w:hanging="283"/>
      </w:pPr>
      <w:r>
        <w:t>COVID</w:t>
      </w:r>
      <w:r w:rsidR="00BD1CD2">
        <w:t xml:space="preserve">-19 </w:t>
      </w:r>
      <w:r>
        <w:t xml:space="preserve">related </w:t>
      </w:r>
      <w:r>
        <w:rPr>
          <w:lang w:eastAsia="en-US"/>
        </w:rPr>
        <w:t xml:space="preserve">contract approvals related to procurements </w:t>
      </w:r>
      <w:r w:rsidR="00D270EC">
        <w:rPr>
          <w:lang w:eastAsia="en-US"/>
        </w:rPr>
        <w:t xml:space="preserve">for goods and services </w:t>
      </w:r>
      <w:r>
        <w:rPr>
          <w:lang w:eastAsia="en-US"/>
        </w:rPr>
        <w:t>such as</w:t>
      </w:r>
      <w:r>
        <w:t>:</w:t>
      </w:r>
    </w:p>
    <w:p w14:paraId="4753D15A" w14:textId="0C230C84" w:rsidR="00C64304" w:rsidRDefault="00C64304" w:rsidP="00C64304">
      <w:pPr>
        <w:pStyle w:val="Bullet1"/>
        <w:rPr>
          <w:lang w:eastAsia="en-US"/>
        </w:rPr>
      </w:pPr>
      <w:r>
        <w:rPr>
          <w:lang w:eastAsia="en-US"/>
        </w:rPr>
        <w:t>supporting remote working arrangements;</w:t>
      </w:r>
    </w:p>
    <w:p w14:paraId="37A3CF0A" w14:textId="42247C76" w:rsidR="00C64304" w:rsidRDefault="00C64304" w:rsidP="00C64304">
      <w:pPr>
        <w:pStyle w:val="Bullet1"/>
        <w:rPr>
          <w:lang w:eastAsia="en-US"/>
        </w:rPr>
      </w:pPr>
      <w:r>
        <w:rPr>
          <w:lang w:eastAsia="en-US"/>
        </w:rPr>
        <w:t>personal protective equipment and deep cleaning;</w:t>
      </w:r>
    </w:p>
    <w:p w14:paraId="54FF3DB2" w14:textId="2E26AF44" w:rsidR="00C64304" w:rsidRDefault="00C64304" w:rsidP="00C64304">
      <w:pPr>
        <w:pStyle w:val="Bullet1"/>
        <w:rPr>
          <w:lang w:eastAsia="en-US"/>
        </w:rPr>
      </w:pPr>
      <w:r>
        <w:rPr>
          <w:lang w:eastAsia="en-US"/>
        </w:rPr>
        <w:t>testing and contract tracing services;</w:t>
      </w:r>
    </w:p>
    <w:p w14:paraId="7E1ACF39" w14:textId="5FABE6E3" w:rsidR="00C64304" w:rsidRDefault="00C64304" w:rsidP="00C64304">
      <w:pPr>
        <w:pStyle w:val="Bullet1"/>
        <w:rPr>
          <w:lang w:eastAsia="en-US"/>
        </w:rPr>
      </w:pPr>
      <w:r>
        <w:rPr>
          <w:lang w:eastAsia="en-US"/>
        </w:rPr>
        <w:t>supporting frontline</w:t>
      </w:r>
      <w:r w:rsidR="000A22CD">
        <w:rPr>
          <w:lang w:eastAsia="en-US"/>
        </w:rPr>
        <w:t xml:space="preserve"> and other </w:t>
      </w:r>
      <w:r w:rsidR="007A68AE">
        <w:rPr>
          <w:lang w:eastAsia="en-US"/>
        </w:rPr>
        <w:t>COVID</w:t>
      </w:r>
      <w:r w:rsidR="00BD1CD2">
        <w:rPr>
          <w:lang w:eastAsia="en-US"/>
        </w:rPr>
        <w:t>-19</w:t>
      </w:r>
      <w:r w:rsidR="007A68AE">
        <w:rPr>
          <w:lang w:eastAsia="en-US"/>
        </w:rPr>
        <w:t xml:space="preserve"> workers</w:t>
      </w:r>
      <w:r>
        <w:rPr>
          <w:lang w:eastAsia="en-US"/>
        </w:rPr>
        <w:t>;</w:t>
      </w:r>
      <w:r w:rsidR="007A68AE">
        <w:rPr>
          <w:lang w:eastAsia="en-US"/>
        </w:rPr>
        <w:t xml:space="preserve"> and</w:t>
      </w:r>
    </w:p>
    <w:p w14:paraId="31C65481" w14:textId="29A3AC7B" w:rsidR="00C64304" w:rsidRDefault="00C64304" w:rsidP="007A68AE">
      <w:pPr>
        <w:pStyle w:val="Bullet1"/>
        <w:rPr>
          <w:lang w:eastAsia="en-US"/>
        </w:rPr>
      </w:pPr>
      <w:r>
        <w:rPr>
          <w:lang w:eastAsia="en-US"/>
        </w:rPr>
        <w:t>managing quarantine arrangements</w:t>
      </w:r>
      <w:r w:rsidR="007A68AE">
        <w:rPr>
          <w:lang w:eastAsia="en-US"/>
        </w:rPr>
        <w:t>.</w:t>
      </w:r>
    </w:p>
    <w:p w14:paraId="1B54CC38" w14:textId="77777777" w:rsidR="009C03B3" w:rsidRDefault="009C03B3">
      <w:pPr>
        <w:rPr>
          <w:rFonts w:ascii="Calibri" w:hAnsi="Calibri" w:cs="Calibri"/>
          <w:b/>
          <w:color w:val="4D4D4D"/>
          <w:kern w:val="28"/>
          <w:sz w:val="26"/>
          <w:szCs w:val="22"/>
          <w:lang w:eastAsia="en-US"/>
        </w:rPr>
      </w:pPr>
      <w:r>
        <w:br w:type="page"/>
      </w:r>
    </w:p>
    <w:p w14:paraId="26C97A4D" w14:textId="69D13E6D" w:rsidR="006B6D44" w:rsidRDefault="006B6D44" w:rsidP="006B6D44">
      <w:pPr>
        <w:pStyle w:val="Heading3NoNum"/>
      </w:pPr>
      <w:r>
        <w:lastRenderedPageBreak/>
        <w:t>Responding to COVID-19</w:t>
      </w:r>
    </w:p>
    <w:p w14:paraId="1A659765" w14:textId="66A8CBA4" w:rsidR="006B6D44" w:rsidRPr="006B6D44" w:rsidRDefault="006B6D44" w:rsidP="006B6D44">
      <w:pPr>
        <w:pStyle w:val="Normal1"/>
        <w:rPr>
          <w:lang w:eastAsia="en-US"/>
        </w:rPr>
      </w:pPr>
      <w:r>
        <w:rPr>
          <w:lang w:eastAsia="en-US"/>
        </w:rPr>
        <w:t xml:space="preserve">For many organisations, it was the first time they had procured goods and services under the critical incident procurement protocol. </w:t>
      </w:r>
      <w:r w:rsidR="000F72AB">
        <w:rPr>
          <w:lang w:eastAsia="en-US"/>
        </w:rPr>
        <w:t xml:space="preserve">Here are two examples of how organisations </w:t>
      </w:r>
      <w:r w:rsidR="003F6EC5">
        <w:rPr>
          <w:lang w:eastAsia="en-US"/>
        </w:rPr>
        <w:t xml:space="preserve">were able to </w:t>
      </w:r>
      <w:r w:rsidR="000F72AB">
        <w:rPr>
          <w:lang w:eastAsia="en-US"/>
        </w:rPr>
        <w:t>respond during COVID-19.</w:t>
      </w:r>
    </w:p>
    <w:p w14:paraId="466DB2BE" w14:textId="749943B8" w:rsidR="006B6D44" w:rsidRPr="00093156" w:rsidRDefault="006B6D44" w:rsidP="006B6D44">
      <w:pPr>
        <w:pStyle w:val="Caption"/>
        <w:pBdr>
          <w:top w:val="single" w:sz="4" w:space="1" w:color="auto"/>
          <w:bottom w:val="single" w:sz="4" w:space="1" w:color="auto"/>
        </w:pBdr>
      </w:pPr>
      <w:r w:rsidRPr="00093156">
        <w:t>Case study: Keeping passengers and probity safe during a pandemic</w:t>
      </w:r>
    </w:p>
    <w:p w14:paraId="796EED93" w14:textId="28BED4FF" w:rsidR="006B6D44" w:rsidRPr="00093156" w:rsidRDefault="006B6D44" w:rsidP="006B6D44">
      <w:pPr>
        <w:pStyle w:val="Normal1"/>
        <w:pBdr>
          <w:top w:val="single" w:sz="4" w:space="1" w:color="auto"/>
          <w:bottom w:val="single" w:sz="4" w:space="1" w:color="auto"/>
        </w:pBdr>
      </w:pPr>
      <w:r w:rsidRPr="00093156">
        <w:t>To help keep passengers safe during COVID-19, the Department of Transport installed hand sanitiser stations at train stations and tram stops in preparation for a full return to passenger services of public transport.</w:t>
      </w:r>
    </w:p>
    <w:p w14:paraId="2F9D1657" w14:textId="3BFDFFB9" w:rsidR="006B6D44" w:rsidRPr="00093156" w:rsidRDefault="006B6D44" w:rsidP="006B6D44">
      <w:pPr>
        <w:pStyle w:val="Normal1"/>
        <w:pBdr>
          <w:top w:val="single" w:sz="4" w:space="1" w:color="auto"/>
          <w:bottom w:val="single" w:sz="4" w:space="1" w:color="auto"/>
        </w:pBdr>
      </w:pPr>
      <w:r w:rsidRPr="00093156">
        <w:t>The department wanted to find a supplier that could provide both ‘touchless’ hand sanitiser dispensers and regular top ups of the hand sanitiser liquid for at least six months at 370 locations.</w:t>
      </w:r>
    </w:p>
    <w:p w14:paraId="386EDDD9" w14:textId="1A4821D1" w:rsidR="006B6D44" w:rsidRPr="00093156" w:rsidRDefault="006B6D44" w:rsidP="006B6D44">
      <w:pPr>
        <w:pStyle w:val="Normal1"/>
        <w:pBdr>
          <w:top w:val="single" w:sz="4" w:space="1" w:color="auto"/>
          <w:bottom w:val="single" w:sz="4" w:space="1" w:color="auto"/>
        </w:pBdr>
      </w:pPr>
      <w:r w:rsidRPr="00093156">
        <w:t>Transport’s procurement team led the market approach and ran a full quotation process within 12 business days, including negotiations, best and final offer, internal approvals and contract execution.</w:t>
      </w:r>
    </w:p>
    <w:p w14:paraId="1041AA4C" w14:textId="77777777" w:rsidR="006B6D44" w:rsidRPr="00A81CD7" w:rsidRDefault="006B6D44" w:rsidP="006B6D44">
      <w:pPr>
        <w:pStyle w:val="Normal1"/>
        <w:pBdr>
          <w:top w:val="single" w:sz="4" w:space="1" w:color="auto"/>
          <w:bottom w:val="single" w:sz="4" w:space="1" w:color="auto"/>
        </w:pBdr>
      </w:pPr>
      <w:r w:rsidRPr="00093156">
        <w:t>The team liaised with various departments to identify the best commercial outcome throughout the process, driving a value-for-money solution while upholding probity principles.</w:t>
      </w:r>
    </w:p>
    <w:p w14:paraId="422EDEA1" w14:textId="583191D4" w:rsidR="006B6D44" w:rsidRPr="00D67639" w:rsidRDefault="006B6D44" w:rsidP="006B6D44">
      <w:pPr>
        <w:pStyle w:val="Normal1"/>
        <w:rPr>
          <w:rStyle w:val="Strong"/>
        </w:rPr>
      </w:pPr>
      <w:r w:rsidRPr="00D67639">
        <w:rPr>
          <w:rStyle w:val="Strong"/>
        </w:rPr>
        <w:t xml:space="preserve">Case study: </w:t>
      </w:r>
      <w:r w:rsidR="00E01C75">
        <w:rPr>
          <w:rStyle w:val="Strong"/>
        </w:rPr>
        <w:t>Supporting staff to work remotely</w:t>
      </w:r>
      <w:r w:rsidR="00E01C75" w:rsidRPr="00E01C75">
        <w:rPr>
          <w:rStyle w:val="Strong"/>
        </w:rPr>
        <w:t xml:space="preserve"> </w:t>
      </w:r>
      <w:r w:rsidR="00E01C75">
        <w:rPr>
          <w:rStyle w:val="Strong"/>
        </w:rPr>
        <w:t>during COVID</w:t>
      </w:r>
      <w:r w:rsidR="00BD1CD2">
        <w:rPr>
          <w:rStyle w:val="Strong"/>
        </w:rPr>
        <w:t>-19</w:t>
      </w:r>
    </w:p>
    <w:p w14:paraId="1B1FA919" w14:textId="5C461EF3" w:rsidR="006B6D44" w:rsidRDefault="006B6D44" w:rsidP="006B6D44">
      <w:pPr>
        <w:pStyle w:val="Normal1"/>
      </w:pPr>
      <w:r w:rsidRPr="005709D2">
        <w:t>Cenitex</w:t>
      </w:r>
      <w:r>
        <w:t xml:space="preserve"> provides ICT support and services for </w:t>
      </w:r>
      <w:r w:rsidRPr="005709D2">
        <w:t>Victorian Government departments and agencies.</w:t>
      </w:r>
      <w:r>
        <w:t xml:space="preserve"> When the public service transitioned to remote working in response to COVID-19, Cenitex was </w:t>
      </w:r>
      <w:r w:rsidRPr="007F3F96">
        <w:t>inundated with service desk requests</w:t>
      </w:r>
      <w:r>
        <w:t xml:space="preserve">. They needed to find quick solutions to meet their customer’s needs during this </w:t>
      </w:r>
      <w:r w:rsidR="008E4056">
        <w:t>challenging</w:t>
      </w:r>
      <w:r>
        <w:t xml:space="preserve"> time.</w:t>
      </w:r>
    </w:p>
    <w:p w14:paraId="28A6D90F" w14:textId="0AD95345" w:rsidR="006B6D44" w:rsidRDefault="006B6D44" w:rsidP="006B6D44">
      <w:pPr>
        <w:pStyle w:val="Normal1"/>
      </w:pPr>
      <w:r>
        <w:t xml:space="preserve">First, they </w:t>
      </w:r>
      <w:r w:rsidRPr="007F3F96">
        <w:t xml:space="preserve">engaged a third-party provider to </w:t>
      </w:r>
      <w:r>
        <w:t>set up</w:t>
      </w:r>
      <w:r w:rsidRPr="007F3F96">
        <w:t xml:space="preserve"> a customer self-service request portal. </w:t>
      </w:r>
      <w:r>
        <w:t xml:space="preserve">This gave customers </w:t>
      </w:r>
      <w:r w:rsidRPr="007F3F96">
        <w:t>a</w:t>
      </w:r>
      <w:r>
        <w:t>n alternative quick</w:t>
      </w:r>
      <w:r w:rsidR="00DA612B">
        <w:t>-</w:t>
      </w:r>
      <w:r>
        <w:t xml:space="preserve">access </w:t>
      </w:r>
      <w:r w:rsidRPr="007F3F96">
        <w:t>communication channel for chat, self-help articles and updates on critical activities to support working from home.</w:t>
      </w:r>
    </w:p>
    <w:p w14:paraId="23E1D809" w14:textId="77777777" w:rsidR="006B6D44" w:rsidRDefault="006B6D44" w:rsidP="006B6D44">
      <w:pPr>
        <w:pStyle w:val="Normal1"/>
      </w:pPr>
      <w:r>
        <w:t xml:space="preserve">Second, they </w:t>
      </w:r>
      <w:r w:rsidRPr="007F3F96">
        <w:t xml:space="preserve">engaged third-party resources to provide </w:t>
      </w:r>
      <w:r>
        <w:t xml:space="preserve">extra </w:t>
      </w:r>
      <w:r w:rsidRPr="007F3F96">
        <w:t>technical support, helping with remote access configuration queries and related desktop and service desk style support services.</w:t>
      </w:r>
    </w:p>
    <w:p w14:paraId="2A29A4F7" w14:textId="091E29D2" w:rsidR="006B6D44" w:rsidRDefault="006B6D44" w:rsidP="006B6D44">
      <w:pPr>
        <w:pStyle w:val="Normal1"/>
      </w:pPr>
      <w:r>
        <w:t xml:space="preserve">Cenitex’s procurement team helped get these two support services up and running quickly under the critical </w:t>
      </w:r>
      <w:r w:rsidRPr="007F3F96">
        <w:t>incident procurement</w:t>
      </w:r>
      <w:r>
        <w:t xml:space="preserve"> policy.</w:t>
      </w:r>
    </w:p>
    <w:bookmarkEnd w:id="145"/>
    <w:bookmarkEnd w:id="146"/>
    <w:p w14:paraId="53569DD2" w14:textId="77777777" w:rsidR="00CD3331" w:rsidRDefault="00CD3331">
      <w:pPr>
        <w:rPr>
          <w:rFonts w:ascii="Calibri" w:hAnsi="Calibri" w:cs="Calibri"/>
          <w:color w:val="4D4D4D"/>
          <w:kern w:val="28"/>
          <w:sz w:val="30"/>
          <w:szCs w:val="22"/>
          <w:lang w:eastAsia="en-US"/>
        </w:rPr>
      </w:pPr>
      <w:r>
        <w:br w:type="page"/>
      </w:r>
    </w:p>
    <w:p w14:paraId="1CBF31D0" w14:textId="4AAC6976" w:rsidR="005F40F2" w:rsidRDefault="005F40F2" w:rsidP="005F40F2">
      <w:pPr>
        <w:pStyle w:val="Heading2NoNum"/>
      </w:pPr>
      <w:bookmarkStart w:id="150" w:name="_Toc52187735"/>
      <w:r>
        <w:lastRenderedPageBreak/>
        <w:t>Variations</w:t>
      </w:r>
      <w:bookmarkEnd w:id="150"/>
    </w:p>
    <w:p w14:paraId="6DE6AF7C" w14:textId="14193374" w:rsidR="005F40F2" w:rsidRPr="00A26A72" w:rsidRDefault="005F40F2" w:rsidP="005F40F2">
      <w:pPr>
        <w:pStyle w:val="Normal1"/>
        <w:rPr>
          <w:lang w:eastAsia="en-US"/>
        </w:rPr>
      </w:pPr>
      <w:r>
        <w:rPr>
          <w:lang w:eastAsia="en-US"/>
        </w:rPr>
        <w:t xml:space="preserve">Most variations reported in 2019–20 related to one-off supply contracts, as shown in </w:t>
      </w:r>
      <w:r>
        <w:rPr>
          <w:lang w:eastAsia="en-US"/>
        </w:rPr>
        <w:fldChar w:fldCharType="begin"/>
      </w:r>
      <w:r>
        <w:rPr>
          <w:lang w:eastAsia="en-US"/>
        </w:rPr>
        <w:instrText xml:space="preserve"> REF _Ref16336538 \h </w:instrText>
      </w:r>
      <w:r>
        <w:rPr>
          <w:lang w:eastAsia="en-US"/>
        </w:rPr>
      </w:r>
      <w:r>
        <w:rPr>
          <w:lang w:eastAsia="en-US"/>
        </w:rPr>
        <w:fldChar w:fldCharType="separate"/>
      </w:r>
      <w:r w:rsidR="00152B74">
        <w:t xml:space="preserve">Table </w:t>
      </w:r>
      <w:r w:rsidR="00152B74">
        <w:rPr>
          <w:noProof/>
        </w:rPr>
        <w:t>19</w:t>
      </w:r>
      <w:r>
        <w:rPr>
          <w:lang w:eastAsia="en-US"/>
        </w:rPr>
        <w:fldChar w:fldCharType="end"/>
      </w:r>
      <w:r>
        <w:rPr>
          <w:lang w:eastAsia="en-US"/>
        </w:rPr>
        <w:t>.</w:t>
      </w:r>
    </w:p>
    <w:p w14:paraId="0CDDB3BE" w14:textId="79485981" w:rsidR="00F0017B" w:rsidRDefault="00F0017B" w:rsidP="00F0017B">
      <w:pPr>
        <w:pStyle w:val="Caption"/>
      </w:pPr>
      <w:bookmarkStart w:id="151" w:name="_Ref16336538"/>
      <w:bookmarkStart w:id="152" w:name="_Ref16336535"/>
      <w:bookmarkStart w:id="153" w:name="_Toc17130205"/>
      <w:bookmarkStart w:id="154" w:name="_Toc48837152"/>
      <w:bookmarkStart w:id="155" w:name="_Toc49185542"/>
      <w:r>
        <w:t xml:space="preserve">Table </w:t>
      </w:r>
      <w:r w:rsidR="00BE0754">
        <w:fldChar w:fldCharType="begin"/>
      </w:r>
      <w:r w:rsidR="00BE0754">
        <w:instrText xml:space="preserve"> SEQ Table \* ARABIC </w:instrText>
      </w:r>
      <w:r w:rsidR="00BE0754">
        <w:fldChar w:fldCharType="separate"/>
      </w:r>
      <w:r w:rsidR="00152B74">
        <w:rPr>
          <w:noProof/>
        </w:rPr>
        <w:t>19</w:t>
      </w:r>
      <w:r w:rsidR="00BE0754">
        <w:rPr>
          <w:noProof/>
        </w:rPr>
        <w:fldChar w:fldCharType="end"/>
      </w:r>
      <w:bookmarkEnd w:id="151"/>
      <w:r>
        <w:t>: Total contract variations by value range in 2019</w:t>
      </w:r>
      <w:bookmarkEnd w:id="152"/>
      <w:bookmarkEnd w:id="153"/>
      <w:r>
        <w:t>–20</w:t>
      </w:r>
      <w:bookmarkEnd w:id="154"/>
      <w:bookmarkEnd w:id="155"/>
    </w:p>
    <w:tbl>
      <w:tblPr>
        <w:tblStyle w:val="TableGrid1"/>
        <w:tblW w:w="7796" w:type="dxa"/>
        <w:tblInd w:w="846" w:type="dxa"/>
        <w:tblLook w:val="04A0" w:firstRow="1" w:lastRow="0" w:firstColumn="1" w:lastColumn="0" w:noHBand="0" w:noVBand="1"/>
      </w:tblPr>
      <w:tblGrid>
        <w:gridCol w:w="2551"/>
        <w:gridCol w:w="1701"/>
        <w:gridCol w:w="1701"/>
        <w:gridCol w:w="1843"/>
      </w:tblGrid>
      <w:tr w:rsidR="00F0017B" w:rsidRPr="006A72C4" w14:paraId="13EE4065" w14:textId="77777777" w:rsidTr="000B20B5">
        <w:trPr>
          <w:trHeight w:val="627"/>
        </w:trPr>
        <w:tc>
          <w:tcPr>
            <w:tcW w:w="2551" w:type="dxa"/>
            <w:shd w:val="clear" w:color="auto" w:fill="BFBFBF" w:themeFill="background1" w:themeFillShade="BF"/>
            <w:hideMark/>
          </w:tcPr>
          <w:p w14:paraId="30453F1D" w14:textId="77777777" w:rsidR="00F0017B" w:rsidRPr="006A72C4" w:rsidRDefault="00F0017B" w:rsidP="000B20B5">
            <w:pPr>
              <w:pStyle w:val="TableHeader"/>
            </w:pPr>
            <w:r w:rsidRPr="006A72C4">
              <w:t>Variations (</w:t>
            </w:r>
            <w:r>
              <w:t>value</w:t>
            </w:r>
            <w:r w:rsidRPr="006A72C4">
              <w:t xml:space="preserve"> range)</w:t>
            </w:r>
          </w:p>
        </w:tc>
        <w:tc>
          <w:tcPr>
            <w:tcW w:w="1701" w:type="dxa"/>
            <w:shd w:val="clear" w:color="auto" w:fill="BFBFBF" w:themeFill="background1" w:themeFillShade="BF"/>
            <w:hideMark/>
          </w:tcPr>
          <w:p w14:paraId="6B931320" w14:textId="77777777" w:rsidR="00F0017B" w:rsidRPr="006A72C4" w:rsidRDefault="00F0017B" w:rsidP="000B20B5">
            <w:pPr>
              <w:pStyle w:val="TableHeader"/>
            </w:pPr>
            <w:r w:rsidRPr="006A72C4">
              <w:t xml:space="preserve">One-off supply </w:t>
            </w:r>
            <w:r>
              <w:t>contracts</w:t>
            </w:r>
          </w:p>
        </w:tc>
        <w:tc>
          <w:tcPr>
            <w:tcW w:w="1701" w:type="dxa"/>
            <w:shd w:val="clear" w:color="auto" w:fill="BFBFBF" w:themeFill="background1" w:themeFillShade="BF"/>
            <w:hideMark/>
          </w:tcPr>
          <w:p w14:paraId="0451996E" w14:textId="77777777" w:rsidR="00F0017B" w:rsidRPr="006A72C4" w:rsidRDefault="00F0017B" w:rsidP="000B20B5">
            <w:pPr>
              <w:pStyle w:val="TableHeader"/>
            </w:pPr>
            <w:r>
              <w:t>SEPCs</w:t>
            </w:r>
          </w:p>
        </w:tc>
        <w:tc>
          <w:tcPr>
            <w:tcW w:w="1843" w:type="dxa"/>
            <w:shd w:val="clear" w:color="auto" w:fill="BFBFBF" w:themeFill="background1" w:themeFillShade="BF"/>
            <w:hideMark/>
          </w:tcPr>
          <w:p w14:paraId="4977CC87" w14:textId="77777777" w:rsidR="00F0017B" w:rsidRPr="006A72C4" w:rsidRDefault="00F0017B" w:rsidP="000B20B5">
            <w:pPr>
              <w:pStyle w:val="TableHeader"/>
            </w:pPr>
            <w:r>
              <w:t>SPCs</w:t>
            </w:r>
          </w:p>
        </w:tc>
      </w:tr>
      <w:tr w:rsidR="00F0017B" w:rsidRPr="006A72C4" w14:paraId="631147DD" w14:textId="77777777" w:rsidTr="000B20B5">
        <w:trPr>
          <w:trHeight w:val="179"/>
        </w:trPr>
        <w:tc>
          <w:tcPr>
            <w:tcW w:w="2551" w:type="dxa"/>
            <w:hideMark/>
          </w:tcPr>
          <w:p w14:paraId="36292501" w14:textId="77777777" w:rsidR="00F0017B" w:rsidRPr="006A72C4" w:rsidRDefault="00F0017B" w:rsidP="00AD64BE">
            <w:pPr>
              <w:pStyle w:val="TableText"/>
            </w:pPr>
            <w:r w:rsidRPr="006A72C4">
              <w:t>$</w:t>
            </w:r>
            <w:r>
              <w:t>0</w:t>
            </w:r>
            <w:r w:rsidRPr="006A72C4">
              <w:t xml:space="preserve"> </w:t>
            </w:r>
            <w:r>
              <w:t>–</w:t>
            </w:r>
            <w:r w:rsidRPr="006A72C4">
              <w:t xml:space="preserve"> $9</w:t>
            </w:r>
            <w:r>
              <w:t> </w:t>
            </w:r>
            <w:r w:rsidRPr="006A72C4">
              <w:t>999</w:t>
            </w:r>
          </w:p>
        </w:tc>
        <w:tc>
          <w:tcPr>
            <w:tcW w:w="1701" w:type="dxa"/>
            <w:vAlign w:val="center"/>
          </w:tcPr>
          <w:p w14:paraId="637D67AF" w14:textId="77777777" w:rsidR="00F0017B" w:rsidRPr="006A337C" w:rsidRDefault="00F0017B" w:rsidP="00AD64BE">
            <w:pPr>
              <w:pStyle w:val="Tablenumbers"/>
              <w:rPr>
                <w:highlight w:val="green"/>
              </w:rPr>
            </w:pPr>
            <w:r>
              <w:t>18</w:t>
            </w:r>
          </w:p>
        </w:tc>
        <w:tc>
          <w:tcPr>
            <w:tcW w:w="1701" w:type="dxa"/>
            <w:vAlign w:val="center"/>
          </w:tcPr>
          <w:p w14:paraId="5CFF99FC" w14:textId="77777777" w:rsidR="00F0017B" w:rsidRPr="006A337C" w:rsidRDefault="00F0017B" w:rsidP="00AD64BE">
            <w:pPr>
              <w:pStyle w:val="Tablenumbers"/>
              <w:rPr>
                <w:highlight w:val="green"/>
              </w:rPr>
            </w:pPr>
            <w:r>
              <w:t>0</w:t>
            </w:r>
          </w:p>
        </w:tc>
        <w:tc>
          <w:tcPr>
            <w:tcW w:w="1843" w:type="dxa"/>
            <w:vAlign w:val="center"/>
          </w:tcPr>
          <w:p w14:paraId="54C34A96" w14:textId="77777777" w:rsidR="00F0017B" w:rsidRPr="006A337C" w:rsidRDefault="00F0017B" w:rsidP="00AD64BE">
            <w:pPr>
              <w:pStyle w:val="Tablenumbers"/>
              <w:rPr>
                <w:highlight w:val="green"/>
              </w:rPr>
            </w:pPr>
            <w:r>
              <w:t>0</w:t>
            </w:r>
          </w:p>
        </w:tc>
      </w:tr>
      <w:tr w:rsidR="00F0017B" w:rsidRPr="006A72C4" w14:paraId="6870D5E0" w14:textId="77777777" w:rsidTr="000B20B5">
        <w:trPr>
          <w:trHeight w:val="354"/>
        </w:trPr>
        <w:tc>
          <w:tcPr>
            <w:tcW w:w="2551" w:type="dxa"/>
            <w:hideMark/>
          </w:tcPr>
          <w:p w14:paraId="28FECE4A" w14:textId="77777777" w:rsidR="00F0017B" w:rsidRPr="006A72C4" w:rsidRDefault="00F0017B" w:rsidP="00AD64BE">
            <w:pPr>
              <w:pStyle w:val="TableText"/>
            </w:pPr>
            <w:r w:rsidRPr="006A72C4">
              <w:t>$10</w:t>
            </w:r>
            <w:r>
              <w:t> </w:t>
            </w:r>
            <w:r w:rsidRPr="006A72C4">
              <w:t xml:space="preserve">000 </w:t>
            </w:r>
            <w:r>
              <w:t>–</w:t>
            </w:r>
            <w:r w:rsidRPr="006A72C4">
              <w:t xml:space="preserve"> $99</w:t>
            </w:r>
            <w:r>
              <w:t> 999</w:t>
            </w:r>
          </w:p>
        </w:tc>
        <w:tc>
          <w:tcPr>
            <w:tcW w:w="1701" w:type="dxa"/>
            <w:vAlign w:val="center"/>
          </w:tcPr>
          <w:p w14:paraId="523CC107" w14:textId="77777777" w:rsidR="00F0017B" w:rsidRPr="006A337C" w:rsidRDefault="00F0017B" w:rsidP="00AD64BE">
            <w:pPr>
              <w:pStyle w:val="Tablenumbers"/>
              <w:rPr>
                <w:highlight w:val="green"/>
              </w:rPr>
            </w:pPr>
            <w:r>
              <w:t>109</w:t>
            </w:r>
          </w:p>
        </w:tc>
        <w:tc>
          <w:tcPr>
            <w:tcW w:w="1701" w:type="dxa"/>
            <w:vAlign w:val="center"/>
          </w:tcPr>
          <w:p w14:paraId="7FC602B4" w14:textId="77777777" w:rsidR="00F0017B" w:rsidRPr="006A337C" w:rsidRDefault="00F0017B" w:rsidP="00AD64BE">
            <w:pPr>
              <w:pStyle w:val="Tablenumbers"/>
              <w:rPr>
                <w:highlight w:val="green"/>
              </w:rPr>
            </w:pPr>
            <w:r>
              <w:t>4</w:t>
            </w:r>
          </w:p>
        </w:tc>
        <w:tc>
          <w:tcPr>
            <w:tcW w:w="1843" w:type="dxa"/>
            <w:vAlign w:val="center"/>
          </w:tcPr>
          <w:p w14:paraId="6A62B96F" w14:textId="77777777" w:rsidR="00F0017B" w:rsidRPr="006A337C" w:rsidRDefault="00F0017B" w:rsidP="00AD64BE">
            <w:pPr>
              <w:pStyle w:val="Tablenumbers"/>
              <w:rPr>
                <w:highlight w:val="green"/>
              </w:rPr>
            </w:pPr>
            <w:r>
              <w:t>0</w:t>
            </w:r>
          </w:p>
        </w:tc>
      </w:tr>
      <w:tr w:rsidR="00F0017B" w:rsidRPr="006A72C4" w14:paraId="7812E10A" w14:textId="77777777" w:rsidTr="000B20B5">
        <w:trPr>
          <w:trHeight w:val="274"/>
        </w:trPr>
        <w:tc>
          <w:tcPr>
            <w:tcW w:w="2551" w:type="dxa"/>
            <w:hideMark/>
          </w:tcPr>
          <w:p w14:paraId="4BC9EA8F" w14:textId="77777777" w:rsidR="00F0017B" w:rsidRPr="006A72C4" w:rsidRDefault="00F0017B" w:rsidP="00AD64BE">
            <w:pPr>
              <w:pStyle w:val="TableText"/>
            </w:pPr>
            <w:r w:rsidRPr="006A72C4">
              <w:t>$100</w:t>
            </w:r>
            <w:r>
              <w:t> </w:t>
            </w:r>
            <w:r w:rsidRPr="006A72C4">
              <w:t xml:space="preserve">000 </w:t>
            </w:r>
            <w:r>
              <w:t>–</w:t>
            </w:r>
            <w:r w:rsidRPr="006A72C4">
              <w:t xml:space="preserve"> $999</w:t>
            </w:r>
            <w:r>
              <w:t> </w:t>
            </w:r>
            <w:r w:rsidRPr="006A72C4">
              <w:t>999</w:t>
            </w:r>
          </w:p>
        </w:tc>
        <w:tc>
          <w:tcPr>
            <w:tcW w:w="1701" w:type="dxa"/>
            <w:vAlign w:val="center"/>
          </w:tcPr>
          <w:p w14:paraId="1C385747" w14:textId="77777777" w:rsidR="00F0017B" w:rsidRPr="006A337C" w:rsidRDefault="00F0017B" w:rsidP="00AD64BE">
            <w:pPr>
              <w:pStyle w:val="Tablenumbers"/>
              <w:rPr>
                <w:highlight w:val="green"/>
              </w:rPr>
            </w:pPr>
            <w:r>
              <w:t>129</w:t>
            </w:r>
          </w:p>
        </w:tc>
        <w:tc>
          <w:tcPr>
            <w:tcW w:w="1701" w:type="dxa"/>
            <w:vAlign w:val="center"/>
          </w:tcPr>
          <w:p w14:paraId="387904C7" w14:textId="77777777" w:rsidR="00F0017B" w:rsidRPr="006A337C" w:rsidRDefault="00F0017B" w:rsidP="00AD64BE">
            <w:pPr>
              <w:pStyle w:val="Tablenumbers"/>
              <w:rPr>
                <w:highlight w:val="green"/>
              </w:rPr>
            </w:pPr>
            <w:r>
              <w:t>8</w:t>
            </w:r>
          </w:p>
        </w:tc>
        <w:tc>
          <w:tcPr>
            <w:tcW w:w="1843" w:type="dxa"/>
            <w:vAlign w:val="center"/>
          </w:tcPr>
          <w:p w14:paraId="15B912CC" w14:textId="77777777" w:rsidR="00F0017B" w:rsidRPr="006A337C" w:rsidRDefault="00F0017B" w:rsidP="00AD64BE">
            <w:pPr>
              <w:pStyle w:val="Tablenumbers"/>
              <w:rPr>
                <w:highlight w:val="green"/>
              </w:rPr>
            </w:pPr>
            <w:r>
              <w:t>0</w:t>
            </w:r>
          </w:p>
        </w:tc>
      </w:tr>
      <w:tr w:rsidR="00F0017B" w:rsidRPr="006A72C4" w14:paraId="6D8B8046" w14:textId="77777777" w:rsidTr="000B20B5">
        <w:trPr>
          <w:trHeight w:val="255"/>
        </w:trPr>
        <w:tc>
          <w:tcPr>
            <w:tcW w:w="2551" w:type="dxa"/>
            <w:hideMark/>
          </w:tcPr>
          <w:p w14:paraId="07504109" w14:textId="77777777" w:rsidR="00F0017B" w:rsidRPr="006A72C4" w:rsidRDefault="00F0017B" w:rsidP="00AD64BE">
            <w:pPr>
              <w:pStyle w:val="TableText"/>
            </w:pPr>
            <w:r w:rsidRPr="006A72C4">
              <w:t>&gt; $1 million</w:t>
            </w:r>
          </w:p>
        </w:tc>
        <w:tc>
          <w:tcPr>
            <w:tcW w:w="1701" w:type="dxa"/>
            <w:vAlign w:val="center"/>
          </w:tcPr>
          <w:p w14:paraId="2CDBA840" w14:textId="77777777" w:rsidR="00F0017B" w:rsidRPr="006A337C" w:rsidRDefault="00F0017B" w:rsidP="00AD64BE">
            <w:pPr>
              <w:pStyle w:val="Tablenumbers"/>
              <w:rPr>
                <w:highlight w:val="green"/>
              </w:rPr>
            </w:pPr>
            <w:r>
              <w:t>39</w:t>
            </w:r>
          </w:p>
        </w:tc>
        <w:tc>
          <w:tcPr>
            <w:tcW w:w="1701" w:type="dxa"/>
            <w:vAlign w:val="center"/>
          </w:tcPr>
          <w:p w14:paraId="01D258A6" w14:textId="77777777" w:rsidR="00F0017B" w:rsidRPr="006A337C" w:rsidRDefault="00F0017B" w:rsidP="00AD64BE">
            <w:pPr>
              <w:pStyle w:val="Tablenumbers"/>
              <w:rPr>
                <w:highlight w:val="green"/>
              </w:rPr>
            </w:pPr>
            <w:r>
              <w:t>4</w:t>
            </w:r>
          </w:p>
        </w:tc>
        <w:tc>
          <w:tcPr>
            <w:tcW w:w="1843" w:type="dxa"/>
            <w:vAlign w:val="center"/>
          </w:tcPr>
          <w:p w14:paraId="7D9F9106" w14:textId="12931726" w:rsidR="00F0017B" w:rsidRPr="006A337C" w:rsidRDefault="002B208A" w:rsidP="00AD64BE">
            <w:pPr>
              <w:pStyle w:val="Tablenumbers"/>
              <w:rPr>
                <w:highlight w:val="green"/>
              </w:rPr>
            </w:pPr>
            <w:r>
              <w:t>4</w:t>
            </w:r>
          </w:p>
        </w:tc>
      </w:tr>
      <w:tr w:rsidR="00F0017B" w:rsidRPr="006A72C4" w14:paraId="3563E742" w14:textId="77777777" w:rsidTr="000B20B5">
        <w:trPr>
          <w:trHeight w:val="255"/>
        </w:trPr>
        <w:tc>
          <w:tcPr>
            <w:tcW w:w="2551" w:type="dxa"/>
            <w:noWrap/>
            <w:hideMark/>
          </w:tcPr>
          <w:p w14:paraId="1BC50055" w14:textId="77777777" w:rsidR="00F0017B" w:rsidRPr="006A72C4" w:rsidRDefault="00F0017B" w:rsidP="00FF50EE">
            <w:pPr>
              <w:rPr>
                <w:rFonts w:ascii="Calibri" w:hAnsi="Calibri" w:cs="Calibri"/>
                <w:b/>
                <w:bCs/>
                <w:sz w:val="20"/>
                <w:szCs w:val="20"/>
              </w:rPr>
            </w:pPr>
            <w:r w:rsidRPr="006A72C4">
              <w:rPr>
                <w:rFonts w:ascii="Calibri" w:hAnsi="Calibri" w:cs="Calibri"/>
                <w:b/>
                <w:bCs/>
                <w:sz w:val="20"/>
                <w:szCs w:val="20"/>
              </w:rPr>
              <w:t>Total</w:t>
            </w:r>
          </w:p>
        </w:tc>
        <w:tc>
          <w:tcPr>
            <w:tcW w:w="1701" w:type="dxa"/>
            <w:noWrap/>
            <w:vAlign w:val="center"/>
          </w:tcPr>
          <w:p w14:paraId="6FAA7CF1" w14:textId="77777777" w:rsidR="00F0017B" w:rsidRPr="006A337C" w:rsidRDefault="00F0017B" w:rsidP="00FF50EE">
            <w:pPr>
              <w:jc w:val="right"/>
              <w:rPr>
                <w:rFonts w:ascii="Calibri" w:hAnsi="Calibri" w:cs="Calibri"/>
                <w:b/>
                <w:bCs/>
                <w:sz w:val="20"/>
                <w:szCs w:val="20"/>
                <w:highlight w:val="green"/>
              </w:rPr>
            </w:pPr>
            <w:r>
              <w:rPr>
                <w:rFonts w:ascii="Calibri" w:hAnsi="Calibri" w:cs="Calibri"/>
                <w:b/>
                <w:bCs/>
                <w:sz w:val="20"/>
                <w:szCs w:val="20"/>
              </w:rPr>
              <w:t>295</w:t>
            </w:r>
          </w:p>
        </w:tc>
        <w:tc>
          <w:tcPr>
            <w:tcW w:w="1701" w:type="dxa"/>
            <w:noWrap/>
            <w:vAlign w:val="center"/>
          </w:tcPr>
          <w:p w14:paraId="7A880F00" w14:textId="77777777" w:rsidR="00F0017B" w:rsidRPr="006A337C" w:rsidRDefault="00F0017B" w:rsidP="00FF50EE">
            <w:pPr>
              <w:jc w:val="right"/>
              <w:rPr>
                <w:rFonts w:ascii="Calibri" w:hAnsi="Calibri" w:cs="Calibri"/>
                <w:b/>
                <w:bCs/>
                <w:color w:val="006100"/>
                <w:sz w:val="20"/>
                <w:szCs w:val="20"/>
                <w:highlight w:val="green"/>
              </w:rPr>
            </w:pPr>
            <w:r>
              <w:rPr>
                <w:rFonts w:ascii="Calibri" w:hAnsi="Calibri" w:cs="Calibri"/>
                <w:b/>
                <w:bCs/>
                <w:sz w:val="20"/>
                <w:szCs w:val="20"/>
              </w:rPr>
              <w:t>16</w:t>
            </w:r>
          </w:p>
        </w:tc>
        <w:tc>
          <w:tcPr>
            <w:tcW w:w="1843" w:type="dxa"/>
            <w:noWrap/>
            <w:vAlign w:val="center"/>
          </w:tcPr>
          <w:p w14:paraId="50B4711B" w14:textId="2FEBDB1B" w:rsidR="00F0017B" w:rsidRPr="006A337C" w:rsidRDefault="002B208A" w:rsidP="00FF50EE">
            <w:pPr>
              <w:jc w:val="right"/>
              <w:rPr>
                <w:rFonts w:ascii="Calibri" w:hAnsi="Calibri" w:cs="Calibri"/>
                <w:b/>
                <w:bCs/>
                <w:color w:val="006100"/>
                <w:sz w:val="20"/>
                <w:szCs w:val="20"/>
                <w:highlight w:val="green"/>
              </w:rPr>
            </w:pPr>
            <w:r>
              <w:rPr>
                <w:rFonts w:ascii="Calibri" w:hAnsi="Calibri" w:cs="Calibri"/>
                <w:b/>
                <w:bCs/>
                <w:sz w:val="20"/>
                <w:szCs w:val="20"/>
              </w:rPr>
              <w:t>4</w:t>
            </w:r>
          </w:p>
        </w:tc>
      </w:tr>
    </w:tbl>
    <w:p w14:paraId="45E7075B" w14:textId="7DA9D86E" w:rsidR="005F40F2" w:rsidRDefault="005F40F2" w:rsidP="005F40F2">
      <w:pPr>
        <w:pStyle w:val="Normal1"/>
      </w:pPr>
      <w:r>
        <w:t>An organisation may vary a contract for numerous reasons:</w:t>
      </w:r>
    </w:p>
    <w:p w14:paraId="4B1209B2" w14:textId="77777777" w:rsidR="005F40F2" w:rsidRDefault="005F40F2" w:rsidP="005F40F2">
      <w:pPr>
        <w:pStyle w:val="Bullet1"/>
      </w:pPr>
      <w:r>
        <w:t>the project scope or timeframe may change during the contract lifespan, requiring a variation to the original contract;</w:t>
      </w:r>
    </w:p>
    <w:p w14:paraId="03331553" w14:textId="0CE41CDF" w:rsidR="005F40F2" w:rsidRDefault="005F40F2" w:rsidP="005F40F2">
      <w:pPr>
        <w:pStyle w:val="Bullet1"/>
      </w:pPr>
      <w:r>
        <w:t>a lack of suitable suppliers may make it more economical to vary a contract than launch a full tender process;</w:t>
      </w:r>
    </w:p>
    <w:p w14:paraId="0E0AD120" w14:textId="316DC319" w:rsidR="005F40F2" w:rsidRDefault="005F40F2" w:rsidP="005F40F2">
      <w:pPr>
        <w:pStyle w:val="Bullet1"/>
      </w:pPr>
      <w:r>
        <w:t xml:space="preserve">organisations may need to </w:t>
      </w:r>
      <w:r w:rsidR="00F0017B">
        <w:t xml:space="preserve">extend contracts to provide service continuity after machinery of government changes or while they </w:t>
      </w:r>
      <w:r>
        <w:t xml:space="preserve">prioritise their response to emergency events such as </w:t>
      </w:r>
      <w:r w:rsidR="007436BA">
        <w:t xml:space="preserve">bushfires or </w:t>
      </w:r>
      <w:r>
        <w:t>COVID-19</w:t>
      </w:r>
      <w:r w:rsidR="00F0017B">
        <w:t xml:space="preserve">; </w:t>
      </w:r>
      <w:r>
        <w:t>or</w:t>
      </w:r>
    </w:p>
    <w:p w14:paraId="50057BD6" w14:textId="77777777" w:rsidR="005F40F2" w:rsidRPr="00817F53" w:rsidRDefault="005F40F2" w:rsidP="005F40F2">
      <w:pPr>
        <w:pStyle w:val="Bullet1"/>
        <w:rPr>
          <w:lang w:val="en-US" w:eastAsia="en-US"/>
        </w:rPr>
      </w:pPr>
      <w:r>
        <w:t>a variation can cover a transition period while an organisation prepares for a full tender process.</w:t>
      </w:r>
    </w:p>
    <w:p w14:paraId="0F921DD7" w14:textId="5DCFDD74" w:rsidR="005F40F2" w:rsidRDefault="00F0017B" w:rsidP="00F0017B">
      <w:pPr>
        <w:pStyle w:val="Normal1"/>
      </w:pPr>
      <w:r>
        <w:rPr>
          <w:lang w:eastAsia="en-US"/>
        </w:rPr>
        <w:fldChar w:fldCharType="begin"/>
      </w:r>
      <w:r>
        <w:rPr>
          <w:lang w:eastAsia="en-US"/>
        </w:rPr>
        <w:instrText xml:space="preserve"> REF _Ref48641307 \h  \* MERGEFORMAT </w:instrText>
      </w:r>
      <w:r>
        <w:rPr>
          <w:lang w:eastAsia="en-US"/>
        </w:rPr>
      </w:r>
      <w:r>
        <w:rPr>
          <w:lang w:eastAsia="en-US"/>
        </w:rPr>
        <w:fldChar w:fldCharType="separate"/>
      </w:r>
      <w:r w:rsidR="00152B74">
        <w:t xml:space="preserve">Table </w:t>
      </w:r>
      <w:r w:rsidR="00152B74">
        <w:rPr>
          <w:noProof/>
        </w:rPr>
        <w:t>20</w:t>
      </w:r>
      <w:r>
        <w:rPr>
          <w:lang w:eastAsia="en-US"/>
        </w:rPr>
        <w:fldChar w:fldCharType="end"/>
      </w:r>
      <w:r>
        <w:rPr>
          <w:lang w:eastAsia="en-US"/>
        </w:rPr>
        <w:t xml:space="preserve"> shows variations reported by organisation in 2019–20.</w:t>
      </w:r>
    </w:p>
    <w:p w14:paraId="738F880F" w14:textId="3F9A5ECF" w:rsidR="005F40F2" w:rsidRDefault="005F40F2" w:rsidP="005F40F2">
      <w:pPr>
        <w:pStyle w:val="Caption"/>
      </w:pPr>
      <w:bookmarkStart w:id="156" w:name="_Ref48641307"/>
      <w:bookmarkStart w:id="157" w:name="_Toc48837153"/>
      <w:bookmarkStart w:id="158" w:name="_Toc49185543"/>
      <w:r>
        <w:t xml:space="preserve">Table </w:t>
      </w:r>
      <w:r w:rsidR="00BE0754">
        <w:fldChar w:fldCharType="begin"/>
      </w:r>
      <w:r w:rsidR="00BE0754">
        <w:instrText xml:space="preserve"> SEQ Table \* ARABIC </w:instrText>
      </w:r>
      <w:r w:rsidR="00BE0754">
        <w:fldChar w:fldCharType="separate"/>
      </w:r>
      <w:r w:rsidR="00152B74">
        <w:rPr>
          <w:noProof/>
        </w:rPr>
        <w:t>20</w:t>
      </w:r>
      <w:r w:rsidR="00BE0754">
        <w:rPr>
          <w:noProof/>
        </w:rPr>
        <w:fldChar w:fldCharType="end"/>
      </w:r>
      <w:bookmarkEnd w:id="156"/>
      <w:r>
        <w:t>: Contract variations by organisation</w:t>
      </w:r>
      <w:r w:rsidR="006D2032">
        <w:t xml:space="preserve"> in 2019–20</w:t>
      </w:r>
      <w:bookmarkEnd w:id="157"/>
      <w:bookmarkEnd w:id="158"/>
    </w:p>
    <w:tbl>
      <w:tblPr>
        <w:tblStyle w:val="TableGrid1"/>
        <w:tblW w:w="4719" w:type="dxa"/>
        <w:tblInd w:w="846" w:type="dxa"/>
        <w:tblLook w:val="04A0" w:firstRow="1" w:lastRow="0" w:firstColumn="1" w:lastColumn="0" w:noHBand="0" w:noVBand="1"/>
      </w:tblPr>
      <w:tblGrid>
        <w:gridCol w:w="3685"/>
        <w:gridCol w:w="1034"/>
      </w:tblGrid>
      <w:tr w:rsidR="005F40F2" w:rsidRPr="00554B10" w14:paraId="17651EF9" w14:textId="77777777" w:rsidTr="00AD64BE">
        <w:trPr>
          <w:trHeight w:val="115"/>
        </w:trPr>
        <w:tc>
          <w:tcPr>
            <w:tcW w:w="3685" w:type="dxa"/>
            <w:shd w:val="clear" w:color="auto" w:fill="BFBFBF" w:themeFill="background1" w:themeFillShade="BF"/>
          </w:tcPr>
          <w:p w14:paraId="6463A82D" w14:textId="77777777" w:rsidR="005F40F2" w:rsidRPr="00554B10" w:rsidRDefault="005F40F2" w:rsidP="000B20B5">
            <w:pPr>
              <w:pStyle w:val="TableHeader"/>
            </w:pPr>
            <w:r w:rsidRPr="00554B10">
              <w:t>Organisation</w:t>
            </w:r>
          </w:p>
        </w:tc>
        <w:tc>
          <w:tcPr>
            <w:tcW w:w="1034" w:type="dxa"/>
            <w:shd w:val="clear" w:color="auto" w:fill="BFBFBF" w:themeFill="background1" w:themeFillShade="BF"/>
          </w:tcPr>
          <w:p w14:paraId="5E37A295" w14:textId="77777777" w:rsidR="005F40F2" w:rsidRPr="00554B10" w:rsidRDefault="005F40F2" w:rsidP="000B20B5">
            <w:pPr>
              <w:pStyle w:val="TableHeader"/>
            </w:pPr>
            <w:r w:rsidRPr="00554B10">
              <w:t>Number</w:t>
            </w:r>
          </w:p>
        </w:tc>
      </w:tr>
      <w:tr w:rsidR="005F40F2" w:rsidRPr="00554B10" w14:paraId="5F4C51B1" w14:textId="77777777" w:rsidTr="00AD64BE">
        <w:trPr>
          <w:trHeight w:val="256"/>
        </w:trPr>
        <w:tc>
          <w:tcPr>
            <w:tcW w:w="3685" w:type="dxa"/>
          </w:tcPr>
          <w:p w14:paraId="1D61FF11" w14:textId="77777777" w:rsidR="005F40F2" w:rsidRPr="00554B10" w:rsidRDefault="005F40F2" w:rsidP="000B20B5">
            <w:pPr>
              <w:pStyle w:val="TableText"/>
            </w:pPr>
            <w:r w:rsidRPr="00554B10">
              <w:t>Education and Training</w:t>
            </w:r>
          </w:p>
        </w:tc>
        <w:tc>
          <w:tcPr>
            <w:tcW w:w="1034" w:type="dxa"/>
            <w:vAlign w:val="center"/>
          </w:tcPr>
          <w:p w14:paraId="5382E306" w14:textId="53A17113" w:rsidR="005F40F2" w:rsidRPr="00554B10" w:rsidRDefault="00D270EC" w:rsidP="00AD64BE">
            <w:pPr>
              <w:pStyle w:val="Tablenumbers"/>
            </w:pPr>
            <w:r>
              <w:t>n/a</w:t>
            </w:r>
            <w:r w:rsidR="00F0017B">
              <w:t>*</w:t>
            </w:r>
          </w:p>
        </w:tc>
      </w:tr>
      <w:tr w:rsidR="005F40F2" w:rsidRPr="00554B10" w14:paraId="68E4BEE1" w14:textId="77777777" w:rsidTr="00AD64BE">
        <w:trPr>
          <w:trHeight w:val="256"/>
        </w:trPr>
        <w:tc>
          <w:tcPr>
            <w:tcW w:w="3685" w:type="dxa"/>
          </w:tcPr>
          <w:p w14:paraId="0DE6DE74" w14:textId="77777777" w:rsidR="005F40F2" w:rsidRPr="00554B10" w:rsidRDefault="005F40F2" w:rsidP="000B20B5">
            <w:pPr>
              <w:pStyle w:val="TableText"/>
              <w:rPr>
                <w:color w:val="000000"/>
              </w:rPr>
            </w:pPr>
            <w:r w:rsidRPr="00554B10">
              <w:t>Environment, Land, Water and Planning</w:t>
            </w:r>
          </w:p>
        </w:tc>
        <w:tc>
          <w:tcPr>
            <w:tcW w:w="1034" w:type="dxa"/>
            <w:vAlign w:val="center"/>
          </w:tcPr>
          <w:p w14:paraId="6CF0B1E0" w14:textId="77777777" w:rsidR="005F40F2" w:rsidRPr="00554B10" w:rsidRDefault="005F40F2" w:rsidP="00AD64BE">
            <w:pPr>
              <w:pStyle w:val="Tablenumbers"/>
            </w:pPr>
            <w:r>
              <w:t>33</w:t>
            </w:r>
          </w:p>
        </w:tc>
      </w:tr>
      <w:tr w:rsidR="005F40F2" w:rsidRPr="00554B10" w14:paraId="216CAEB9" w14:textId="77777777" w:rsidTr="00AD64BE">
        <w:trPr>
          <w:trHeight w:val="256"/>
        </w:trPr>
        <w:tc>
          <w:tcPr>
            <w:tcW w:w="3685" w:type="dxa"/>
          </w:tcPr>
          <w:p w14:paraId="2A7BBC25" w14:textId="77777777" w:rsidR="005F40F2" w:rsidRPr="00554B10" w:rsidRDefault="005F40F2" w:rsidP="000B20B5">
            <w:pPr>
              <w:pStyle w:val="TableText"/>
              <w:rPr>
                <w:color w:val="000000"/>
              </w:rPr>
            </w:pPr>
            <w:r w:rsidRPr="00554B10">
              <w:t>Health and Human Services</w:t>
            </w:r>
          </w:p>
        </w:tc>
        <w:tc>
          <w:tcPr>
            <w:tcW w:w="1034" w:type="dxa"/>
            <w:vAlign w:val="center"/>
          </w:tcPr>
          <w:p w14:paraId="67ED9B53" w14:textId="77777777" w:rsidR="005F40F2" w:rsidRPr="00554B10" w:rsidRDefault="005F40F2" w:rsidP="00AD64BE">
            <w:pPr>
              <w:pStyle w:val="Tablenumbers"/>
            </w:pPr>
            <w:r>
              <w:t>43</w:t>
            </w:r>
          </w:p>
        </w:tc>
      </w:tr>
      <w:tr w:rsidR="005F40F2" w:rsidRPr="00554B10" w14:paraId="129F835E" w14:textId="77777777" w:rsidTr="00AD64BE">
        <w:trPr>
          <w:trHeight w:val="256"/>
        </w:trPr>
        <w:tc>
          <w:tcPr>
            <w:tcW w:w="3685" w:type="dxa"/>
          </w:tcPr>
          <w:p w14:paraId="6177B470" w14:textId="77777777" w:rsidR="005F40F2" w:rsidRPr="00554B10" w:rsidRDefault="005F40F2" w:rsidP="000B20B5">
            <w:pPr>
              <w:pStyle w:val="TableText"/>
              <w:rPr>
                <w:color w:val="000000"/>
              </w:rPr>
            </w:pPr>
            <w:r w:rsidRPr="00554B10">
              <w:t>Jobs, Precincts and Regions</w:t>
            </w:r>
          </w:p>
        </w:tc>
        <w:tc>
          <w:tcPr>
            <w:tcW w:w="1034" w:type="dxa"/>
            <w:vAlign w:val="center"/>
          </w:tcPr>
          <w:p w14:paraId="48522698" w14:textId="77777777" w:rsidR="005F40F2" w:rsidRPr="00554B10" w:rsidRDefault="005F40F2" w:rsidP="00AD64BE">
            <w:pPr>
              <w:pStyle w:val="Tablenumbers"/>
            </w:pPr>
            <w:r>
              <w:t>63</w:t>
            </w:r>
          </w:p>
        </w:tc>
      </w:tr>
      <w:tr w:rsidR="005F40F2" w:rsidRPr="00554B10" w14:paraId="7D3405D7" w14:textId="77777777" w:rsidTr="00AD64BE">
        <w:trPr>
          <w:trHeight w:val="256"/>
        </w:trPr>
        <w:tc>
          <w:tcPr>
            <w:tcW w:w="3685" w:type="dxa"/>
          </w:tcPr>
          <w:p w14:paraId="0C7F6114" w14:textId="77777777" w:rsidR="005F40F2" w:rsidRPr="00554B10" w:rsidRDefault="005F40F2" w:rsidP="000B20B5">
            <w:pPr>
              <w:pStyle w:val="TableText"/>
              <w:rPr>
                <w:color w:val="000000"/>
              </w:rPr>
            </w:pPr>
            <w:r w:rsidRPr="00554B10">
              <w:t>Justice and Community Safety</w:t>
            </w:r>
          </w:p>
        </w:tc>
        <w:tc>
          <w:tcPr>
            <w:tcW w:w="1034" w:type="dxa"/>
            <w:vAlign w:val="center"/>
          </w:tcPr>
          <w:p w14:paraId="0DBBEB06" w14:textId="77777777" w:rsidR="005F40F2" w:rsidRPr="00554B10" w:rsidRDefault="005F40F2" w:rsidP="00AD64BE">
            <w:pPr>
              <w:pStyle w:val="Tablenumbers"/>
            </w:pPr>
            <w:r>
              <w:t>15</w:t>
            </w:r>
          </w:p>
        </w:tc>
      </w:tr>
      <w:tr w:rsidR="005F40F2" w:rsidRPr="00554B10" w14:paraId="79693A4E" w14:textId="77777777" w:rsidTr="00AD64BE">
        <w:trPr>
          <w:trHeight w:val="256"/>
        </w:trPr>
        <w:tc>
          <w:tcPr>
            <w:tcW w:w="3685" w:type="dxa"/>
          </w:tcPr>
          <w:p w14:paraId="4FD0FFF1" w14:textId="77777777" w:rsidR="005F40F2" w:rsidRPr="00554B10" w:rsidRDefault="005F40F2" w:rsidP="000B20B5">
            <w:pPr>
              <w:pStyle w:val="TableText"/>
              <w:rPr>
                <w:color w:val="000000"/>
              </w:rPr>
            </w:pPr>
            <w:r w:rsidRPr="00554B10">
              <w:t>Premier and Cabinet</w:t>
            </w:r>
          </w:p>
        </w:tc>
        <w:tc>
          <w:tcPr>
            <w:tcW w:w="1034" w:type="dxa"/>
            <w:vAlign w:val="center"/>
          </w:tcPr>
          <w:p w14:paraId="1FF79DB0" w14:textId="77777777" w:rsidR="005F40F2" w:rsidRPr="00554B10" w:rsidRDefault="005F40F2" w:rsidP="00AD64BE">
            <w:pPr>
              <w:pStyle w:val="Tablenumbers"/>
            </w:pPr>
            <w:r>
              <w:t>56</w:t>
            </w:r>
          </w:p>
        </w:tc>
      </w:tr>
      <w:tr w:rsidR="005F40F2" w:rsidRPr="00554B10" w14:paraId="5ABF7A72" w14:textId="77777777" w:rsidTr="00AD64BE">
        <w:trPr>
          <w:trHeight w:val="256"/>
        </w:trPr>
        <w:tc>
          <w:tcPr>
            <w:tcW w:w="3685" w:type="dxa"/>
          </w:tcPr>
          <w:p w14:paraId="54EECC94" w14:textId="77777777" w:rsidR="005F40F2" w:rsidRPr="00554B10" w:rsidRDefault="005F40F2" w:rsidP="000B20B5">
            <w:pPr>
              <w:pStyle w:val="TableText"/>
              <w:rPr>
                <w:color w:val="000000"/>
              </w:rPr>
            </w:pPr>
            <w:r w:rsidRPr="00554B10">
              <w:t>Transport</w:t>
            </w:r>
          </w:p>
        </w:tc>
        <w:tc>
          <w:tcPr>
            <w:tcW w:w="1034" w:type="dxa"/>
            <w:vAlign w:val="center"/>
          </w:tcPr>
          <w:p w14:paraId="682B288C" w14:textId="77777777" w:rsidR="005F40F2" w:rsidRPr="00554B10" w:rsidRDefault="005F40F2" w:rsidP="00AD64BE">
            <w:pPr>
              <w:pStyle w:val="Tablenumbers"/>
            </w:pPr>
            <w:r>
              <w:t>76</w:t>
            </w:r>
          </w:p>
        </w:tc>
      </w:tr>
      <w:tr w:rsidR="005F40F2" w:rsidRPr="00554B10" w14:paraId="053743C0" w14:textId="77777777" w:rsidTr="00AD64BE">
        <w:trPr>
          <w:trHeight w:val="256"/>
        </w:trPr>
        <w:tc>
          <w:tcPr>
            <w:tcW w:w="3685" w:type="dxa"/>
          </w:tcPr>
          <w:p w14:paraId="7EC93D5A" w14:textId="77777777" w:rsidR="005F40F2" w:rsidRPr="00554B10" w:rsidRDefault="005F40F2" w:rsidP="000B20B5">
            <w:pPr>
              <w:pStyle w:val="TableText"/>
              <w:rPr>
                <w:color w:val="000000"/>
              </w:rPr>
            </w:pPr>
            <w:r w:rsidRPr="00554B10">
              <w:t>Treasury and Finance</w:t>
            </w:r>
          </w:p>
        </w:tc>
        <w:tc>
          <w:tcPr>
            <w:tcW w:w="1034" w:type="dxa"/>
            <w:vAlign w:val="center"/>
          </w:tcPr>
          <w:p w14:paraId="0943B304" w14:textId="06416D89" w:rsidR="005F40F2" w:rsidRPr="00554B10" w:rsidRDefault="002B208A" w:rsidP="00AD64BE">
            <w:pPr>
              <w:pStyle w:val="Tablenumbers"/>
            </w:pPr>
            <w:r>
              <w:t>2</w:t>
            </w:r>
          </w:p>
        </w:tc>
      </w:tr>
      <w:tr w:rsidR="005F40F2" w:rsidRPr="00554B10" w14:paraId="369A2374" w14:textId="77777777" w:rsidTr="00AD64BE">
        <w:trPr>
          <w:trHeight w:val="256"/>
        </w:trPr>
        <w:tc>
          <w:tcPr>
            <w:tcW w:w="3685" w:type="dxa"/>
          </w:tcPr>
          <w:p w14:paraId="342EBF11" w14:textId="77777777" w:rsidR="005F40F2" w:rsidRPr="00554B10" w:rsidRDefault="005F40F2" w:rsidP="000B20B5">
            <w:pPr>
              <w:pStyle w:val="TableText"/>
            </w:pPr>
            <w:r w:rsidRPr="00554B10">
              <w:t>Cenitex</w:t>
            </w:r>
          </w:p>
        </w:tc>
        <w:tc>
          <w:tcPr>
            <w:tcW w:w="1034" w:type="dxa"/>
            <w:vAlign w:val="center"/>
          </w:tcPr>
          <w:p w14:paraId="0064D05D" w14:textId="77777777" w:rsidR="005F40F2" w:rsidRPr="00554B10" w:rsidRDefault="005F40F2" w:rsidP="00AD64BE">
            <w:pPr>
              <w:pStyle w:val="Tablenumbers"/>
            </w:pPr>
            <w:r>
              <w:t>0</w:t>
            </w:r>
          </w:p>
        </w:tc>
      </w:tr>
      <w:tr w:rsidR="005F40F2" w:rsidRPr="00554B10" w14:paraId="0DB7604C" w14:textId="77777777" w:rsidTr="00AD64BE">
        <w:trPr>
          <w:trHeight w:val="256"/>
        </w:trPr>
        <w:tc>
          <w:tcPr>
            <w:tcW w:w="3685" w:type="dxa"/>
          </w:tcPr>
          <w:p w14:paraId="524EDE4D" w14:textId="77777777" w:rsidR="005F40F2" w:rsidRPr="00554B10" w:rsidRDefault="005F40F2" w:rsidP="000B20B5">
            <w:pPr>
              <w:pStyle w:val="TableText"/>
            </w:pPr>
            <w:r w:rsidRPr="00554B10">
              <w:t>Victoria Police</w:t>
            </w:r>
          </w:p>
        </w:tc>
        <w:tc>
          <w:tcPr>
            <w:tcW w:w="1034" w:type="dxa"/>
            <w:vAlign w:val="center"/>
          </w:tcPr>
          <w:p w14:paraId="36B30AF0" w14:textId="77777777" w:rsidR="005F40F2" w:rsidRPr="00554B10" w:rsidRDefault="005F40F2" w:rsidP="00AD64BE">
            <w:pPr>
              <w:pStyle w:val="Tablenumbers"/>
            </w:pPr>
            <w:r>
              <w:t>27</w:t>
            </w:r>
          </w:p>
        </w:tc>
      </w:tr>
      <w:tr w:rsidR="005F40F2" w:rsidRPr="000B20B5" w14:paraId="56DEA00B" w14:textId="77777777" w:rsidTr="00AD64BE">
        <w:trPr>
          <w:trHeight w:val="256"/>
        </w:trPr>
        <w:tc>
          <w:tcPr>
            <w:tcW w:w="3685" w:type="dxa"/>
          </w:tcPr>
          <w:p w14:paraId="4EF6058C" w14:textId="77777777" w:rsidR="005F40F2" w:rsidRPr="000B20B5" w:rsidRDefault="005F40F2" w:rsidP="000B20B5">
            <w:pPr>
              <w:pStyle w:val="TableText"/>
              <w:rPr>
                <w:rStyle w:val="Strong"/>
              </w:rPr>
            </w:pPr>
            <w:r w:rsidRPr="000B20B5">
              <w:rPr>
                <w:rStyle w:val="Strong"/>
              </w:rPr>
              <w:t>Total</w:t>
            </w:r>
          </w:p>
        </w:tc>
        <w:tc>
          <w:tcPr>
            <w:tcW w:w="1034" w:type="dxa"/>
            <w:vAlign w:val="center"/>
          </w:tcPr>
          <w:p w14:paraId="4F3F9FB4" w14:textId="5C37B356" w:rsidR="005F40F2" w:rsidRPr="000B20B5" w:rsidRDefault="005F40F2" w:rsidP="00AD64BE">
            <w:pPr>
              <w:pStyle w:val="Tablenumbers"/>
              <w:rPr>
                <w:rStyle w:val="Strong"/>
              </w:rPr>
            </w:pPr>
            <w:r w:rsidRPr="000B20B5">
              <w:rPr>
                <w:rStyle w:val="Strong"/>
              </w:rPr>
              <w:t>31</w:t>
            </w:r>
            <w:r w:rsidR="006841E8" w:rsidRPr="000B20B5">
              <w:rPr>
                <w:rStyle w:val="Strong"/>
              </w:rPr>
              <w:t>5</w:t>
            </w:r>
          </w:p>
        </w:tc>
      </w:tr>
    </w:tbl>
    <w:p w14:paraId="34924D51" w14:textId="4F2402C6" w:rsidR="005F40F2" w:rsidRDefault="00F0017B" w:rsidP="005F40F2">
      <w:pPr>
        <w:pStyle w:val="Tablenotes"/>
      </w:pPr>
      <w:r>
        <w:t>*</w:t>
      </w:r>
      <w:r w:rsidR="005F40F2" w:rsidRPr="00753AE3">
        <w:t>The Department of Education and Training keeps full records of all variations but cannot extract number and value from its current procurement system. A new system will be implemented in 2021 to enable this data capture.</w:t>
      </w:r>
    </w:p>
    <w:p w14:paraId="47DBFB82" w14:textId="77777777" w:rsidR="00B832F4" w:rsidRDefault="00B832F4">
      <w:pPr>
        <w:rPr>
          <w:rFonts w:ascii="Calibri" w:hAnsi="Calibri" w:cs="Calibri"/>
          <w:color w:val="4D4D4D"/>
          <w:kern w:val="28"/>
          <w:sz w:val="30"/>
          <w:szCs w:val="22"/>
          <w:lang w:val="en-US" w:eastAsia="en-US"/>
        </w:rPr>
      </w:pPr>
      <w:bookmarkStart w:id="159" w:name="_Toc20648412"/>
      <w:bookmarkEnd w:id="112"/>
      <w:r>
        <w:rPr>
          <w:lang w:val="en-US"/>
        </w:rPr>
        <w:br w:type="page"/>
      </w:r>
    </w:p>
    <w:p w14:paraId="3DFF3365" w14:textId="701A9BE8" w:rsidR="001604D5" w:rsidRPr="003618D4" w:rsidRDefault="001604D5" w:rsidP="001604D5">
      <w:pPr>
        <w:pStyle w:val="Heading2NoNum"/>
        <w:rPr>
          <w:lang w:val="en-US"/>
        </w:rPr>
      </w:pPr>
      <w:bookmarkStart w:id="160" w:name="_Toc52187736"/>
      <w:r w:rsidRPr="003618D4">
        <w:rPr>
          <w:lang w:val="en-US"/>
        </w:rPr>
        <w:lastRenderedPageBreak/>
        <w:t>Procurement complexity</w:t>
      </w:r>
      <w:bookmarkEnd w:id="159"/>
      <w:bookmarkEnd w:id="160"/>
    </w:p>
    <w:p w14:paraId="02638B41" w14:textId="77777777" w:rsidR="001604D5" w:rsidRDefault="001604D5" w:rsidP="001604D5">
      <w:pPr>
        <w:pStyle w:val="Normal1"/>
      </w:pPr>
      <w:r>
        <w:t>Procurement complexity refers to the level of difficulty involved in procuring a good or service. An assessment of complexity considers factors such as risk, total cost of ownership and market dynamics.</w:t>
      </w:r>
    </w:p>
    <w:p w14:paraId="3FE1DCC2" w14:textId="65D8769F" w:rsidR="001604D5" w:rsidRDefault="001604D5" w:rsidP="001604D5">
      <w:pPr>
        <w:pStyle w:val="Normal1"/>
        <w:rPr>
          <w:lang w:eastAsia="en-US"/>
        </w:rPr>
      </w:pPr>
      <w:r w:rsidRPr="00CD6245">
        <w:rPr>
          <w:lang w:eastAsia="en-US"/>
        </w:rPr>
        <w:t xml:space="preserve">When buying goods and services, organisations complete a complexity assessment and </w:t>
      </w:r>
      <w:r>
        <w:rPr>
          <w:lang w:eastAsia="en-US"/>
        </w:rPr>
        <w:t>categorise procurements into one of four complexity quadrants (</w:t>
      </w:r>
      <w:r w:rsidR="00804208">
        <w:rPr>
          <w:lang w:eastAsia="en-US"/>
        </w:rPr>
        <w:t>Table 2</w:t>
      </w:r>
      <w:r w:rsidR="004D7232">
        <w:rPr>
          <w:lang w:eastAsia="en-US"/>
        </w:rPr>
        <w:t>1</w:t>
      </w:r>
      <w:r>
        <w:rPr>
          <w:lang w:eastAsia="en-US"/>
        </w:rPr>
        <w:t xml:space="preserve">). The quadrant guides </w:t>
      </w:r>
      <w:r w:rsidRPr="00CD6245">
        <w:rPr>
          <w:lang w:eastAsia="en-US"/>
        </w:rPr>
        <w:t xml:space="preserve">the sourcing strategy and </w:t>
      </w:r>
      <w:r>
        <w:rPr>
          <w:lang w:eastAsia="en-US"/>
        </w:rPr>
        <w:t xml:space="preserve">how to </w:t>
      </w:r>
      <w:r w:rsidRPr="00CD6245">
        <w:rPr>
          <w:lang w:eastAsia="en-US"/>
        </w:rPr>
        <w:t>manage risks and contractual arrangements.</w:t>
      </w:r>
    </w:p>
    <w:p w14:paraId="56DED565" w14:textId="30A56CDA" w:rsidR="001604D5" w:rsidRPr="00CD6245" w:rsidRDefault="001604D5" w:rsidP="001604D5">
      <w:pPr>
        <w:pStyle w:val="Caption"/>
      </w:pPr>
      <w:bookmarkStart w:id="161" w:name="_Toc48837154"/>
      <w:bookmarkStart w:id="162" w:name="_Toc49185544"/>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21</w:t>
      </w:r>
      <w:r>
        <w:rPr>
          <w:noProof/>
        </w:rPr>
        <w:fldChar w:fldCharType="end"/>
      </w:r>
      <w:r w:rsidRPr="00CD6245">
        <w:t>: Description of complexity quadrants</w:t>
      </w:r>
      <w:bookmarkEnd w:id="161"/>
      <w:bookmarkEnd w:id="162"/>
    </w:p>
    <w:tbl>
      <w:tblPr>
        <w:tblStyle w:val="TableGrid1"/>
        <w:tblW w:w="8789" w:type="dxa"/>
        <w:tblInd w:w="846" w:type="dxa"/>
        <w:tblLook w:val="04A0" w:firstRow="1" w:lastRow="0" w:firstColumn="1" w:lastColumn="0" w:noHBand="0" w:noVBand="1"/>
      </w:tblPr>
      <w:tblGrid>
        <w:gridCol w:w="1488"/>
        <w:gridCol w:w="7301"/>
      </w:tblGrid>
      <w:tr w:rsidR="001604D5" w:rsidRPr="00554B10" w14:paraId="761A81B4" w14:textId="77777777" w:rsidTr="001604D5">
        <w:tc>
          <w:tcPr>
            <w:tcW w:w="1488" w:type="dxa"/>
            <w:shd w:val="clear" w:color="auto" w:fill="BFBFBF" w:themeFill="background1" w:themeFillShade="BF"/>
          </w:tcPr>
          <w:p w14:paraId="3DAD6925" w14:textId="77777777" w:rsidR="001604D5" w:rsidRPr="00554B10" w:rsidRDefault="001604D5" w:rsidP="000B20B5">
            <w:pPr>
              <w:pStyle w:val="TableHeader"/>
            </w:pPr>
            <w:r w:rsidRPr="00554B10">
              <w:t>Quadrant</w:t>
            </w:r>
          </w:p>
        </w:tc>
        <w:tc>
          <w:tcPr>
            <w:tcW w:w="7301" w:type="dxa"/>
            <w:shd w:val="clear" w:color="auto" w:fill="BFBFBF" w:themeFill="background1" w:themeFillShade="BF"/>
          </w:tcPr>
          <w:p w14:paraId="40A78808" w14:textId="77777777" w:rsidR="001604D5" w:rsidRPr="00554B10" w:rsidRDefault="001604D5" w:rsidP="000B20B5">
            <w:pPr>
              <w:pStyle w:val="TableHeader"/>
            </w:pPr>
            <w:r w:rsidRPr="00554B10">
              <w:t>Description</w:t>
            </w:r>
          </w:p>
        </w:tc>
      </w:tr>
      <w:tr w:rsidR="001604D5" w:rsidRPr="00554B10" w14:paraId="37E8CE5B" w14:textId="77777777" w:rsidTr="001604D5">
        <w:tc>
          <w:tcPr>
            <w:tcW w:w="1488" w:type="dxa"/>
          </w:tcPr>
          <w:p w14:paraId="71EEDEAF" w14:textId="77777777" w:rsidR="001604D5" w:rsidRPr="00D30E1B" w:rsidRDefault="001604D5" w:rsidP="000B20B5">
            <w:pPr>
              <w:pStyle w:val="TableText"/>
            </w:pPr>
            <w:r w:rsidRPr="00D30E1B">
              <w:t>Transactional</w:t>
            </w:r>
          </w:p>
        </w:tc>
        <w:tc>
          <w:tcPr>
            <w:tcW w:w="7301" w:type="dxa"/>
          </w:tcPr>
          <w:p w14:paraId="73E1C8FF" w14:textId="77777777" w:rsidR="001604D5" w:rsidRPr="00554B10" w:rsidRDefault="001604D5" w:rsidP="000B20B5">
            <w:pPr>
              <w:pStyle w:val="TableText"/>
            </w:pPr>
            <w:r w:rsidRPr="00554B10">
              <w:t xml:space="preserve">Low-value and low-risk transactions where approved suppliers (e.g. SPCs) are not available. </w:t>
            </w:r>
          </w:p>
        </w:tc>
      </w:tr>
      <w:tr w:rsidR="001604D5" w:rsidRPr="00554B10" w14:paraId="33B80B3B" w14:textId="77777777" w:rsidTr="001604D5">
        <w:tc>
          <w:tcPr>
            <w:tcW w:w="1488" w:type="dxa"/>
          </w:tcPr>
          <w:p w14:paraId="79414C4D" w14:textId="77777777" w:rsidR="001604D5" w:rsidRPr="00D30E1B" w:rsidRDefault="001604D5" w:rsidP="000B20B5">
            <w:pPr>
              <w:pStyle w:val="TableText"/>
            </w:pPr>
            <w:r w:rsidRPr="00D30E1B">
              <w:t>Leveraged</w:t>
            </w:r>
          </w:p>
        </w:tc>
        <w:tc>
          <w:tcPr>
            <w:tcW w:w="7301" w:type="dxa"/>
          </w:tcPr>
          <w:p w14:paraId="59191E9B" w14:textId="77777777" w:rsidR="001604D5" w:rsidRPr="00554B10" w:rsidRDefault="001604D5" w:rsidP="000B20B5">
            <w:pPr>
              <w:pStyle w:val="TableText"/>
            </w:pPr>
            <w:r w:rsidRPr="00554B10">
              <w:t>Frequently used goods and services in a competitive marketplace that are procured by an individual organisation or whole of government, where the organisation has the ability to drive value.</w:t>
            </w:r>
          </w:p>
        </w:tc>
      </w:tr>
      <w:tr w:rsidR="001604D5" w:rsidRPr="00554B10" w14:paraId="797C3C92" w14:textId="77777777" w:rsidTr="001604D5">
        <w:tc>
          <w:tcPr>
            <w:tcW w:w="1488" w:type="dxa"/>
          </w:tcPr>
          <w:p w14:paraId="3693B7FE" w14:textId="77777777" w:rsidR="001604D5" w:rsidRPr="00D30E1B" w:rsidRDefault="001604D5" w:rsidP="000B20B5">
            <w:pPr>
              <w:pStyle w:val="TableText"/>
            </w:pPr>
            <w:r w:rsidRPr="00D30E1B">
              <w:t>Focused</w:t>
            </w:r>
          </w:p>
        </w:tc>
        <w:tc>
          <w:tcPr>
            <w:tcW w:w="7301" w:type="dxa"/>
          </w:tcPr>
          <w:p w14:paraId="5C0651C8" w14:textId="1AD54081" w:rsidR="001604D5" w:rsidRPr="00554B10" w:rsidRDefault="001604D5" w:rsidP="000B20B5">
            <w:pPr>
              <w:pStyle w:val="TableText"/>
            </w:pPr>
            <w:r w:rsidRPr="00554B10">
              <w:t>Goods and services where a limited number of suppliers are available or where novel commercial arrangements are in place. May include whole</w:t>
            </w:r>
            <w:r w:rsidR="00FE3B3A">
              <w:t>-</w:t>
            </w:r>
            <w:r w:rsidRPr="00554B10">
              <w:t>of</w:t>
            </w:r>
            <w:r w:rsidR="00FE3B3A">
              <w:t>-</w:t>
            </w:r>
            <w:r w:rsidRPr="00554B10">
              <w:t>government contracts.</w:t>
            </w:r>
          </w:p>
        </w:tc>
      </w:tr>
      <w:tr w:rsidR="001604D5" w:rsidRPr="00554B10" w14:paraId="1045590C" w14:textId="77777777" w:rsidTr="001604D5">
        <w:tc>
          <w:tcPr>
            <w:tcW w:w="1488" w:type="dxa"/>
          </w:tcPr>
          <w:p w14:paraId="2E2CA1DB" w14:textId="77777777" w:rsidR="001604D5" w:rsidRPr="00D30E1B" w:rsidRDefault="001604D5" w:rsidP="000B20B5">
            <w:pPr>
              <w:pStyle w:val="TableText"/>
            </w:pPr>
            <w:r w:rsidRPr="00D30E1B">
              <w:t>Strategic</w:t>
            </w:r>
          </w:p>
        </w:tc>
        <w:tc>
          <w:tcPr>
            <w:tcW w:w="7301" w:type="dxa"/>
          </w:tcPr>
          <w:p w14:paraId="014A08EF" w14:textId="4244EF88" w:rsidR="001604D5" w:rsidRPr="00554B10" w:rsidRDefault="001604D5" w:rsidP="000B20B5">
            <w:pPr>
              <w:pStyle w:val="TableText"/>
            </w:pPr>
            <w:r w:rsidRPr="00554B10">
              <w:t>Goods and services in a competitive market that are high value, where business criticality is high, and/or where the good or service is of state significance. May include whole</w:t>
            </w:r>
            <w:r w:rsidR="00FE3B3A">
              <w:t>-</w:t>
            </w:r>
            <w:r w:rsidRPr="00554B10">
              <w:t>of</w:t>
            </w:r>
            <w:r w:rsidR="00FE3B3A">
              <w:t>-</w:t>
            </w:r>
            <w:r w:rsidRPr="00554B10">
              <w:t xml:space="preserve">government contracts. </w:t>
            </w:r>
          </w:p>
        </w:tc>
      </w:tr>
    </w:tbl>
    <w:p w14:paraId="4F75D8E2" w14:textId="77777777" w:rsidR="001604D5" w:rsidRDefault="001604D5" w:rsidP="001604D5">
      <w:pPr>
        <w:pStyle w:val="Heading3NoNum"/>
      </w:pPr>
      <w:r>
        <w:t>Overview of complexity</w:t>
      </w:r>
    </w:p>
    <w:p w14:paraId="770E2BEE" w14:textId="5560B73A" w:rsidR="001604D5" w:rsidRDefault="001604D5" w:rsidP="001604D5">
      <w:pPr>
        <w:pStyle w:val="Normal1"/>
        <w:rPr>
          <w:lang w:eastAsia="en-US"/>
        </w:rPr>
      </w:pPr>
      <w:r>
        <w:rPr>
          <w:lang w:eastAsia="en-US"/>
        </w:rPr>
        <w:t>VGPB</w:t>
      </w:r>
      <w:r w:rsidRPr="001A77CE">
        <w:rPr>
          <w:lang w:eastAsia="en-US"/>
        </w:rPr>
        <w:t xml:space="preserve"> policies require upfront planning, category management and detailed market analysis. Organisations identify the best approach to market for any given category</w:t>
      </w:r>
      <w:r>
        <w:rPr>
          <w:lang w:eastAsia="en-US"/>
        </w:rPr>
        <w:t>,</w:t>
      </w:r>
      <w:r w:rsidRPr="001A77CE">
        <w:rPr>
          <w:lang w:eastAsia="en-US"/>
        </w:rPr>
        <w:t xml:space="preserve"> while also identifying opportunities to aggregate demand for frequently used goods and services procured from a competitive marketplace, giving them more buying power to drive value for money.</w:t>
      </w:r>
    </w:p>
    <w:p w14:paraId="7A62035C" w14:textId="3D2365B7" w:rsidR="00804208" w:rsidRPr="00CD6245" w:rsidRDefault="00804208" w:rsidP="001604D5">
      <w:pPr>
        <w:pStyle w:val="Normal1"/>
        <w:rPr>
          <w:lang w:eastAsia="en-US"/>
        </w:rPr>
      </w:pPr>
      <w:r>
        <w:rPr>
          <w:lang w:eastAsia="en-US"/>
        </w:rPr>
        <w:t xml:space="preserve">For critical incident procurements, organisations will </w:t>
      </w:r>
      <w:r w:rsidR="00B832F4">
        <w:rPr>
          <w:lang w:eastAsia="en-US"/>
        </w:rPr>
        <w:t xml:space="preserve">usually </w:t>
      </w:r>
      <w:r>
        <w:rPr>
          <w:lang w:eastAsia="en-US"/>
        </w:rPr>
        <w:t>complete a complexity assessment as part of their market approach, but it is not mandatory. For this reason, critical incident procurements are not included in the breakdown of complexity</w:t>
      </w:r>
      <w:r w:rsidR="00D270EC">
        <w:rPr>
          <w:lang w:eastAsia="en-US"/>
        </w:rPr>
        <w:t xml:space="preserve"> in this section.</w:t>
      </w:r>
    </w:p>
    <w:p w14:paraId="75B8391A" w14:textId="67B29B5F" w:rsidR="001604D5" w:rsidRPr="00381BB6" w:rsidRDefault="001604D5" w:rsidP="001604D5">
      <w:pPr>
        <w:pStyle w:val="Caption"/>
      </w:pPr>
      <w:bookmarkStart w:id="163" w:name="_Ref425586906"/>
      <w:bookmarkStart w:id="164" w:name="_Toc17130208"/>
      <w:bookmarkStart w:id="165" w:name="_Toc48837155"/>
      <w:bookmarkStart w:id="166" w:name="_Toc49185545"/>
      <w:r w:rsidRPr="00381BB6">
        <w:t xml:space="preserve">Table </w:t>
      </w:r>
      <w:r>
        <w:rPr>
          <w:noProof/>
        </w:rPr>
        <w:fldChar w:fldCharType="begin"/>
      </w:r>
      <w:r>
        <w:rPr>
          <w:noProof/>
        </w:rPr>
        <w:instrText xml:space="preserve"> SEQ Table \* ARABIC </w:instrText>
      </w:r>
      <w:r>
        <w:rPr>
          <w:noProof/>
        </w:rPr>
        <w:fldChar w:fldCharType="separate"/>
      </w:r>
      <w:r w:rsidR="00152B74">
        <w:rPr>
          <w:noProof/>
        </w:rPr>
        <w:t>22</w:t>
      </w:r>
      <w:r>
        <w:rPr>
          <w:noProof/>
        </w:rPr>
        <w:fldChar w:fldCharType="end"/>
      </w:r>
      <w:bookmarkEnd w:id="163"/>
      <w:r w:rsidRPr="00381BB6">
        <w:t xml:space="preserve">: </w:t>
      </w:r>
      <w:r>
        <w:t>Total c</w:t>
      </w:r>
      <w:r w:rsidRPr="00381BB6">
        <w:t>ontract approvals by complexity quadrant in 20</w:t>
      </w:r>
      <w:r>
        <w:t>19</w:t>
      </w:r>
      <w:bookmarkEnd w:id="164"/>
      <w:r w:rsidR="003F788C">
        <w:t>–20</w:t>
      </w:r>
      <w:bookmarkEnd w:id="165"/>
      <w:bookmarkEnd w:id="166"/>
    </w:p>
    <w:tbl>
      <w:tblPr>
        <w:tblStyle w:val="TableGrid1"/>
        <w:tblW w:w="6946" w:type="dxa"/>
        <w:tblInd w:w="846" w:type="dxa"/>
        <w:tblLook w:val="04A0" w:firstRow="1" w:lastRow="0" w:firstColumn="1" w:lastColumn="0" w:noHBand="0" w:noVBand="1"/>
      </w:tblPr>
      <w:tblGrid>
        <w:gridCol w:w="2551"/>
        <w:gridCol w:w="1018"/>
        <w:gridCol w:w="1389"/>
        <w:gridCol w:w="1988"/>
      </w:tblGrid>
      <w:tr w:rsidR="001604D5" w:rsidRPr="00D30E1B" w14:paraId="7AE33C00" w14:textId="77777777" w:rsidTr="000B20B5">
        <w:trPr>
          <w:trHeight w:val="255"/>
        </w:trPr>
        <w:tc>
          <w:tcPr>
            <w:tcW w:w="2551" w:type="dxa"/>
            <w:shd w:val="clear" w:color="auto" w:fill="BFBFBF" w:themeFill="background1" w:themeFillShade="BF"/>
          </w:tcPr>
          <w:p w14:paraId="37738D29" w14:textId="77777777" w:rsidR="001604D5" w:rsidRPr="00D30E1B" w:rsidRDefault="001604D5" w:rsidP="000B20B5">
            <w:pPr>
              <w:pStyle w:val="TableHeader"/>
            </w:pPr>
            <w:r w:rsidRPr="00D30E1B">
              <w:t>Complexity quadrant</w:t>
            </w:r>
          </w:p>
        </w:tc>
        <w:tc>
          <w:tcPr>
            <w:tcW w:w="1018" w:type="dxa"/>
            <w:shd w:val="clear" w:color="auto" w:fill="BFBFBF" w:themeFill="background1" w:themeFillShade="BF"/>
          </w:tcPr>
          <w:p w14:paraId="66FB3B54" w14:textId="77777777" w:rsidR="001604D5" w:rsidRPr="00D30E1B" w:rsidRDefault="001604D5" w:rsidP="000B20B5">
            <w:pPr>
              <w:pStyle w:val="TableHeader"/>
            </w:pPr>
            <w:r w:rsidRPr="00D30E1B">
              <w:t>Number</w:t>
            </w:r>
          </w:p>
        </w:tc>
        <w:tc>
          <w:tcPr>
            <w:tcW w:w="1389" w:type="dxa"/>
            <w:shd w:val="clear" w:color="auto" w:fill="BFBFBF" w:themeFill="background1" w:themeFillShade="BF"/>
          </w:tcPr>
          <w:p w14:paraId="4F1FF2C3" w14:textId="743999CE" w:rsidR="001604D5" w:rsidRPr="00D30E1B" w:rsidRDefault="001604D5" w:rsidP="000B20B5">
            <w:pPr>
              <w:pStyle w:val="TableHeader"/>
            </w:pPr>
            <w:r w:rsidRPr="00D30E1B">
              <w:t>Value (</w:t>
            </w:r>
            <w:r w:rsidR="005C4F4A">
              <w:t>$m</w:t>
            </w:r>
            <w:r w:rsidRPr="00D30E1B">
              <w:t>)</w:t>
            </w:r>
          </w:p>
        </w:tc>
        <w:tc>
          <w:tcPr>
            <w:tcW w:w="1988" w:type="dxa"/>
            <w:shd w:val="clear" w:color="auto" w:fill="BFBFBF" w:themeFill="background1" w:themeFillShade="BF"/>
          </w:tcPr>
          <w:p w14:paraId="17B0F63D" w14:textId="678C2050" w:rsidR="001604D5" w:rsidRPr="00D30E1B" w:rsidRDefault="001604D5" w:rsidP="000B20B5">
            <w:pPr>
              <w:pStyle w:val="TableHeader"/>
            </w:pPr>
            <w:r w:rsidRPr="00D30E1B">
              <w:t>Average value per contract (</w:t>
            </w:r>
            <w:r w:rsidR="005C4F4A">
              <w:t>$m</w:t>
            </w:r>
            <w:r w:rsidRPr="00D30E1B">
              <w:t>)</w:t>
            </w:r>
          </w:p>
        </w:tc>
      </w:tr>
      <w:tr w:rsidR="0089043C" w:rsidRPr="00D30E1B" w14:paraId="5069420C" w14:textId="77777777" w:rsidTr="000B20B5">
        <w:trPr>
          <w:trHeight w:val="255"/>
        </w:trPr>
        <w:tc>
          <w:tcPr>
            <w:tcW w:w="2551" w:type="dxa"/>
          </w:tcPr>
          <w:p w14:paraId="7A81D4E4" w14:textId="77777777" w:rsidR="0089043C" w:rsidRPr="00D30E1B" w:rsidRDefault="0089043C" w:rsidP="000B20B5">
            <w:pPr>
              <w:pStyle w:val="TableText"/>
            </w:pPr>
            <w:r w:rsidRPr="00D30E1B">
              <w:t>Transactional</w:t>
            </w:r>
          </w:p>
        </w:tc>
        <w:tc>
          <w:tcPr>
            <w:tcW w:w="1018" w:type="dxa"/>
          </w:tcPr>
          <w:p w14:paraId="61D129A2" w14:textId="51187491" w:rsidR="0089043C" w:rsidRPr="00D270EC" w:rsidRDefault="0089043C" w:rsidP="000B20B5">
            <w:pPr>
              <w:pStyle w:val="Tablenumbers"/>
            </w:pPr>
            <w:r w:rsidRPr="00001D41">
              <w:t>632</w:t>
            </w:r>
          </w:p>
        </w:tc>
        <w:tc>
          <w:tcPr>
            <w:tcW w:w="1389" w:type="dxa"/>
          </w:tcPr>
          <w:p w14:paraId="303720F7" w14:textId="0012FFF6" w:rsidR="0089043C" w:rsidRPr="00D270EC" w:rsidRDefault="0089043C" w:rsidP="000B20B5">
            <w:pPr>
              <w:pStyle w:val="Tablenumbers"/>
            </w:pPr>
            <w:r>
              <w:t>$</w:t>
            </w:r>
            <w:r w:rsidRPr="00001D41">
              <w:t>471.</w:t>
            </w:r>
            <w:r w:rsidR="00B75E1D">
              <w:t>8</w:t>
            </w:r>
          </w:p>
        </w:tc>
        <w:tc>
          <w:tcPr>
            <w:tcW w:w="1988" w:type="dxa"/>
          </w:tcPr>
          <w:p w14:paraId="4DF879E6" w14:textId="307516F9" w:rsidR="0089043C" w:rsidRPr="00D270EC" w:rsidRDefault="0089043C" w:rsidP="000B20B5">
            <w:pPr>
              <w:pStyle w:val="Tablenumbers"/>
            </w:pPr>
            <w:r>
              <w:t>$0</w:t>
            </w:r>
            <w:r w:rsidRPr="00001D41">
              <w:t>.7</w:t>
            </w:r>
          </w:p>
        </w:tc>
      </w:tr>
      <w:tr w:rsidR="0089043C" w:rsidRPr="00D30E1B" w14:paraId="23458DD4" w14:textId="77777777" w:rsidTr="000B20B5">
        <w:trPr>
          <w:trHeight w:val="255"/>
        </w:trPr>
        <w:tc>
          <w:tcPr>
            <w:tcW w:w="2551" w:type="dxa"/>
          </w:tcPr>
          <w:p w14:paraId="7117A9DD" w14:textId="77777777" w:rsidR="0089043C" w:rsidRPr="00D30E1B" w:rsidRDefault="0089043C" w:rsidP="000B20B5">
            <w:pPr>
              <w:pStyle w:val="TableText"/>
            </w:pPr>
            <w:r w:rsidRPr="00D30E1B">
              <w:t>Leveraged</w:t>
            </w:r>
          </w:p>
        </w:tc>
        <w:tc>
          <w:tcPr>
            <w:tcW w:w="1018" w:type="dxa"/>
          </w:tcPr>
          <w:p w14:paraId="33DC6584" w14:textId="389E01CC" w:rsidR="0089043C" w:rsidRPr="00D270EC" w:rsidRDefault="0089043C" w:rsidP="000B20B5">
            <w:pPr>
              <w:pStyle w:val="Tablenumbers"/>
            </w:pPr>
            <w:r w:rsidRPr="00001D41">
              <w:t>148</w:t>
            </w:r>
          </w:p>
        </w:tc>
        <w:tc>
          <w:tcPr>
            <w:tcW w:w="1389" w:type="dxa"/>
          </w:tcPr>
          <w:p w14:paraId="292F57E4" w14:textId="6421FD33" w:rsidR="0089043C" w:rsidRPr="00D270EC" w:rsidRDefault="0089043C" w:rsidP="000B20B5">
            <w:pPr>
              <w:pStyle w:val="Tablenumbers"/>
            </w:pPr>
            <w:r>
              <w:t>$</w:t>
            </w:r>
            <w:r w:rsidRPr="00001D41">
              <w:t>251.</w:t>
            </w:r>
            <w:r w:rsidR="00B75E1D">
              <w:t>0</w:t>
            </w:r>
          </w:p>
        </w:tc>
        <w:tc>
          <w:tcPr>
            <w:tcW w:w="1988" w:type="dxa"/>
          </w:tcPr>
          <w:p w14:paraId="184B7EA0" w14:textId="16FF0F7F" w:rsidR="0089043C" w:rsidRPr="00D270EC" w:rsidRDefault="0089043C" w:rsidP="000B20B5">
            <w:pPr>
              <w:pStyle w:val="Tablenumbers"/>
            </w:pPr>
            <w:r>
              <w:t>$</w:t>
            </w:r>
            <w:r w:rsidRPr="00001D41">
              <w:t>1.7</w:t>
            </w:r>
          </w:p>
        </w:tc>
      </w:tr>
      <w:tr w:rsidR="0089043C" w:rsidRPr="00D30E1B" w14:paraId="2E088BD5" w14:textId="77777777" w:rsidTr="000B20B5">
        <w:trPr>
          <w:trHeight w:val="291"/>
        </w:trPr>
        <w:tc>
          <w:tcPr>
            <w:tcW w:w="2551" w:type="dxa"/>
          </w:tcPr>
          <w:p w14:paraId="3E5EBF5B" w14:textId="77777777" w:rsidR="0089043C" w:rsidRPr="00D30E1B" w:rsidRDefault="0089043C" w:rsidP="000B20B5">
            <w:pPr>
              <w:pStyle w:val="TableText"/>
            </w:pPr>
            <w:r w:rsidRPr="00D30E1B">
              <w:t>Focused</w:t>
            </w:r>
          </w:p>
        </w:tc>
        <w:tc>
          <w:tcPr>
            <w:tcW w:w="1018" w:type="dxa"/>
          </w:tcPr>
          <w:p w14:paraId="53DFC885" w14:textId="213734C3" w:rsidR="0089043C" w:rsidRPr="00D270EC" w:rsidRDefault="0089043C" w:rsidP="000B20B5">
            <w:pPr>
              <w:pStyle w:val="Tablenumbers"/>
            </w:pPr>
            <w:r w:rsidRPr="00001D41">
              <w:t>199</w:t>
            </w:r>
          </w:p>
        </w:tc>
        <w:tc>
          <w:tcPr>
            <w:tcW w:w="1389" w:type="dxa"/>
          </w:tcPr>
          <w:p w14:paraId="4B1C7493" w14:textId="5949700F" w:rsidR="0089043C" w:rsidRPr="00D270EC" w:rsidRDefault="0089043C" w:rsidP="000B20B5">
            <w:pPr>
              <w:pStyle w:val="Tablenumbers"/>
            </w:pPr>
            <w:r>
              <w:t>$</w:t>
            </w:r>
            <w:r w:rsidRPr="00001D41">
              <w:t>321.5</w:t>
            </w:r>
          </w:p>
        </w:tc>
        <w:tc>
          <w:tcPr>
            <w:tcW w:w="1988" w:type="dxa"/>
          </w:tcPr>
          <w:p w14:paraId="1DB11893" w14:textId="52024816" w:rsidR="0089043C" w:rsidRPr="00D270EC" w:rsidRDefault="0089043C" w:rsidP="000B20B5">
            <w:pPr>
              <w:pStyle w:val="Tablenumbers"/>
            </w:pPr>
            <w:r>
              <w:t>$</w:t>
            </w:r>
            <w:r w:rsidRPr="00001D41">
              <w:t>1.6</w:t>
            </w:r>
          </w:p>
        </w:tc>
      </w:tr>
      <w:tr w:rsidR="0089043C" w:rsidRPr="00D30E1B" w14:paraId="127E9327" w14:textId="77777777" w:rsidTr="000B20B5">
        <w:trPr>
          <w:trHeight w:val="300"/>
        </w:trPr>
        <w:tc>
          <w:tcPr>
            <w:tcW w:w="2551" w:type="dxa"/>
          </w:tcPr>
          <w:p w14:paraId="18E92859" w14:textId="77777777" w:rsidR="0089043C" w:rsidRPr="00D30E1B" w:rsidRDefault="0089043C" w:rsidP="000B20B5">
            <w:pPr>
              <w:pStyle w:val="TableText"/>
            </w:pPr>
            <w:r w:rsidRPr="00D30E1B">
              <w:t xml:space="preserve">Strategic </w:t>
            </w:r>
          </w:p>
        </w:tc>
        <w:tc>
          <w:tcPr>
            <w:tcW w:w="1018" w:type="dxa"/>
          </w:tcPr>
          <w:p w14:paraId="43BD9A20" w14:textId="3F4E42C0" w:rsidR="0089043C" w:rsidRPr="00D270EC" w:rsidRDefault="0089043C" w:rsidP="000B20B5">
            <w:pPr>
              <w:pStyle w:val="Tablenumbers"/>
            </w:pPr>
            <w:r w:rsidRPr="00001D41">
              <w:t>107</w:t>
            </w:r>
          </w:p>
        </w:tc>
        <w:tc>
          <w:tcPr>
            <w:tcW w:w="1389" w:type="dxa"/>
          </w:tcPr>
          <w:p w14:paraId="5BCE9584" w14:textId="715CC2D7" w:rsidR="0089043C" w:rsidRPr="00D270EC" w:rsidRDefault="0089043C" w:rsidP="000B20B5">
            <w:pPr>
              <w:pStyle w:val="Tablenumbers"/>
            </w:pPr>
            <w:r>
              <w:t>$</w:t>
            </w:r>
            <w:r w:rsidRPr="00001D41">
              <w:t>622.1</w:t>
            </w:r>
          </w:p>
        </w:tc>
        <w:tc>
          <w:tcPr>
            <w:tcW w:w="1988" w:type="dxa"/>
          </w:tcPr>
          <w:p w14:paraId="1F4AC544" w14:textId="3C9462BD" w:rsidR="0089043C" w:rsidRPr="00D270EC" w:rsidRDefault="0089043C" w:rsidP="000B20B5">
            <w:pPr>
              <w:pStyle w:val="Tablenumbers"/>
            </w:pPr>
            <w:r>
              <w:t>$</w:t>
            </w:r>
            <w:r w:rsidRPr="00001D41">
              <w:t>5.8</w:t>
            </w:r>
          </w:p>
        </w:tc>
      </w:tr>
      <w:tr w:rsidR="0089043C" w:rsidRPr="000B20B5" w14:paraId="4D88C32B" w14:textId="77777777" w:rsidTr="000B20B5">
        <w:trPr>
          <w:trHeight w:val="255"/>
        </w:trPr>
        <w:tc>
          <w:tcPr>
            <w:tcW w:w="2551" w:type="dxa"/>
            <w:noWrap/>
          </w:tcPr>
          <w:p w14:paraId="1CE003A8" w14:textId="77777777" w:rsidR="0089043C" w:rsidRPr="000B20B5" w:rsidRDefault="0089043C" w:rsidP="000B20B5">
            <w:pPr>
              <w:pStyle w:val="TableText"/>
              <w:rPr>
                <w:rStyle w:val="Strong"/>
              </w:rPr>
            </w:pPr>
            <w:r w:rsidRPr="000B20B5">
              <w:rPr>
                <w:rStyle w:val="Strong"/>
              </w:rPr>
              <w:t>Totals</w:t>
            </w:r>
          </w:p>
        </w:tc>
        <w:tc>
          <w:tcPr>
            <w:tcW w:w="1018" w:type="dxa"/>
            <w:noWrap/>
          </w:tcPr>
          <w:p w14:paraId="58F8F841" w14:textId="06491088" w:rsidR="0089043C" w:rsidRPr="000B20B5" w:rsidRDefault="0089043C" w:rsidP="000B20B5">
            <w:pPr>
              <w:pStyle w:val="Tablenumbers"/>
              <w:rPr>
                <w:rStyle w:val="Strong"/>
              </w:rPr>
            </w:pPr>
            <w:r w:rsidRPr="000B20B5">
              <w:rPr>
                <w:rStyle w:val="Strong"/>
              </w:rPr>
              <w:t>1 086</w:t>
            </w:r>
          </w:p>
        </w:tc>
        <w:tc>
          <w:tcPr>
            <w:tcW w:w="1389" w:type="dxa"/>
            <w:noWrap/>
          </w:tcPr>
          <w:p w14:paraId="6258C69A" w14:textId="7859F48E" w:rsidR="0089043C" w:rsidRPr="000B20B5" w:rsidRDefault="0089043C" w:rsidP="000B20B5">
            <w:pPr>
              <w:pStyle w:val="Tablenumbers"/>
              <w:rPr>
                <w:rStyle w:val="Strong"/>
              </w:rPr>
            </w:pPr>
            <w:r w:rsidRPr="000B20B5">
              <w:rPr>
                <w:rStyle w:val="Strong"/>
              </w:rPr>
              <w:t>$1 666.</w:t>
            </w:r>
            <w:r w:rsidR="00B75E1D" w:rsidRPr="000B20B5">
              <w:rPr>
                <w:rStyle w:val="Strong"/>
              </w:rPr>
              <w:t>3</w:t>
            </w:r>
          </w:p>
        </w:tc>
        <w:tc>
          <w:tcPr>
            <w:tcW w:w="1988" w:type="dxa"/>
          </w:tcPr>
          <w:p w14:paraId="02C7FEDB" w14:textId="1C9B9156" w:rsidR="0089043C" w:rsidRPr="000B20B5" w:rsidRDefault="0089043C" w:rsidP="000B20B5">
            <w:pPr>
              <w:pStyle w:val="Tablenumbers"/>
              <w:rPr>
                <w:rStyle w:val="Strong"/>
              </w:rPr>
            </w:pPr>
            <w:r w:rsidRPr="000B20B5">
              <w:rPr>
                <w:rStyle w:val="Strong"/>
              </w:rPr>
              <w:t>$1.5</w:t>
            </w:r>
          </w:p>
        </w:tc>
      </w:tr>
    </w:tbl>
    <w:p w14:paraId="12B41787" w14:textId="12A6ABD3" w:rsidR="001604D5" w:rsidRDefault="001604D5" w:rsidP="001604D5">
      <w:pPr>
        <w:pStyle w:val="Tablenotes"/>
      </w:pPr>
      <w:bookmarkStart w:id="167" w:name="_Ref425590345"/>
      <w:bookmarkStart w:id="168" w:name="_Ref425590335"/>
      <w:r w:rsidRPr="008F65CB">
        <w:t>Note</w:t>
      </w:r>
      <w:r>
        <w:t>s</w:t>
      </w:r>
      <w:r w:rsidRPr="008F65CB">
        <w:t>: Discrepancies between totals and sums of totals reflect rounding.</w:t>
      </w:r>
      <w:r>
        <w:t xml:space="preserve"> </w:t>
      </w:r>
      <w:r w:rsidRPr="008F65CB">
        <w:t>The total average value reflects total value divided by total number and not the sum of the average value components.</w:t>
      </w:r>
    </w:p>
    <w:p w14:paraId="3ACB56BC" w14:textId="77777777" w:rsidR="001604D5" w:rsidRPr="00D62620" w:rsidRDefault="001604D5" w:rsidP="001604D5">
      <w:pPr>
        <w:pStyle w:val="Tablenotes"/>
      </w:pPr>
    </w:p>
    <w:p w14:paraId="25CB4569" w14:textId="7A03C9EE" w:rsidR="001604D5" w:rsidRPr="000208DC" w:rsidRDefault="0089043C" w:rsidP="001604D5">
      <w:pPr>
        <w:pStyle w:val="Normal1"/>
      </w:pPr>
      <w:r w:rsidRPr="000208DC">
        <w:t xml:space="preserve">Most </w:t>
      </w:r>
      <w:r w:rsidR="001604D5" w:rsidRPr="000208DC">
        <w:t>procurement approvals were transactional</w:t>
      </w:r>
      <w:r w:rsidRPr="000208DC">
        <w:t xml:space="preserve"> (58.2 per cent)</w:t>
      </w:r>
      <w:r w:rsidR="000208DC" w:rsidRPr="000208DC">
        <w:t xml:space="preserve"> as shown in </w:t>
      </w:r>
      <w:r w:rsidR="000208DC" w:rsidRPr="000208DC">
        <w:fldChar w:fldCharType="begin"/>
      </w:r>
      <w:r w:rsidR="000208DC" w:rsidRPr="000208DC">
        <w:instrText xml:space="preserve"> REF _Ref14274980 \h </w:instrText>
      </w:r>
      <w:r w:rsidR="000208DC">
        <w:instrText xml:space="preserve"> \* MERGEFORMAT </w:instrText>
      </w:r>
      <w:r w:rsidR="000208DC" w:rsidRPr="000208DC">
        <w:fldChar w:fldCharType="separate"/>
      </w:r>
      <w:r w:rsidR="00152B74" w:rsidRPr="00381BB6">
        <w:t xml:space="preserve">Figure </w:t>
      </w:r>
      <w:r w:rsidR="00152B74">
        <w:rPr>
          <w:noProof/>
        </w:rPr>
        <w:t>6</w:t>
      </w:r>
      <w:r w:rsidR="000208DC" w:rsidRPr="000208DC">
        <w:fldChar w:fldCharType="end"/>
      </w:r>
      <w:r w:rsidR="004D7232">
        <w:t>.</w:t>
      </w:r>
    </w:p>
    <w:p w14:paraId="2B5EE3EB" w14:textId="1201EF28" w:rsidR="00842CBF" w:rsidRPr="000208DC" w:rsidRDefault="00842CBF" w:rsidP="001604D5">
      <w:pPr>
        <w:pStyle w:val="Normal1"/>
      </w:pPr>
      <w:r w:rsidRPr="000208DC">
        <w:t>The strategic quadrant had the lowest number (9.9 per cent) but the highest value (</w:t>
      </w:r>
      <w:r w:rsidR="000208DC" w:rsidRPr="000208DC">
        <w:t>37.3 per cent)</w:t>
      </w:r>
      <w:r w:rsidR="000208DC">
        <w:t>, as shown in Figure 7.</w:t>
      </w:r>
    </w:p>
    <w:p w14:paraId="487739A6" w14:textId="4388CBA0" w:rsidR="000208DC" w:rsidRPr="000208DC" w:rsidRDefault="000208DC" w:rsidP="000208DC">
      <w:pPr>
        <w:ind w:left="851"/>
      </w:pPr>
      <w:r>
        <w:rPr>
          <w:noProof/>
        </w:rPr>
        <w:lastRenderedPageBreak/>
        <w:drawing>
          <wp:inline distT="0" distB="0" distL="0" distR="0" wp14:anchorId="71F88327" wp14:editId="31C7BF23">
            <wp:extent cx="4171950" cy="2276475"/>
            <wp:effectExtent l="0" t="0" r="0" b="9525"/>
            <wp:docPr id="14" name="Chart 14">
              <a:extLst xmlns:a="http://schemas.openxmlformats.org/drawingml/2006/main">
                <a:ext uri="{FF2B5EF4-FFF2-40B4-BE49-F238E27FC236}">
                  <a16:creationId xmlns:a16="http://schemas.microsoft.com/office/drawing/2014/main" id="{FFAF13BA-66E5-48B7-AF04-1100A7C46F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5B1B35" w14:textId="7F914B86" w:rsidR="000B585B" w:rsidRDefault="000B585B" w:rsidP="000B585B">
      <w:pPr>
        <w:pStyle w:val="Caption"/>
      </w:pPr>
      <w:bookmarkStart w:id="169" w:name="_Ref14274980"/>
      <w:bookmarkStart w:id="170" w:name="_Toc17130229"/>
      <w:r w:rsidRPr="00381BB6">
        <w:t xml:space="preserve">Figure </w:t>
      </w:r>
      <w:r>
        <w:rPr>
          <w:noProof/>
        </w:rPr>
        <w:fldChar w:fldCharType="begin"/>
      </w:r>
      <w:r>
        <w:rPr>
          <w:noProof/>
        </w:rPr>
        <w:instrText xml:space="preserve"> SEQ Figure \* ARABIC </w:instrText>
      </w:r>
      <w:r>
        <w:rPr>
          <w:noProof/>
        </w:rPr>
        <w:fldChar w:fldCharType="separate"/>
      </w:r>
      <w:r w:rsidR="00152B74">
        <w:rPr>
          <w:noProof/>
        </w:rPr>
        <w:t>6</w:t>
      </w:r>
      <w:r>
        <w:rPr>
          <w:noProof/>
        </w:rPr>
        <w:fldChar w:fldCharType="end"/>
      </w:r>
      <w:bookmarkEnd w:id="169"/>
      <w:r w:rsidRPr="00381BB6">
        <w:t xml:space="preserve">: Number of contract approvals by complexity quadrant in </w:t>
      </w:r>
      <w:r>
        <w:t>2019–20</w:t>
      </w:r>
      <w:bookmarkEnd w:id="170"/>
    </w:p>
    <w:p w14:paraId="654B3BBB" w14:textId="20C25CBD" w:rsidR="001604D5" w:rsidRDefault="001604D5" w:rsidP="001604D5">
      <w:pPr>
        <w:pStyle w:val="Tablenotes"/>
      </w:pPr>
    </w:p>
    <w:p w14:paraId="1B721073" w14:textId="14CE4EB9" w:rsidR="000208DC" w:rsidRPr="000208DC" w:rsidRDefault="000208DC" w:rsidP="000208DC">
      <w:pPr>
        <w:ind w:left="851"/>
      </w:pPr>
      <w:r>
        <w:rPr>
          <w:noProof/>
        </w:rPr>
        <w:drawing>
          <wp:inline distT="0" distB="0" distL="0" distR="0" wp14:anchorId="49AEC694" wp14:editId="47C35082">
            <wp:extent cx="4171950" cy="2558415"/>
            <wp:effectExtent l="0" t="0" r="0" b="13335"/>
            <wp:docPr id="13" name="Chart 13">
              <a:extLst xmlns:a="http://schemas.openxmlformats.org/drawingml/2006/main">
                <a:ext uri="{FF2B5EF4-FFF2-40B4-BE49-F238E27FC236}">
                  <a16:creationId xmlns:a16="http://schemas.microsoft.com/office/drawing/2014/main" id="{5C4941CF-D2B8-42CF-98C7-7A1FCD610B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E9748AF" w14:textId="128DBBB6" w:rsidR="000B585B" w:rsidRDefault="000B585B" w:rsidP="000B585B">
      <w:pPr>
        <w:pStyle w:val="Caption"/>
      </w:pPr>
      <w:bookmarkStart w:id="171" w:name="_Toc17130230"/>
      <w:r w:rsidRPr="00381BB6">
        <w:t xml:space="preserve">Figure </w:t>
      </w:r>
      <w:r>
        <w:rPr>
          <w:noProof/>
        </w:rPr>
        <w:fldChar w:fldCharType="begin"/>
      </w:r>
      <w:r>
        <w:rPr>
          <w:noProof/>
        </w:rPr>
        <w:instrText xml:space="preserve"> SEQ Figure \* ARABIC </w:instrText>
      </w:r>
      <w:r>
        <w:rPr>
          <w:noProof/>
        </w:rPr>
        <w:fldChar w:fldCharType="separate"/>
      </w:r>
      <w:r w:rsidR="00152B74">
        <w:rPr>
          <w:noProof/>
        </w:rPr>
        <w:t>7</w:t>
      </w:r>
      <w:r>
        <w:rPr>
          <w:noProof/>
        </w:rPr>
        <w:fldChar w:fldCharType="end"/>
      </w:r>
      <w:r w:rsidRPr="00381BB6">
        <w:t xml:space="preserve">: </w:t>
      </w:r>
      <w:r>
        <w:t>Value</w:t>
      </w:r>
      <w:r w:rsidRPr="00381BB6">
        <w:t xml:space="preserve"> of contract approvals by complexity quadrant in </w:t>
      </w:r>
      <w:r>
        <w:t>2019–20</w:t>
      </w:r>
      <w:bookmarkEnd w:id="171"/>
    </w:p>
    <w:p w14:paraId="259AA71E" w14:textId="5B6C9068" w:rsidR="001604D5" w:rsidRPr="00C92C14" w:rsidRDefault="001604D5" w:rsidP="001604D5">
      <w:pPr>
        <w:pStyle w:val="Normal1"/>
      </w:pPr>
    </w:p>
    <w:p w14:paraId="3909DEB9" w14:textId="77777777" w:rsidR="001604D5" w:rsidRDefault="001604D5" w:rsidP="001604D5">
      <w:pPr>
        <w:rPr>
          <w:rFonts w:ascii="Calibri" w:hAnsi="Calibri" w:cs="Calibri"/>
          <w:b/>
          <w:color w:val="4D4D4D"/>
          <w:kern w:val="28"/>
          <w:sz w:val="26"/>
          <w:szCs w:val="22"/>
          <w:lang w:eastAsia="en-US"/>
        </w:rPr>
      </w:pPr>
      <w:r>
        <w:br w:type="page"/>
      </w:r>
    </w:p>
    <w:bookmarkEnd w:id="167"/>
    <w:bookmarkEnd w:id="168"/>
    <w:p w14:paraId="1B97CE7F" w14:textId="228A0B94" w:rsidR="001604D5" w:rsidRPr="00B173E2" w:rsidRDefault="001604D5" w:rsidP="001604D5">
      <w:pPr>
        <w:pStyle w:val="Heading3NoNum"/>
      </w:pPr>
      <w:r w:rsidRPr="00CD6245">
        <w:lastRenderedPageBreak/>
        <w:t>Trends in procurement complexity</w:t>
      </w:r>
    </w:p>
    <w:p w14:paraId="29D9901E" w14:textId="406098CB" w:rsidR="001604D5" w:rsidRDefault="001604D5" w:rsidP="001604D5">
      <w:pPr>
        <w:pStyle w:val="Normal1"/>
        <w:rPr>
          <w:lang w:eastAsia="en-US"/>
        </w:rPr>
      </w:pPr>
      <w:r>
        <w:rPr>
          <w:lang w:eastAsia="en-US"/>
        </w:rPr>
        <w:fldChar w:fldCharType="begin"/>
      </w:r>
      <w:r>
        <w:rPr>
          <w:lang w:eastAsia="en-US"/>
        </w:rPr>
        <w:instrText xml:space="preserve"> REF _Ref489007583 \h </w:instrText>
      </w:r>
      <w:r>
        <w:rPr>
          <w:lang w:eastAsia="en-US"/>
        </w:rPr>
      </w:r>
      <w:r>
        <w:rPr>
          <w:lang w:eastAsia="en-US"/>
        </w:rPr>
        <w:fldChar w:fldCharType="separate"/>
      </w:r>
      <w:r w:rsidR="00152B74" w:rsidRPr="00CD6245">
        <w:t xml:space="preserve">Table </w:t>
      </w:r>
      <w:r w:rsidR="00152B74">
        <w:rPr>
          <w:noProof/>
        </w:rPr>
        <w:t>23</w:t>
      </w:r>
      <w:r>
        <w:rPr>
          <w:lang w:eastAsia="en-US"/>
        </w:rPr>
        <w:fldChar w:fldCharType="end"/>
      </w:r>
      <w:r>
        <w:rPr>
          <w:lang w:eastAsia="en-US"/>
        </w:rPr>
        <w:t xml:space="preserve"> and </w:t>
      </w:r>
      <w:r>
        <w:rPr>
          <w:lang w:eastAsia="en-US"/>
        </w:rPr>
        <w:fldChar w:fldCharType="begin"/>
      </w:r>
      <w:r>
        <w:rPr>
          <w:lang w:eastAsia="en-US"/>
        </w:rPr>
        <w:instrText xml:space="preserve"> REF _Ref521152299 \h </w:instrText>
      </w:r>
      <w:r>
        <w:rPr>
          <w:lang w:eastAsia="en-US"/>
        </w:rPr>
      </w:r>
      <w:r>
        <w:rPr>
          <w:lang w:eastAsia="en-US"/>
        </w:rPr>
        <w:fldChar w:fldCharType="separate"/>
      </w:r>
      <w:r w:rsidR="00152B74">
        <w:t xml:space="preserve">Figure </w:t>
      </w:r>
      <w:r w:rsidR="00152B74">
        <w:rPr>
          <w:noProof/>
        </w:rPr>
        <w:t>8</w:t>
      </w:r>
      <w:r>
        <w:rPr>
          <w:lang w:eastAsia="en-US"/>
        </w:rPr>
        <w:fldChar w:fldCharType="end"/>
      </w:r>
      <w:r>
        <w:rPr>
          <w:lang w:eastAsia="en-US"/>
        </w:rPr>
        <w:t xml:space="preserve"> compare value and number of complex</w:t>
      </w:r>
      <w:r w:rsidRPr="00C77F48">
        <w:rPr>
          <w:lang w:eastAsia="en-US"/>
        </w:rPr>
        <w:t xml:space="preserve">ity quadrants </w:t>
      </w:r>
      <w:r>
        <w:rPr>
          <w:lang w:eastAsia="en-US"/>
        </w:rPr>
        <w:t xml:space="preserve">in </w:t>
      </w:r>
      <w:r w:rsidR="000D2C84">
        <w:rPr>
          <w:lang w:eastAsia="en-US"/>
        </w:rPr>
        <w:t>2019–20</w:t>
      </w:r>
      <w:r>
        <w:rPr>
          <w:lang w:eastAsia="en-US"/>
        </w:rPr>
        <w:t xml:space="preserve"> </w:t>
      </w:r>
      <w:r w:rsidRPr="00C77F48">
        <w:rPr>
          <w:lang w:eastAsia="en-US"/>
        </w:rPr>
        <w:t xml:space="preserve">with the </w:t>
      </w:r>
      <w:r>
        <w:rPr>
          <w:lang w:eastAsia="en-US"/>
        </w:rPr>
        <w:t>t</w:t>
      </w:r>
      <w:r w:rsidR="000D2C84">
        <w:rPr>
          <w:lang w:eastAsia="en-US"/>
        </w:rPr>
        <w:t>wo</w:t>
      </w:r>
      <w:r w:rsidRPr="00C77F48">
        <w:rPr>
          <w:lang w:eastAsia="en-US"/>
        </w:rPr>
        <w:t xml:space="preserve"> previous years.</w:t>
      </w:r>
    </w:p>
    <w:p w14:paraId="1A7A884C" w14:textId="7B766A70" w:rsidR="001604D5" w:rsidRDefault="001604D5" w:rsidP="009C03B3">
      <w:pPr>
        <w:pStyle w:val="Normal1"/>
        <w:rPr>
          <w:rStyle w:val="NormalChar"/>
          <w:lang w:eastAsia="en-US"/>
        </w:rPr>
      </w:pPr>
      <w:r>
        <w:rPr>
          <w:rStyle w:val="NormalChar"/>
        </w:rPr>
        <w:t>T</w:t>
      </w:r>
      <w:r w:rsidRPr="007457E1">
        <w:rPr>
          <w:rStyle w:val="NormalChar"/>
        </w:rPr>
        <w:t xml:space="preserve">he number and value </w:t>
      </w:r>
      <w:r>
        <w:rPr>
          <w:rStyle w:val="NormalChar"/>
        </w:rPr>
        <w:t>in each</w:t>
      </w:r>
      <w:r w:rsidRPr="007457E1">
        <w:rPr>
          <w:rStyle w:val="NormalChar"/>
        </w:rPr>
        <w:t xml:space="preserve"> </w:t>
      </w:r>
      <w:r>
        <w:rPr>
          <w:rStyle w:val="NormalChar"/>
        </w:rPr>
        <w:t xml:space="preserve">complexity quadrant varies </w:t>
      </w:r>
      <w:r w:rsidRPr="007457E1">
        <w:rPr>
          <w:rStyle w:val="NormalChar"/>
        </w:rPr>
        <w:t>from year to year based on the specific procurement projects that need to be carried out in any given year</w:t>
      </w:r>
      <w:r>
        <w:rPr>
          <w:rStyle w:val="NormalChar"/>
        </w:rPr>
        <w:t>.</w:t>
      </w:r>
      <w:r w:rsidR="009C03B3">
        <w:rPr>
          <w:rStyle w:val="NormalChar"/>
        </w:rPr>
        <w:t xml:space="preserve"> </w:t>
      </w:r>
      <w:r w:rsidR="009C03B3" w:rsidRPr="009C03B3">
        <w:rPr>
          <w:rStyle w:val="NormalChar"/>
        </w:rPr>
        <w:t xml:space="preserve">Complexity data for </w:t>
      </w:r>
      <w:r w:rsidR="00C778AD">
        <w:rPr>
          <w:rStyle w:val="NormalChar"/>
        </w:rPr>
        <w:t xml:space="preserve">2019–20 </w:t>
      </w:r>
      <w:r w:rsidR="009C03B3" w:rsidRPr="009C03B3">
        <w:rPr>
          <w:rStyle w:val="NormalChar"/>
        </w:rPr>
        <w:t>excludes</w:t>
      </w:r>
      <w:r w:rsidR="009C03B3">
        <w:rPr>
          <w:rStyle w:val="NormalChar"/>
        </w:rPr>
        <w:t xml:space="preserve"> </w:t>
      </w:r>
      <w:r w:rsidR="009C03B3" w:rsidRPr="009C03B3">
        <w:rPr>
          <w:rStyle w:val="NormalChar"/>
        </w:rPr>
        <w:t>571 one-off supply contracts valued at $285.4 approved under the critical incident protocol. This should be</w:t>
      </w:r>
      <w:r w:rsidR="009C03B3">
        <w:rPr>
          <w:rStyle w:val="NormalChar"/>
        </w:rPr>
        <w:t xml:space="preserve"> </w:t>
      </w:r>
      <w:proofErr w:type="gramStart"/>
      <w:r w:rsidR="009C03B3" w:rsidRPr="009C03B3">
        <w:rPr>
          <w:rStyle w:val="NormalChar"/>
        </w:rPr>
        <w:t>taken into account</w:t>
      </w:r>
      <w:proofErr w:type="gramEnd"/>
      <w:r w:rsidR="009C03B3" w:rsidRPr="009C03B3">
        <w:rPr>
          <w:rStyle w:val="NormalChar"/>
        </w:rPr>
        <w:t xml:space="preserve"> when comparing complexity data with previous years.</w:t>
      </w:r>
    </w:p>
    <w:p w14:paraId="69CB8454" w14:textId="56ECA5F6" w:rsidR="001604D5" w:rsidRPr="00CD6245" w:rsidRDefault="001604D5" w:rsidP="001604D5">
      <w:pPr>
        <w:pStyle w:val="Caption"/>
        <w:rPr>
          <w:lang w:eastAsia="en-US"/>
        </w:rPr>
      </w:pPr>
      <w:bookmarkStart w:id="172" w:name="_Ref489007583"/>
      <w:bookmarkStart w:id="173" w:name="_Toc17130209"/>
      <w:bookmarkStart w:id="174" w:name="_Toc48837156"/>
      <w:bookmarkStart w:id="175" w:name="_Toc49185546"/>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23</w:t>
      </w:r>
      <w:r>
        <w:rPr>
          <w:noProof/>
        </w:rPr>
        <w:fldChar w:fldCharType="end"/>
      </w:r>
      <w:bookmarkEnd w:id="172"/>
      <w:r w:rsidRPr="00CD6245">
        <w:t>: Trends in procurement complexity</w:t>
      </w:r>
      <w:bookmarkEnd w:id="173"/>
      <w:r w:rsidR="006D2032">
        <w:t xml:space="preserve"> from 2017–18 to 2019–20</w:t>
      </w:r>
      <w:bookmarkEnd w:id="174"/>
      <w:bookmarkEnd w:id="175"/>
    </w:p>
    <w:tbl>
      <w:tblPr>
        <w:tblStyle w:val="TableGrid"/>
        <w:tblW w:w="8715" w:type="dxa"/>
        <w:tblInd w:w="846" w:type="dxa"/>
        <w:tblLook w:val="04A0" w:firstRow="1" w:lastRow="0" w:firstColumn="1" w:lastColumn="0" w:noHBand="0" w:noVBand="1"/>
      </w:tblPr>
      <w:tblGrid>
        <w:gridCol w:w="2268"/>
        <w:gridCol w:w="1034"/>
        <w:gridCol w:w="1089"/>
        <w:gridCol w:w="1034"/>
        <w:gridCol w:w="1089"/>
        <w:gridCol w:w="1034"/>
        <w:gridCol w:w="1167"/>
      </w:tblGrid>
      <w:tr w:rsidR="000D2C84" w:rsidRPr="00BD56DE" w14:paraId="02FF0FD4" w14:textId="7740CA91" w:rsidTr="00BD56DE">
        <w:trPr>
          <w:trHeight w:val="255"/>
        </w:trPr>
        <w:tc>
          <w:tcPr>
            <w:tcW w:w="2268" w:type="dxa"/>
            <w:shd w:val="clear" w:color="auto" w:fill="BFBFBF" w:themeFill="background1" w:themeFillShade="BF"/>
          </w:tcPr>
          <w:p w14:paraId="3FA0779D" w14:textId="77777777" w:rsidR="000D2C84" w:rsidRPr="00BD56DE" w:rsidRDefault="000D2C84" w:rsidP="000B20B5">
            <w:pPr>
              <w:pStyle w:val="TableHeader"/>
            </w:pPr>
          </w:p>
        </w:tc>
        <w:tc>
          <w:tcPr>
            <w:tcW w:w="2123" w:type="dxa"/>
            <w:gridSpan w:val="2"/>
            <w:shd w:val="clear" w:color="auto" w:fill="BFBFBF" w:themeFill="background1" w:themeFillShade="BF"/>
          </w:tcPr>
          <w:p w14:paraId="0A19877F" w14:textId="31CF29F9" w:rsidR="000D2C84" w:rsidRPr="00BD56DE" w:rsidRDefault="000D2C84" w:rsidP="000B20B5">
            <w:pPr>
              <w:pStyle w:val="TableHeader"/>
            </w:pPr>
            <w:r w:rsidRPr="00BD56DE">
              <w:t>2017–18</w:t>
            </w:r>
          </w:p>
        </w:tc>
        <w:tc>
          <w:tcPr>
            <w:tcW w:w="2123" w:type="dxa"/>
            <w:gridSpan w:val="2"/>
            <w:shd w:val="clear" w:color="auto" w:fill="BFBFBF" w:themeFill="background1" w:themeFillShade="BF"/>
          </w:tcPr>
          <w:p w14:paraId="106FD53A" w14:textId="1629938C" w:rsidR="000D2C84" w:rsidRPr="00BD56DE" w:rsidRDefault="000D2C84" w:rsidP="000B20B5">
            <w:pPr>
              <w:pStyle w:val="TableHeader"/>
            </w:pPr>
            <w:r w:rsidRPr="00BD56DE">
              <w:t>2018–19</w:t>
            </w:r>
          </w:p>
        </w:tc>
        <w:tc>
          <w:tcPr>
            <w:tcW w:w="2201" w:type="dxa"/>
            <w:gridSpan w:val="2"/>
            <w:shd w:val="clear" w:color="auto" w:fill="BFBFBF" w:themeFill="background1" w:themeFillShade="BF"/>
          </w:tcPr>
          <w:p w14:paraId="2D53CD7D" w14:textId="38C52963" w:rsidR="000D2C84" w:rsidRPr="00BD56DE" w:rsidRDefault="000D2C84" w:rsidP="000B20B5">
            <w:pPr>
              <w:pStyle w:val="TableHeader"/>
            </w:pPr>
            <w:r w:rsidRPr="00BD56DE">
              <w:t>2019–20</w:t>
            </w:r>
          </w:p>
        </w:tc>
      </w:tr>
      <w:tr w:rsidR="000D2C84" w:rsidRPr="00BD56DE" w14:paraId="0AF9D0B6" w14:textId="4C4EAB23" w:rsidTr="00BD56DE">
        <w:trPr>
          <w:trHeight w:val="255"/>
        </w:trPr>
        <w:tc>
          <w:tcPr>
            <w:tcW w:w="2268" w:type="dxa"/>
            <w:shd w:val="clear" w:color="auto" w:fill="BFBFBF" w:themeFill="background1" w:themeFillShade="BF"/>
          </w:tcPr>
          <w:p w14:paraId="0E0EDC36" w14:textId="77777777" w:rsidR="000D2C84" w:rsidRPr="00BD56DE" w:rsidRDefault="000D2C84" w:rsidP="000B20B5">
            <w:pPr>
              <w:pStyle w:val="TableText"/>
            </w:pPr>
            <w:r w:rsidRPr="00BD56DE">
              <w:t>Complexity quadrant</w:t>
            </w:r>
          </w:p>
        </w:tc>
        <w:tc>
          <w:tcPr>
            <w:tcW w:w="1034" w:type="dxa"/>
            <w:shd w:val="clear" w:color="auto" w:fill="BFBFBF" w:themeFill="background1" w:themeFillShade="BF"/>
          </w:tcPr>
          <w:p w14:paraId="6B22ACD4" w14:textId="77777777" w:rsidR="000D2C84" w:rsidRPr="00BD56DE" w:rsidRDefault="000D2C84" w:rsidP="000B20B5">
            <w:pPr>
              <w:pStyle w:val="TableText"/>
            </w:pPr>
            <w:r w:rsidRPr="00BD56DE">
              <w:t>Number</w:t>
            </w:r>
          </w:p>
        </w:tc>
        <w:tc>
          <w:tcPr>
            <w:tcW w:w="1089" w:type="dxa"/>
            <w:shd w:val="clear" w:color="auto" w:fill="BFBFBF" w:themeFill="background1" w:themeFillShade="BF"/>
          </w:tcPr>
          <w:p w14:paraId="2C4D2E1D" w14:textId="4869B65E" w:rsidR="000D2C84" w:rsidRPr="00BD56DE" w:rsidRDefault="000D2C84" w:rsidP="000B20B5">
            <w:pPr>
              <w:pStyle w:val="TableText"/>
            </w:pPr>
            <w:r w:rsidRPr="00BD56DE">
              <w:t>Value (</w:t>
            </w:r>
            <w:r w:rsidR="005C4F4A">
              <w:t>$m</w:t>
            </w:r>
            <w:r w:rsidRPr="00BD56DE">
              <w:t>)</w:t>
            </w:r>
          </w:p>
        </w:tc>
        <w:tc>
          <w:tcPr>
            <w:tcW w:w="1034" w:type="dxa"/>
            <w:shd w:val="clear" w:color="auto" w:fill="BFBFBF" w:themeFill="background1" w:themeFillShade="BF"/>
          </w:tcPr>
          <w:p w14:paraId="27EED3FF" w14:textId="77777777" w:rsidR="000D2C84" w:rsidRPr="00BD56DE" w:rsidRDefault="000D2C84" w:rsidP="000B20B5">
            <w:pPr>
              <w:pStyle w:val="TableText"/>
            </w:pPr>
            <w:r w:rsidRPr="00BD56DE">
              <w:t>Number</w:t>
            </w:r>
          </w:p>
        </w:tc>
        <w:tc>
          <w:tcPr>
            <w:tcW w:w="1089" w:type="dxa"/>
            <w:shd w:val="clear" w:color="auto" w:fill="BFBFBF" w:themeFill="background1" w:themeFillShade="BF"/>
          </w:tcPr>
          <w:p w14:paraId="10479FBA" w14:textId="2482CCB2" w:rsidR="000D2C84" w:rsidRPr="00BD56DE" w:rsidRDefault="000D2C84" w:rsidP="000B20B5">
            <w:pPr>
              <w:pStyle w:val="TableText"/>
            </w:pPr>
            <w:r w:rsidRPr="00BD56DE">
              <w:t>Value (</w:t>
            </w:r>
            <w:r w:rsidR="005C4F4A">
              <w:t>$m</w:t>
            </w:r>
            <w:r w:rsidRPr="00BD56DE">
              <w:t>)</w:t>
            </w:r>
          </w:p>
        </w:tc>
        <w:tc>
          <w:tcPr>
            <w:tcW w:w="1034" w:type="dxa"/>
            <w:shd w:val="clear" w:color="auto" w:fill="BFBFBF" w:themeFill="background1" w:themeFillShade="BF"/>
          </w:tcPr>
          <w:p w14:paraId="26C75DFE" w14:textId="77777777" w:rsidR="000D2C84" w:rsidRPr="00BD56DE" w:rsidRDefault="000D2C84" w:rsidP="000B20B5">
            <w:pPr>
              <w:pStyle w:val="TableText"/>
            </w:pPr>
            <w:r w:rsidRPr="00BD56DE">
              <w:t>Number</w:t>
            </w:r>
          </w:p>
        </w:tc>
        <w:tc>
          <w:tcPr>
            <w:tcW w:w="1167" w:type="dxa"/>
            <w:shd w:val="clear" w:color="auto" w:fill="BFBFBF" w:themeFill="background1" w:themeFillShade="BF"/>
          </w:tcPr>
          <w:p w14:paraId="496D8E53" w14:textId="426F45E9" w:rsidR="000D2C84" w:rsidRPr="00BD56DE" w:rsidRDefault="000D2C84" w:rsidP="000B20B5">
            <w:pPr>
              <w:pStyle w:val="TableText"/>
            </w:pPr>
            <w:r w:rsidRPr="00BD56DE">
              <w:t>Value (</w:t>
            </w:r>
            <w:r w:rsidR="005C4F4A">
              <w:t>$m</w:t>
            </w:r>
            <w:r w:rsidRPr="00BD56DE">
              <w:t>)</w:t>
            </w:r>
          </w:p>
        </w:tc>
      </w:tr>
      <w:tr w:rsidR="00B75E1D" w:rsidRPr="00C95E9E" w14:paraId="6175D468" w14:textId="36980E1C" w:rsidTr="00BD56DE">
        <w:trPr>
          <w:trHeight w:val="255"/>
        </w:trPr>
        <w:tc>
          <w:tcPr>
            <w:tcW w:w="2268" w:type="dxa"/>
          </w:tcPr>
          <w:p w14:paraId="2CC87F54" w14:textId="77777777" w:rsidR="00B75E1D" w:rsidRPr="00C95E9E" w:rsidRDefault="00B75E1D" w:rsidP="000B20B5">
            <w:pPr>
              <w:pStyle w:val="TableText"/>
            </w:pPr>
            <w:r w:rsidRPr="00C95E9E">
              <w:t>Transactional</w:t>
            </w:r>
          </w:p>
        </w:tc>
        <w:tc>
          <w:tcPr>
            <w:tcW w:w="1034" w:type="dxa"/>
          </w:tcPr>
          <w:p w14:paraId="22C98F9C" w14:textId="23129981" w:rsidR="00B75E1D" w:rsidRPr="00BD56DE" w:rsidRDefault="00B75E1D" w:rsidP="000B20B5">
            <w:pPr>
              <w:pStyle w:val="Tablenumbers"/>
            </w:pPr>
            <w:r w:rsidRPr="00BD56DE">
              <w:t>578</w:t>
            </w:r>
          </w:p>
        </w:tc>
        <w:tc>
          <w:tcPr>
            <w:tcW w:w="1089" w:type="dxa"/>
          </w:tcPr>
          <w:p w14:paraId="29972233" w14:textId="20499CFD" w:rsidR="00B75E1D" w:rsidRPr="00BD56DE" w:rsidRDefault="00B75E1D" w:rsidP="000B20B5">
            <w:pPr>
              <w:pStyle w:val="Tablenumbers"/>
            </w:pPr>
            <w:r w:rsidRPr="00BD56DE">
              <w:t>$674.9</w:t>
            </w:r>
          </w:p>
        </w:tc>
        <w:tc>
          <w:tcPr>
            <w:tcW w:w="1034" w:type="dxa"/>
            <w:vAlign w:val="center"/>
          </w:tcPr>
          <w:p w14:paraId="2607BFCB" w14:textId="3406B3AD" w:rsidR="00B75E1D" w:rsidRPr="00BD56DE" w:rsidRDefault="00B75E1D" w:rsidP="000B20B5">
            <w:pPr>
              <w:pStyle w:val="Tablenumbers"/>
            </w:pPr>
            <w:r w:rsidRPr="00BD56DE">
              <w:t>646</w:t>
            </w:r>
          </w:p>
        </w:tc>
        <w:tc>
          <w:tcPr>
            <w:tcW w:w="1089" w:type="dxa"/>
            <w:vAlign w:val="center"/>
          </w:tcPr>
          <w:p w14:paraId="12558A3E" w14:textId="2A7D2AED" w:rsidR="00B75E1D" w:rsidRPr="00BD56DE" w:rsidRDefault="00B75E1D" w:rsidP="000B20B5">
            <w:pPr>
              <w:pStyle w:val="Tablenumbers"/>
            </w:pPr>
            <w:r w:rsidRPr="00BD56DE">
              <w:t>$372.9</w:t>
            </w:r>
          </w:p>
        </w:tc>
        <w:tc>
          <w:tcPr>
            <w:tcW w:w="1034" w:type="dxa"/>
          </w:tcPr>
          <w:p w14:paraId="76A5288A" w14:textId="3C1F4E3F" w:rsidR="00B75E1D" w:rsidRPr="00BD56DE" w:rsidRDefault="00B75E1D" w:rsidP="000B20B5">
            <w:pPr>
              <w:pStyle w:val="Tablenumbers"/>
            </w:pPr>
            <w:r w:rsidRPr="00BD56DE">
              <w:t>632</w:t>
            </w:r>
          </w:p>
        </w:tc>
        <w:tc>
          <w:tcPr>
            <w:tcW w:w="1167" w:type="dxa"/>
          </w:tcPr>
          <w:p w14:paraId="391122EE" w14:textId="2E5CF34A" w:rsidR="00B75E1D" w:rsidRPr="00BD56DE" w:rsidRDefault="00B75E1D" w:rsidP="000B20B5">
            <w:pPr>
              <w:pStyle w:val="Tablenumbers"/>
            </w:pPr>
            <w:r w:rsidRPr="00BD56DE">
              <w:t>$471.8</w:t>
            </w:r>
          </w:p>
        </w:tc>
      </w:tr>
      <w:tr w:rsidR="00B75E1D" w:rsidRPr="00C95E9E" w14:paraId="348EA454" w14:textId="05B7B8A8" w:rsidTr="00BD56DE">
        <w:trPr>
          <w:trHeight w:val="255"/>
        </w:trPr>
        <w:tc>
          <w:tcPr>
            <w:tcW w:w="2268" w:type="dxa"/>
          </w:tcPr>
          <w:p w14:paraId="006292B8" w14:textId="77777777" w:rsidR="00B75E1D" w:rsidRPr="00C95E9E" w:rsidRDefault="00B75E1D" w:rsidP="000B20B5">
            <w:pPr>
              <w:pStyle w:val="TableText"/>
            </w:pPr>
            <w:r w:rsidRPr="00C95E9E">
              <w:t>Leveraged</w:t>
            </w:r>
          </w:p>
        </w:tc>
        <w:tc>
          <w:tcPr>
            <w:tcW w:w="1034" w:type="dxa"/>
          </w:tcPr>
          <w:p w14:paraId="60A356C3" w14:textId="27D9E676" w:rsidR="00B75E1D" w:rsidRPr="00BD56DE" w:rsidRDefault="00B75E1D" w:rsidP="000B20B5">
            <w:pPr>
              <w:pStyle w:val="Tablenumbers"/>
            </w:pPr>
            <w:r w:rsidRPr="00BD56DE">
              <w:t>316</w:t>
            </w:r>
          </w:p>
        </w:tc>
        <w:tc>
          <w:tcPr>
            <w:tcW w:w="1089" w:type="dxa"/>
          </w:tcPr>
          <w:p w14:paraId="75446056" w14:textId="43185BBE" w:rsidR="00B75E1D" w:rsidRPr="00BD56DE" w:rsidRDefault="00B75E1D" w:rsidP="000B20B5">
            <w:pPr>
              <w:pStyle w:val="Tablenumbers"/>
            </w:pPr>
            <w:r w:rsidRPr="00BD56DE">
              <w:t>$528.2</w:t>
            </w:r>
          </w:p>
        </w:tc>
        <w:tc>
          <w:tcPr>
            <w:tcW w:w="1034" w:type="dxa"/>
            <w:vAlign w:val="center"/>
          </w:tcPr>
          <w:p w14:paraId="5B30C83D" w14:textId="0FC044FF" w:rsidR="00B75E1D" w:rsidRPr="00BD56DE" w:rsidRDefault="00B75E1D" w:rsidP="000B20B5">
            <w:pPr>
              <w:pStyle w:val="Tablenumbers"/>
            </w:pPr>
            <w:r w:rsidRPr="00BD56DE">
              <w:t>261</w:t>
            </w:r>
          </w:p>
        </w:tc>
        <w:tc>
          <w:tcPr>
            <w:tcW w:w="1089" w:type="dxa"/>
            <w:vAlign w:val="center"/>
          </w:tcPr>
          <w:p w14:paraId="797EB5E1" w14:textId="1EE4A1BD" w:rsidR="00B75E1D" w:rsidRPr="00BD56DE" w:rsidRDefault="00B75E1D" w:rsidP="000B20B5">
            <w:pPr>
              <w:pStyle w:val="Tablenumbers"/>
            </w:pPr>
            <w:r w:rsidRPr="00BD56DE">
              <w:t>$1 262.9</w:t>
            </w:r>
          </w:p>
        </w:tc>
        <w:tc>
          <w:tcPr>
            <w:tcW w:w="1034" w:type="dxa"/>
          </w:tcPr>
          <w:p w14:paraId="0D148442" w14:textId="1B3DA981" w:rsidR="00B75E1D" w:rsidRPr="00BD56DE" w:rsidRDefault="00B75E1D" w:rsidP="000B20B5">
            <w:pPr>
              <w:pStyle w:val="Tablenumbers"/>
            </w:pPr>
            <w:r w:rsidRPr="00BD56DE">
              <w:t>148</w:t>
            </w:r>
          </w:p>
        </w:tc>
        <w:tc>
          <w:tcPr>
            <w:tcW w:w="1167" w:type="dxa"/>
          </w:tcPr>
          <w:p w14:paraId="672293D8" w14:textId="502230D0" w:rsidR="00B75E1D" w:rsidRPr="00BD56DE" w:rsidRDefault="00B75E1D" w:rsidP="000B20B5">
            <w:pPr>
              <w:pStyle w:val="Tablenumbers"/>
            </w:pPr>
            <w:r w:rsidRPr="00BD56DE">
              <w:t>$251.0</w:t>
            </w:r>
          </w:p>
        </w:tc>
      </w:tr>
      <w:tr w:rsidR="00B75E1D" w:rsidRPr="00C95E9E" w14:paraId="25EEC190" w14:textId="01342523" w:rsidTr="00BD56DE">
        <w:trPr>
          <w:trHeight w:val="272"/>
        </w:trPr>
        <w:tc>
          <w:tcPr>
            <w:tcW w:w="2268" w:type="dxa"/>
          </w:tcPr>
          <w:p w14:paraId="5F4302B4" w14:textId="77777777" w:rsidR="00B75E1D" w:rsidRPr="00C95E9E" w:rsidRDefault="00B75E1D" w:rsidP="000B20B5">
            <w:pPr>
              <w:pStyle w:val="TableText"/>
            </w:pPr>
            <w:r w:rsidRPr="00C95E9E">
              <w:t>Focused</w:t>
            </w:r>
          </w:p>
        </w:tc>
        <w:tc>
          <w:tcPr>
            <w:tcW w:w="1034" w:type="dxa"/>
          </w:tcPr>
          <w:p w14:paraId="28CBAB94" w14:textId="3E420739" w:rsidR="00B75E1D" w:rsidRPr="00BD56DE" w:rsidRDefault="00B75E1D" w:rsidP="000B20B5">
            <w:pPr>
              <w:pStyle w:val="Tablenumbers"/>
            </w:pPr>
            <w:r w:rsidRPr="00BD56DE">
              <w:t>132</w:t>
            </w:r>
          </w:p>
        </w:tc>
        <w:tc>
          <w:tcPr>
            <w:tcW w:w="1089" w:type="dxa"/>
          </w:tcPr>
          <w:p w14:paraId="28820DBB" w14:textId="18846CF4" w:rsidR="00B75E1D" w:rsidRPr="00BD56DE" w:rsidRDefault="00B75E1D" w:rsidP="000B20B5">
            <w:pPr>
              <w:pStyle w:val="Tablenumbers"/>
            </w:pPr>
            <w:r w:rsidRPr="00BD56DE">
              <w:t>$700.7</w:t>
            </w:r>
          </w:p>
        </w:tc>
        <w:tc>
          <w:tcPr>
            <w:tcW w:w="1034" w:type="dxa"/>
            <w:vAlign w:val="center"/>
          </w:tcPr>
          <w:p w14:paraId="205584EB" w14:textId="16E5E50B" w:rsidR="00B75E1D" w:rsidRPr="00BD56DE" w:rsidRDefault="00B75E1D" w:rsidP="000B20B5">
            <w:pPr>
              <w:pStyle w:val="Tablenumbers"/>
            </w:pPr>
            <w:r w:rsidRPr="00BD56DE">
              <w:t>177</w:t>
            </w:r>
          </w:p>
        </w:tc>
        <w:tc>
          <w:tcPr>
            <w:tcW w:w="1089" w:type="dxa"/>
            <w:vAlign w:val="center"/>
          </w:tcPr>
          <w:p w14:paraId="0BD8F7E0" w14:textId="441D88C1" w:rsidR="00B75E1D" w:rsidRPr="00BD56DE" w:rsidRDefault="00B75E1D" w:rsidP="000B20B5">
            <w:pPr>
              <w:pStyle w:val="Tablenumbers"/>
            </w:pPr>
            <w:r w:rsidRPr="00BD56DE">
              <w:t>$203.3</w:t>
            </w:r>
          </w:p>
        </w:tc>
        <w:tc>
          <w:tcPr>
            <w:tcW w:w="1034" w:type="dxa"/>
          </w:tcPr>
          <w:p w14:paraId="1DAA1150" w14:textId="3F19C20B" w:rsidR="00B75E1D" w:rsidRPr="00BD56DE" w:rsidRDefault="00B75E1D" w:rsidP="000B20B5">
            <w:pPr>
              <w:pStyle w:val="Tablenumbers"/>
            </w:pPr>
            <w:r w:rsidRPr="00BD56DE">
              <w:t>199</w:t>
            </w:r>
          </w:p>
        </w:tc>
        <w:tc>
          <w:tcPr>
            <w:tcW w:w="1167" w:type="dxa"/>
          </w:tcPr>
          <w:p w14:paraId="2066E1BD" w14:textId="7EDFD6E4" w:rsidR="00B75E1D" w:rsidRPr="00BD56DE" w:rsidRDefault="00B75E1D" w:rsidP="000B20B5">
            <w:pPr>
              <w:pStyle w:val="Tablenumbers"/>
            </w:pPr>
            <w:r w:rsidRPr="00BD56DE">
              <w:t>$321.5</w:t>
            </w:r>
          </w:p>
        </w:tc>
      </w:tr>
      <w:tr w:rsidR="00B75E1D" w:rsidRPr="00C95E9E" w14:paraId="52652BAE" w14:textId="239C84F2" w:rsidTr="00BD56DE">
        <w:trPr>
          <w:trHeight w:val="305"/>
        </w:trPr>
        <w:tc>
          <w:tcPr>
            <w:tcW w:w="2268" w:type="dxa"/>
          </w:tcPr>
          <w:p w14:paraId="53848A1A" w14:textId="77777777" w:rsidR="00B75E1D" w:rsidRPr="00C95E9E" w:rsidRDefault="00B75E1D" w:rsidP="000B20B5">
            <w:pPr>
              <w:pStyle w:val="TableText"/>
            </w:pPr>
            <w:r w:rsidRPr="00C95E9E">
              <w:t xml:space="preserve">Strategic </w:t>
            </w:r>
          </w:p>
        </w:tc>
        <w:tc>
          <w:tcPr>
            <w:tcW w:w="1034" w:type="dxa"/>
          </w:tcPr>
          <w:p w14:paraId="1EB2EAA7" w14:textId="775D2F91" w:rsidR="00B75E1D" w:rsidRPr="00BD56DE" w:rsidRDefault="00B75E1D" w:rsidP="000B20B5">
            <w:pPr>
              <w:pStyle w:val="Tablenumbers"/>
            </w:pPr>
            <w:r w:rsidRPr="00BD56DE">
              <w:t>171</w:t>
            </w:r>
          </w:p>
        </w:tc>
        <w:tc>
          <w:tcPr>
            <w:tcW w:w="1089" w:type="dxa"/>
          </w:tcPr>
          <w:p w14:paraId="50E0CF06" w14:textId="2B5499D1" w:rsidR="00B75E1D" w:rsidRPr="00BD56DE" w:rsidRDefault="00B75E1D" w:rsidP="000B20B5">
            <w:pPr>
              <w:pStyle w:val="Tablenumbers"/>
            </w:pPr>
            <w:r w:rsidRPr="00BD56DE">
              <w:t>$1 107.5</w:t>
            </w:r>
          </w:p>
        </w:tc>
        <w:tc>
          <w:tcPr>
            <w:tcW w:w="1034" w:type="dxa"/>
          </w:tcPr>
          <w:p w14:paraId="5B730886" w14:textId="22A3D888" w:rsidR="00B75E1D" w:rsidRPr="00BD56DE" w:rsidRDefault="00B75E1D" w:rsidP="000B20B5">
            <w:pPr>
              <w:pStyle w:val="Tablenumbers"/>
            </w:pPr>
            <w:r w:rsidRPr="00BD56DE">
              <w:t>196</w:t>
            </w:r>
          </w:p>
        </w:tc>
        <w:tc>
          <w:tcPr>
            <w:tcW w:w="1089" w:type="dxa"/>
          </w:tcPr>
          <w:p w14:paraId="671AD35F" w14:textId="3C143DB0" w:rsidR="00B75E1D" w:rsidRPr="00BD56DE" w:rsidRDefault="00B75E1D" w:rsidP="000B20B5">
            <w:pPr>
              <w:pStyle w:val="Tablenumbers"/>
            </w:pPr>
            <w:r w:rsidRPr="00BD56DE">
              <w:t>$738.3</w:t>
            </w:r>
          </w:p>
        </w:tc>
        <w:tc>
          <w:tcPr>
            <w:tcW w:w="1034" w:type="dxa"/>
          </w:tcPr>
          <w:p w14:paraId="0B2BC36C" w14:textId="51B9CF28" w:rsidR="00B75E1D" w:rsidRPr="00BD56DE" w:rsidRDefault="00B75E1D" w:rsidP="000B20B5">
            <w:pPr>
              <w:pStyle w:val="Tablenumbers"/>
            </w:pPr>
            <w:r w:rsidRPr="00BD56DE">
              <w:t>107</w:t>
            </w:r>
          </w:p>
        </w:tc>
        <w:tc>
          <w:tcPr>
            <w:tcW w:w="1167" w:type="dxa"/>
          </w:tcPr>
          <w:p w14:paraId="28F4CCE5" w14:textId="04F0A26A" w:rsidR="00B75E1D" w:rsidRPr="00BD56DE" w:rsidRDefault="00B75E1D" w:rsidP="000B20B5">
            <w:pPr>
              <w:pStyle w:val="Tablenumbers"/>
            </w:pPr>
            <w:r w:rsidRPr="00BD56DE">
              <w:t>$622.1</w:t>
            </w:r>
          </w:p>
        </w:tc>
      </w:tr>
      <w:tr w:rsidR="00B75E1D" w:rsidRPr="000B20B5" w14:paraId="20FF8C40" w14:textId="433CE697" w:rsidTr="00BD56DE">
        <w:trPr>
          <w:trHeight w:val="255"/>
        </w:trPr>
        <w:tc>
          <w:tcPr>
            <w:tcW w:w="2268" w:type="dxa"/>
            <w:noWrap/>
          </w:tcPr>
          <w:p w14:paraId="0E499EC9" w14:textId="77777777" w:rsidR="00B75E1D" w:rsidRPr="000B20B5" w:rsidRDefault="00B75E1D" w:rsidP="000B20B5">
            <w:pPr>
              <w:pStyle w:val="TableText"/>
              <w:rPr>
                <w:rStyle w:val="Strong"/>
              </w:rPr>
            </w:pPr>
            <w:r w:rsidRPr="000B20B5">
              <w:rPr>
                <w:rStyle w:val="Strong"/>
              </w:rPr>
              <w:t>Totals</w:t>
            </w:r>
          </w:p>
        </w:tc>
        <w:tc>
          <w:tcPr>
            <w:tcW w:w="1034" w:type="dxa"/>
          </w:tcPr>
          <w:p w14:paraId="395D4010" w14:textId="2F4B7045" w:rsidR="00B75E1D" w:rsidRPr="000B20B5" w:rsidRDefault="00B75E1D" w:rsidP="000B20B5">
            <w:pPr>
              <w:pStyle w:val="Tablenumbers"/>
              <w:rPr>
                <w:rStyle w:val="Strong"/>
              </w:rPr>
            </w:pPr>
            <w:r w:rsidRPr="000B20B5">
              <w:rPr>
                <w:rStyle w:val="Strong"/>
              </w:rPr>
              <w:t>1 197</w:t>
            </w:r>
          </w:p>
        </w:tc>
        <w:tc>
          <w:tcPr>
            <w:tcW w:w="1089" w:type="dxa"/>
          </w:tcPr>
          <w:p w14:paraId="496F84BF" w14:textId="679DC436" w:rsidR="00B75E1D" w:rsidRPr="000B20B5" w:rsidRDefault="00B75E1D" w:rsidP="000B20B5">
            <w:pPr>
              <w:pStyle w:val="Tablenumbers"/>
              <w:rPr>
                <w:rStyle w:val="Strong"/>
              </w:rPr>
            </w:pPr>
            <w:r w:rsidRPr="000B20B5">
              <w:rPr>
                <w:rStyle w:val="Strong"/>
              </w:rPr>
              <w:t>$3 011.2</w:t>
            </w:r>
          </w:p>
        </w:tc>
        <w:tc>
          <w:tcPr>
            <w:tcW w:w="1034" w:type="dxa"/>
            <w:vAlign w:val="center"/>
          </w:tcPr>
          <w:p w14:paraId="5644728B" w14:textId="34FBF596" w:rsidR="00B75E1D" w:rsidRPr="000B20B5" w:rsidRDefault="00B75E1D" w:rsidP="000B20B5">
            <w:pPr>
              <w:pStyle w:val="Tablenumbers"/>
              <w:rPr>
                <w:rStyle w:val="Strong"/>
              </w:rPr>
            </w:pPr>
            <w:r w:rsidRPr="000B20B5">
              <w:rPr>
                <w:rStyle w:val="Strong"/>
              </w:rPr>
              <w:t>1 280</w:t>
            </w:r>
          </w:p>
        </w:tc>
        <w:tc>
          <w:tcPr>
            <w:tcW w:w="1089" w:type="dxa"/>
            <w:vAlign w:val="center"/>
          </w:tcPr>
          <w:p w14:paraId="1AEB3290" w14:textId="6F8F6027" w:rsidR="00B75E1D" w:rsidRPr="000B20B5" w:rsidRDefault="00B75E1D" w:rsidP="000B20B5">
            <w:pPr>
              <w:pStyle w:val="Tablenumbers"/>
              <w:rPr>
                <w:rStyle w:val="Strong"/>
              </w:rPr>
            </w:pPr>
            <w:r w:rsidRPr="000B20B5">
              <w:rPr>
                <w:rStyle w:val="Strong"/>
              </w:rPr>
              <w:t>$2 577.4</w:t>
            </w:r>
          </w:p>
        </w:tc>
        <w:tc>
          <w:tcPr>
            <w:tcW w:w="1034" w:type="dxa"/>
          </w:tcPr>
          <w:p w14:paraId="4BFF7FA6" w14:textId="20AFBA44" w:rsidR="00B75E1D" w:rsidRPr="000B20B5" w:rsidRDefault="00B75E1D" w:rsidP="000B20B5">
            <w:pPr>
              <w:pStyle w:val="Tablenumbers"/>
              <w:rPr>
                <w:rStyle w:val="Strong"/>
              </w:rPr>
            </w:pPr>
            <w:r w:rsidRPr="000B20B5">
              <w:rPr>
                <w:rStyle w:val="Strong"/>
              </w:rPr>
              <w:t>1 086</w:t>
            </w:r>
          </w:p>
        </w:tc>
        <w:tc>
          <w:tcPr>
            <w:tcW w:w="1167" w:type="dxa"/>
          </w:tcPr>
          <w:p w14:paraId="23D0EC22" w14:textId="1A21DDE0" w:rsidR="00B75E1D" w:rsidRPr="000B20B5" w:rsidRDefault="00B75E1D" w:rsidP="000B20B5">
            <w:pPr>
              <w:pStyle w:val="Tablenumbers"/>
              <w:rPr>
                <w:rStyle w:val="Strong"/>
              </w:rPr>
            </w:pPr>
            <w:r w:rsidRPr="000B20B5">
              <w:rPr>
                <w:rStyle w:val="Strong"/>
              </w:rPr>
              <w:t>$1 666.3</w:t>
            </w:r>
          </w:p>
        </w:tc>
      </w:tr>
    </w:tbl>
    <w:p w14:paraId="06B43A10" w14:textId="17AA4D93" w:rsidR="001604D5" w:rsidRDefault="001604D5" w:rsidP="001604D5">
      <w:pPr>
        <w:pStyle w:val="Tablenotes"/>
      </w:pPr>
      <w:r w:rsidRPr="00B75E1D">
        <w:t xml:space="preserve">Note: </w:t>
      </w:r>
      <w:r w:rsidR="00B75E1D" w:rsidRPr="00B75E1D">
        <w:t xml:space="preserve">Critical incident procurements are not included in </w:t>
      </w:r>
      <w:r w:rsidR="008927D5">
        <w:t>the 2019–20 complexity figures</w:t>
      </w:r>
      <w:r w:rsidR="00B75E1D" w:rsidRPr="00B75E1D">
        <w:t>.</w:t>
      </w:r>
      <w:r w:rsidR="008927D5">
        <w:t xml:space="preserve"> </w:t>
      </w:r>
      <w:r w:rsidRPr="00B75E1D">
        <w:t>Discrepancies between totals and sums of totals reflect rounding.</w:t>
      </w:r>
    </w:p>
    <w:p w14:paraId="439AFEB4" w14:textId="77777777" w:rsidR="001604D5" w:rsidRDefault="001604D5" w:rsidP="001604D5">
      <w:pPr>
        <w:pStyle w:val="Heading3NoNum"/>
      </w:pPr>
      <w:r>
        <w:t>Complexity trends at a glance</w:t>
      </w:r>
    </w:p>
    <w:p w14:paraId="6755CFC0" w14:textId="36C7CE53" w:rsidR="001604D5" w:rsidRDefault="0093296D" w:rsidP="001604D5">
      <w:pPr>
        <w:ind w:left="709"/>
      </w:pPr>
      <w:r>
        <w:rPr>
          <w:noProof/>
        </w:rPr>
        <w:drawing>
          <wp:inline distT="0" distB="0" distL="0" distR="0" wp14:anchorId="50EF9802" wp14:editId="6F884467">
            <wp:extent cx="5780598" cy="1987826"/>
            <wp:effectExtent l="0" t="0" r="10795" b="12700"/>
            <wp:docPr id="27" name="Chart 27">
              <a:extLst xmlns:a="http://schemas.openxmlformats.org/drawingml/2006/main">
                <a:ext uri="{FF2B5EF4-FFF2-40B4-BE49-F238E27FC236}">
                  <a16:creationId xmlns:a16="http://schemas.microsoft.com/office/drawing/2014/main" id="{5CD4861F-5DF2-40F9-B4A3-CCE99B5986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t xml:space="preserve"> </w:t>
      </w:r>
      <w:r>
        <w:rPr>
          <w:noProof/>
        </w:rPr>
        <w:drawing>
          <wp:inline distT="0" distB="0" distL="0" distR="0" wp14:anchorId="0E2B3C70" wp14:editId="5912A5F7">
            <wp:extent cx="5780405" cy="2059388"/>
            <wp:effectExtent l="0" t="0" r="10795" b="17145"/>
            <wp:docPr id="28" name="Chart 28">
              <a:extLst xmlns:a="http://schemas.openxmlformats.org/drawingml/2006/main">
                <a:ext uri="{FF2B5EF4-FFF2-40B4-BE49-F238E27FC236}">
                  <a16:creationId xmlns:a16="http://schemas.microsoft.com/office/drawing/2014/main" id="{0111EFA5-3F0A-4B1A-A952-DD131DE027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143B4B" w14:textId="79684B79" w:rsidR="000B585B" w:rsidRDefault="000B585B" w:rsidP="000B585B">
      <w:pPr>
        <w:pStyle w:val="Caption"/>
      </w:pPr>
      <w:bookmarkStart w:id="176" w:name="_Ref521152299"/>
      <w:bookmarkStart w:id="177" w:name="_Toc17130232"/>
      <w:r>
        <w:t xml:space="preserve">Figure </w:t>
      </w:r>
      <w:r>
        <w:rPr>
          <w:noProof/>
        </w:rPr>
        <w:fldChar w:fldCharType="begin"/>
      </w:r>
      <w:r>
        <w:rPr>
          <w:noProof/>
        </w:rPr>
        <w:instrText xml:space="preserve"> SEQ Figure \* ARABIC </w:instrText>
      </w:r>
      <w:r>
        <w:rPr>
          <w:noProof/>
        </w:rPr>
        <w:fldChar w:fldCharType="separate"/>
      </w:r>
      <w:r w:rsidR="00152B74">
        <w:rPr>
          <w:noProof/>
        </w:rPr>
        <w:t>8</w:t>
      </w:r>
      <w:r>
        <w:rPr>
          <w:noProof/>
        </w:rPr>
        <w:fldChar w:fldCharType="end"/>
      </w:r>
      <w:bookmarkEnd w:id="176"/>
      <w:r>
        <w:t>: Trends in number and value of procurement complexity from 2017–18 to 2019–20</w:t>
      </w:r>
      <w:bookmarkEnd w:id="177"/>
    </w:p>
    <w:p w14:paraId="146D9843" w14:textId="2A430FF5" w:rsidR="001604D5" w:rsidRPr="004462AE" w:rsidRDefault="008927D5" w:rsidP="008927D5">
      <w:pPr>
        <w:pStyle w:val="Tablenotes"/>
      </w:pPr>
      <w:r w:rsidRPr="008927D5">
        <w:t xml:space="preserve">Note: Critical incident procurements are not included in 2019–20 </w:t>
      </w:r>
      <w:r w:rsidR="004D7232">
        <w:t>complexity figures.</w:t>
      </w:r>
    </w:p>
    <w:p w14:paraId="733B65A7" w14:textId="72577BB9" w:rsidR="00D22258" w:rsidRPr="00CD6245" w:rsidRDefault="00CC30CE" w:rsidP="007244B8">
      <w:pPr>
        <w:pStyle w:val="Heading1NoNum"/>
      </w:pPr>
      <w:bookmarkStart w:id="178" w:name="_Toc52187737"/>
      <w:r>
        <w:lastRenderedPageBreak/>
        <w:t>Harnessing t</w:t>
      </w:r>
      <w:r w:rsidR="007244B8">
        <w:t>he buying power of government</w:t>
      </w:r>
      <w:bookmarkEnd w:id="178"/>
    </w:p>
    <w:p w14:paraId="48B79B19" w14:textId="79540747" w:rsidR="0037664D" w:rsidRDefault="00C17101" w:rsidP="005B2F15">
      <w:pPr>
        <w:pStyle w:val="Normal1"/>
        <w:rPr>
          <w:lang w:eastAsia="en-US"/>
        </w:rPr>
      </w:pPr>
      <w:r>
        <w:rPr>
          <w:noProof/>
          <w:lang w:val="en-US"/>
        </w:rPr>
        <mc:AlternateContent>
          <mc:Choice Requires="wps">
            <w:drawing>
              <wp:anchor distT="0" distB="0" distL="114300" distR="114300" simplePos="0" relativeHeight="251691008" behindDoc="0" locked="0" layoutInCell="1" allowOverlap="1" wp14:anchorId="0C05F705" wp14:editId="2DD60AE0">
                <wp:simplePos x="0" y="0"/>
                <wp:positionH relativeFrom="margin">
                  <wp:posOffset>4226560</wp:posOffset>
                </wp:positionH>
                <wp:positionV relativeFrom="margin">
                  <wp:posOffset>1326515</wp:posOffset>
                </wp:positionV>
                <wp:extent cx="1666875" cy="14573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1666875" cy="1457325"/>
                        </a:xfrm>
                        <a:prstGeom prst="rect">
                          <a:avLst/>
                        </a:prstGeom>
                        <a:noFill/>
                        <a:ln w="6350">
                          <a:solidFill>
                            <a:prstClr val="black"/>
                          </a:solidFill>
                        </a:ln>
                      </wps:spPr>
                      <wps:txbx>
                        <w:txbxContent>
                          <w:p w14:paraId="1EF67C58" w14:textId="77777777" w:rsidR="00064484" w:rsidRPr="00755429" w:rsidRDefault="00064484" w:rsidP="00C17101">
                            <w:pPr>
                              <w:pStyle w:val="textbox"/>
                            </w:pPr>
                            <w:r w:rsidRPr="00755429">
                              <w:rPr>
                                <w:rStyle w:val="textboxChar"/>
                                <w:b/>
                              </w:rPr>
                              <w:t>A</w:t>
                            </w:r>
                            <w:r w:rsidRPr="00755429">
                              <w:rPr>
                                <w:b/>
                              </w:rPr>
                              <w:t xml:space="preserve">ggregated purchasing </w:t>
                            </w:r>
                            <w:r w:rsidRPr="00755429">
                              <w:t xml:space="preserve">is grouping together demand for commonly purchased goods and services to </w:t>
                            </w:r>
                            <w:r>
                              <w:t>make the most of</w:t>
                            </w:r>
                            <w:r w:rsidRPr="00755429">
                              <w:t xml:space="preserve"> greater economies of scale when procuring from the marketplace.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5F705" id="Text Box 6" o:spid="_x0000_s1058" type="#_x0000_t202" style="position:absolute;left:0;text-align:left;margin-left:332.8pt;margin-top:104.45pt;width:131.25pt;height:114.75pt;z-index:2516910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" filled="f" strokeweight=".5pt">
                <v:textbox>
                  <w:txbxContent>
                    <w:p w14:paraId="1EF67C58" w14:textId="77777777" w:rsidR="00064484" w:rsidRPr="00755429" w:rsidRDefault="00064484" w:rsidP="00C17101">
                      <w:pPr>
                        <w:pStyle w:val="textbox"/>
                      </w:pPr>
                      <w:r w:rsidRPr="00755429">
                        <w:rPr>
                          <w:rStyle w:val="textboxChar"/>
                          <w:b/>
                        </w:rPr>
                        <w:t>A</w:t>
                      </w:r>
                      <w:r w:rsidRPr="00755429">
                        <w:rPr>
                          <w:b/>
                        </w:rPr>
                        <w:t xml:space="preserve">ggregated purchasing </w:t>
                      </w:r>
                      <w:r w:rsidRPr="00755429">
                        <w:t xml:space="preserve">is grouping together demand for commonly purchased goods and services to </w:t>
                      </w:r>
                      <w:r>
                        <w:t>make the most of</w:t>
                      </w:r>
                      <w:r w:rsidRPr="00755429">
                        <w:t xml:space="preserve"> greater economies of scale when procuring from the marketplace.</w:t>
                      </w:r>
                    </w:p>
                  </w:txbxContent>
                </v:textbox>
                <w10:wrap type="square" anchorx="margin" anchory="margin"/>
              </v:shape>
            </w:pict>
          </mc:Fallback>
        </mc:AlternateContent>
      </w:r>
      <w:r w:rsidR="009307D9" w:rsidRPr="00CD6245">
        <w:rPr>
          <w:lang w:eastAsia="en-US"/>
        </w:rPr>
        <w:t xml:space="preserve">By </w:t>
      </w:r>
      <w:r w:rsidR="009B7261">
        <w:rPr>
          <w:lang w:eastAsia="en-US"/>
        </w:rPr>
        <w:t>combining</w:t>
      </w:r>
      <w:r w:rsidR="009307D9" w:rsidRPr="00CD6245">
        <w:rPr>
          <w:lang w:eastAsia="en-US"/>
        </w:rPr>
        <w:t xml:space="preserve"> demand</w:t>
      </w:r>
      <w:r w:rsidR="009307D9">
        <w:rPr>
          <w:lang w:eastAsia="en-US"/>
        </w:rPr>
        <w:t xml:space="preserve"> </w:t>
      </w:r>
      <w:r w:rsidR="009307D9" w:rsidRPr="00CD6245">
        <w:rPr>
          <w:lang w:eastAsia="en-US"/>
        </w:rPr>
        <w:t>for common</w:t>
      </w:r>
      <w:r w:rsidR="00F06FDC">
        <w:rPr>
          <w:lang w:eastAsia="en-US"/>
        </w:rPr>
        <w:t>ly</w:t>
      </w:r>
      <w:r w:rsidR="00963F4B">
        <w:rPr>
          <w:lang w:eastAsia="en-US"/>
        </w:rPr>
        <w:t xml:space="preserve"> use</w:t>
      </w:r>
      <w:r w:rsidR="00F06FDC">
        <w:rPr>
          <w:lang w:eastAsia="en-US"/>
        </w:rPr>
        <w:t>d</w:t>
      </w:r>
      <w:r w:rsidR="009307D9" w:rsidRPr="00CD6245">
        <w:rPr>
          <w:lang w:eastAsia="en-US"/>
        </w:rPr>
        <w:t xml:space="preserve"> goods and services, </w:t>
      </w:r>
      <w:r w:rsidR="00F06FDC">
        <w:rPr>
          <w:lang w:eastAsia="en-US"/>
        </w:rPr>
        <w:t>government</w:t>
      </w:r>
      <w:r w:rsidR="009307D9" w:rsidRPr="00CD6245">
        <w:rPr>
          <w:lang w:eastAsia="en-US"/>
        </w:rPr>
        <w:t xml:space="preserve"> can harness greater economies of scale when negotiating with suppliers.</w:t>
      </w:r>
    </w:p>
    <w:p w14:paraId="46C5E96B" w14:textId="039CB2E6" w:rsidR="00A35E2F" w:rsidRPr="009F0532" w:rsidRDefault="00A35E2F" w:rsidP="00042E3B">
      <w:pPr>
        <w:pStyle w:val="Normal1"/>
      </w:pPr>
      <w:r w:rsidRPr="00042E3B">
        <w:t>Aggregating purchasing power allows organisations to negotiate lower prices</w:t>
      </w:r>
      <w:r w:rsidR="007517D7">
        <w:t xml:space="preserve"> </w:t>
      </w:r>
      <w:r w:rsidR="007C5160">
        <w:t xml:space="preserve">and </w:t>
      </w:r>
      <w:r w:rsidR="007517D7">
        <w:t xml:space="preserve">better terms and </w:t>
      </w:r>
      <w:r w:rsidR="009B04F5" w:rsidRPr="009F0532">
        <w:t>conditions and</w:t>
      </w:r>
      <w:r w:rsidR="007C5160" w:rsidRPr="009F0532">
        <w:t xml:space="preserve"> </w:t>
      </w:r>
      <w:r w:rsidRPr="009F0532">
        <w:t>reduc</w:t>
      </w:r>
      <w:r w:rsidR="007C5160" w:rsidRPr="009F0532">
        <w:t>es</w:t>
      </w:r>
      <w:r w:rsidRPr="009F0532">
        <w:t xml:space="preserve"> </w:t>
      </w:r>
      <w:r w:rsidR="002A4EB4">
        <w:t xml:space="preserve">risk and </w:t>
      </w:r>
      <w:r w:rsidRPr="009F0532">
        <w:t xml:space="preserve">the administrative burden </w:t>
      </w:r>
      <w:r w:rsidR="00D438A1" w:rsidRPr="009F0532">
        <w:t>on buyers and suppliers</w:t>
      </w:r>
      <w:r w:rsidRPr="009F0532">
        <w:t>.</w:t>
      </w:r>
    </w:p>
    <w:p w14:paraId="61D1E38A" w14:textId="69C8009E" w:rsidR="00313B78" w:rsidRDefault="00D438A1" w:rsidP="00313B78">
      <w:pPr>
        <w:pStyle w:val="Normal1"/>
        <w:rPr>
          <w:lang w:eastAsia="en-US"/>
        </w:rPr>
      </w:pPr>
      <w:r w:rsidRPr="009F0532">
        <w:t xml:space="preserve">The Victorian Government has </w:t>
      </w:r>
      <w:r w:rsidR="00AB16F6">
        <w:t xml:space="preserve">a number of </w:t>
      </w:r>
      <w:r w:rsidR="0055120B" w:rsidRPr="009F0532">
        <w:t>state purchase contracts (SPCs)</w:t>
      </w:r>
      <w:r w:rsidR="00E843AD">
        <w:t xml:space="preserve"> and registers</w:t>
      </w:r>
      <w:r w:rsidR="0055120B" w:rsidRPr="009F0532">
        <w:t xml:space="preserve"> </w:t>
      </w:r>
      <w:r w:rsidRPr="009F0532">
        <w:rPr>
          <w:lang w:eastAsia="en-US"/>
        </w:rPr>
        <w:t>for commonly purchased goods and services</w:t>
      </w:r>
      <w:r w:rsidR="00313B78">
        <w:rPr>
          <w:lang w:eastAsia="en-US"/>
        </w:rPr>
        <w:t xml:space="preserve">. To see a full list of SPCs and registers, visit </w:t>
      </w:r>
      <w:hyperlink r:id="rId30" w:history="1">
        <w:r w:rsidR="00313B78" w:rsidRPr="004B2051">
          <w:rPr>
            <w:rStyle w:val="Hyperlink"/>
            <w:lang w:eastAsia="en-US"/>
          </w:rPr>
          <w:t>www.buyingfor.vic.gov.au</w:t>
        </w:r>
      </w:hyperlink>
      <w:r w:rsidR="00313B78">
        <w:rPr>
          <w:lang w:eastAsia="en-US"/>
        </w:rPr>
        <w:t>.</w:t>
      </w:r>
    </w:p>
    <w:p w14:paraId="460526FC" w14:textId="4302B85F" w:rsidR="0055120B" w:rsidRDefault="0055120B" w:rsidP="0055120B">
      <w:pPr>
        <w:pStyle w:val="Normal1"/>
        <w:rPr>
          <w:lang w:eastAsia="en-US"/>
        </w:rPr>
      </w:pPr>
      <w:bookmarkStart w:id="179" w:name="_Hlk16515792"/>
      <w:r w:rsidRPr="009830B5">
        <w:t>More tha</w:t>
      </w:r>
      <w:r w:rsidRPr="007B17A0">
        <w:t xml:space="preserve">n </w:t>
      </w:r>
      <w:r w:rsidRPr="00436BFB">
        <w:t>200</w:t>
      </w:r>
      <w:r w:rsidRPr="007B17A0">
        <w:t xml:space="preserve"> org</w:t>
      </w:r>
      <w:r w:rsidRPr="009830B5">
        <w:t xml:space="preserve">anisations benefit from the time and cost </w:t>
      </w:r>
      <w:r w:rsidRPr="007B17A0">
        <w:t>savings offered by SPCs.</w:t>
      </w:r>
      <w:r w:rsidRPr="007B17A0">
        <w:rPr>
          <w:lang w:eastAsia="en-US"/>
        </w:rPr>
        <w:t xml:space="preserve"> Total annual spend under SPCs is estimated to be </w:t>
      </w:r>
      <w:r w:rsidR="006D29C0" w:rsidRPr="007B17A0">
        <w:rPr>
          <w:lang w:eastAsia="en-US"/>
        </w:rPr>
        <w:t>about</w:t>
      </w:r>
      <w:r w:rsidRPr="007B17A0">
        <w:rPr>
          <w:lang w:eastAsia="en-US"/>
        </w:rPr>
        <w:t xml:space="preserve"> </w:t>
      </w:r>
      <w:r w:rsidR="00420659" w:rsidRPr="00436BFB">
        <w:rPr>
          <w:lang w:eastAsia="en-US"/>
        </w:rPr>
        <w:t>$</w:t>
      </w:r>
      <w:r w:rsidR="00710380" w:rsidRPr="00436BFB">
        <w:rPr>
          <w:lang w:eastAsia="en-US"/>
        </w:rPr>
        <w:t>1.</w:t>
      </w:r>
      <w:r w:rsidR="00826A4A" w:rsidRPr="00436BFB">
        <w:rPr>
          <w:lang w:eastAsia="en-US"/>
        </w:rPr>
        <w:t>7</w:t>
      </w:r>
      <w:r w:rsidRPr="00436BFB">
        <w:rPr>
          <w:lang w:eastAsia="en-US"/>
        </w:rPr>
        <w:t xml:space="preserve"> billion</w:t>
      </w:r>
      <w:r w:rsidR="00C53DC4" w:rsidRPr="007B17A0">
        <w:rPr>
          <w:lang w:eastAsia="en-US"/>
        </w:rPr>
        <w:t xml:space="preserve"> </w:t>
      </w:r>
      <w:r w:rsidR="00F971AF" w:rsidRPr="007B17A0">
        <w:rPr>
          <w:lang w:eastAsia="en-US"/>
        </w:rPr>
        <w:t>(not</w:t>
      </w:r>
      <w:r w:rsidR="00F971AF" w:rsidRPr="009830B5">
        <w:rPr>
          <w:lang w:eastAsia="en-US"/>
        </w:rPr>
        <w:t xml:space="preserve"> including</w:t>
      </w:r>
      <w:r w:rsidR="00DE43FF" w:rsidRPr="009830B5">
        <w:rPr>
          <w:lang w:eastAsia="en-US"/>
        </w:rPr>
        <w:t xml:space="preserve"> spend under</w:t>
      </w:r>
      <w:r w:rsidR="00F971AF" w:rsidRPr="009830B5">
        <w:rPr>
          <w:lang w:eastAsia="en-US"/>
        </w:rPr>
        <w:t xml:space="preserve"> the Legal Services </w:t>
      </w:r>
      <w:r w:rsidR="00DE43FF" w:rsidRPr="009830B5">
        <w:rPr>
          <w:lang w:eastAsia="en-US"/>
        </w:rPr>
        <w:t>Panel</w:t>
      </w:r>
      <w:r w:rsidR="00F971AF" w:rsidRPr="009830B5">
        <w:rPr>
          <w:lang w:eastAsia="en-US"/>
        </w:rPr>
        <w:t>).</w:t>
      </w:r>
    </w:p>
    <w:bookmarkEnd w:id="179"/>
    <w:p w14:paraId="4EB56744" w14:textId="77777777" w:rsidR="0055120B" w:rsidRDefault="0055120B" w:rsidP="0055120B">
      <w:pPr>
        <w:pStyle w:val="Heading3NoNum"/>
      </w:pPr>
      <w:r>
        <w:t>Who can access SPCs?</w:t>
      </w:r>
    </w:p>
    <w:p w14:paraId="20476DC0" w14:textId="38CCACB4" w:rsidR="00D438A1" w:rsidRPr="00042E3B" w:rsidRDefault="00D438A1" w:rsidP="00042E3B">
      <w:pPr>
        <w:pStyle w:val="Normal1"/>
      </w:pPr>
      <w:r>
        <w:t>A</w:t>
      </w:r>
      <w:r w:rsidRPr="00CD6245">
        <w:t xml:space="preserve">ll government organisations and agencies can access </w:t>
      </w:r>
      <w:r w:rsidR="0055120B">
        <w:t>S</w:t>
      </w:r>
      <w:r w:rsidRPr="00CD6245">
        <w:t xml:space="preserve">PCs </w:t>
      </w:r>
      <w:r>
        <w:t xml:space="preserve">provided </w:t>
      </w:r>
      <w:r w:rsidRPr="00CD6245">
        <w:t>they commit to the rules of use.</w:t>
      </w:r>
      <w:r>
        <w:t xml:space="preserve"> For organisations bound by VGPB </w:t>
      </w:r>
      <w:r w:rsidRPr="00763586">
        <w:t xml:space="preserve">policies, </w:t>
      </w:r>
      <w:r w:rsidR="00763586" w:rsidRPr="00043C3A">
        <w:t xml:space="preserve">the individual rules of use for the </w:t>
      </w:r>
      <w:r w:rsidR="00763586" w:rsidRPr="00043C3A">
        <w:rPr>
          <w:lang w:eastAsia="en-US"/>
        </w:rPr>
        <w:t>SPC apply.</w:t>
      </w:r>
    </w:p>
    <w:p w14:paraId="6F4A349E" w14:textId="7694A1BF" w:rsidR="00D438A1" w:rsidRPr="002865DF" w:rsidRDefault="008F27CC" w:rsidP="002865DF">
      <w:pPr>
        <w:pStyle w:val="Normal1"/>
      </w:pPr>
      <w:r w:rsidRPr="002865DF">
        <w:rPr>
          <w:noProof/>
          <w:highlight w:val="yellow"/>
        </w:rPr>
        <mc:AlternateContent>
          <mc:Choice Requires="wps">
            <w:drawing>
              <wp:anchor distT="0" distB="0" distL="114300" distR="114300" simplePos="0" relativeHeight="251655168" behindDoc="0" locked="0" layoutInCell="1" allowOverlap="1" wp14:anchorId="1124CD41" wp14:editId="3DB82358">
                <wp:simplePos x="0" y="0"/>
                <wp:positionH relativeFrom="column">
                  <wp:posOffset>3585210</wp:posOffset>
                </wp:positionH>
                <wp:positionV relativeFrom="paragraph">
                  <wp:posOffset>6985</wp:posOffset>
                </wp:positionV>
                <wp:extent cx="2442210" cy="2276475"/>
                <wp:effectExtent l="0" t="0" r="15240" b="28575"/>
                <wp:wrapSquare wrapText="bothSides"/>
                <wp:docPr id="7" name="Text Box 7"/>
                <wp:cNvGraphicFramePr/>
                <a:graphic xmlns:a="http://schemas.openxmlformats.org/drawingml/2006/main">
                  <a:graphicData uri="http://schemas.microsoft.com/office/word/2010/wordprocessingShape">
                    <wps:wsp>
                      <wps:cNvSpPr txBox="1"/>
                      <wps:spPr>
                        <a:xfrm>
                          <a:off x="0" y="0"/>
                          <a:ext cx="2442210" cy="2276475"/>
                        </a:xfrm>
                        <a:prstGeom prst="rect">
                          <a:avLst/>
                        </a:prstGeom>
                        <a:noFill/>
                        <a:ln w="6350">
                          <a:solidFill>
                            <a:prstClr val="black"/>
                          </a:solidFill>
                        </a:ln>
                      </wps:spPr>
                      <wps:txbx>
                        <w:txbxContent>
                          <w:p w14:paraId="1B9D93CF" w14:textId="77777777" w:rsidR="00064484" w:rsidRDefault="00064484" w:rsidP="000F72AB">
                            <w:pPr>
                              <w:pStyle w:val="textbox"/>
                            </w:pPr>
                            <w:r>
                              <w:t>SPCs can be sole or multiple (panel) supplier arrangements or register arrangements. Panels can be open or closed. Open panels can accept new suppliers at set or other times during the contract period. Closed panels are restricted to the suppliers engaged at the start of the contract.</w:t>
                            </w:r>
                          </w:p>
                          <w:p w14:paraId="073C272C" w14:textId="77777777" w:rsidR="00064484" w:rsidRDefault="00064484" w:rsidP="000F72AB">
                            <w:pPr>
                              <w:pStyle w:val="textbox"/>
                            </w:pPr>
                            <w:r>
                              <w:t>Registers consist of prequalified suppliers, compliant where required with the eligibility criteria to provide goods and services to Victorian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4CD41" id="Text Box 7" o:spid="_x0000_s1059" type="#_x0000_t202" style="position:absolute;left:0;text-align:left;margin-left:282.3pt;margin-top:.55pt;width:192.3pt;height:1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" filled="f" strokeweight=".5pt">
                <v:textbox>
                  <w:txbxContent>
                    <w:p w14:paraId="1B9D93CF" w14:textId="77777777" w:rsidR="00064484" w:rsidRDefault="00064484" w:rsidP="000F72AB">
                      <w:pPr>
                        <w:pStyle w:val="textbox"/>
                      </w:pPr>
                      <w:r>
                        <w:t>SPCs can be sole or multiple (panel) supplier arrangements or register arrangements. Panels can be open or closed. Open panels can accept new suppliers at set or other times during the contract period. Closed panels are restricted to the suppliers engaged at the start of the contract.</w:t>
                      </w:r>
                    </w:p>
                    <w:p w14:paraId="073C272C" w14:textId="77777777" w:rsidR="00064484" w:rsidRDefault="00064484" w:rsidP="000F72AB">
                      <w:pPr>
                        <w:pStyle w:val="textbox"/>
                      </w:pPr>
                      <w:r>
                        <w:t>Registers consist of prequalified suppliers, compliant where required with the eligibility criteria to provide goods and services to Victorian Government.</w:t>
                      </w:r>
                    </w:p>
                  </w:txbxContent>
                </v:textbox>
                <w10:wrap type="square"/>
              </v:shape>
            </w:pict>
          </mc:Fallback>
        </mc:AlternateContent>
      </w:r>
      <w:r w:rsidR="00F06FDC" w:rsidRPr="002865DF">
        <w:t>Other o</w:t>
      </w:r>
      <w:r w:rsidR="00D438A1" w:rsidRPr="002865DF">
        <w:t>rganisations that can access SPCs</w:t>
      </w:r>
      <w:bookmarkStart w:id="180" w:name="_Hlk49167032"/>
      <w:r w:rsidR="008A5FBC">
        <w:t>, on application to the relevant lead agency,</w:t>
      </w:r>
      <w:r w:rsidR="00D438A1" w:rsidRPr="002865DF">
        <w:t xml:space="preserve"> </w:t>
      </w:r>
      <w:bookmarkEnd w:id="180"/>
      <w:r w:rsidR="00D438A1" w:rsidRPr="002865DF">
        <w:t xml:space="preserve">include local and federal </w:t>
      </w:r>
      <w:r w:rsidR="007C5160" w:rsidRPr="002865DF">
        <w:t>government organisations and not-for</w:t>
      </w:r>
      <w:r w:rsidR="00D438A1" w:rsidRPr="002865DF">
        <w:t>-profit organisations.</w:t>
      </w:r>
    </w:p>
    <w:p w14:paraId="0CD17163" w14:textId="77777777" w:rsidR="0055120B" w:rsidRDefault="0055120B" w:rsidP="0055120B">
      <w:pPr>
        <w:pStyle w:val="Heading3NoNum"/>
      </w:pPr>
      <w:r>
        <w:t>Who manages SPCs?</w:t>
      </w:r>
    </w:p>
    <w:p w14:paraId="59F78A4D" w14:textId="77777777" w:rsidR="0055120B" w:rsidRDefault="00D438A1" w:rsidP="00D438A1">
      <w:pPr>
        <w:pStyle w:val="Normal1"/>
      </w:pPr>
      <w:r w:rsidRPr="00A64F1B">
        <w:t>The Departme</w:t>
      </w:r>
      <w:r>
        <w:t>nt of Treasury and Finance</w:t>
      </w:r>
      <w:r w:rsidRPr="00A64F1B">
        <w:t xml:space="preserve"> manages </w:t>
      </w:r>
      <w:r w:rsidR="0055120B">
        <w:t xml:space="preserve">almost all </w:t>
      </w:r>
      <w:r>
        <w:t>non-ICT goods and services SPCs</w:t>
      </w:r>
      <w:r w:rsidR="0055120B">
        <w:t>. The only exception is</w:t>
      </w:r>
      <w:r>
        <w:t xml:space="preserve"> the </w:t>
      </w:r>
      <w:r w:rsidR="006B5610">
        <w:t>Legal Servi</w:t>
      </w:r>
      <w:r>
        <w:t>ces</w:t>
      </w:r>
      <w:r w:rsidR="00DE43FF">
        <w:t xml:space="preserve"> Panel</w:t>
      </w:r>
      <w:r w:rsidR="0055120B">
        <w:t xml:space="preserve">, </w:t>
      </w:r>
      <w:r>
        <w:t xml:space="preserve">which is managed by the Department of Justice and </w:t>
      </w:r>
      <w:r w:rsidR="008240C5">
        <w:t>Community Safety</w:t>
      </w:r>
      <w:r>
        <w:t>.</w:t>
      </w:r>
    </w:p>
    <w:p w14:paraId="088193AD" w14:textId="77777777" w:rsidR="00D438A1" w:rsidRDefault="00D438A1" w:rsidP="00D438A1">
      <w:pPr>
        <w:pStyle w:val="Normal1"/>
      </w:pPr>
      <w:r>
        <w:t>T</w:t>
      </w:r>
      <w:r w:rsidRPr="00A64F1B">
        <w:t>he Department of Premier and Cabinet</w:t>
      </w:r>
      <w:r w:rsidR="00FB0AF9">
        <w:t xml:space="preserve"> </w:t>
      </w:r>
      <w:r w:rsidR="008E5C8C">
        <w:t>is</w:t>
      </w:r>
      <w:r w:rsidRPr="00A64F1B">
        <w:t xml:space="preserve"> responsible for ICT SPCs</w:t>
      </w:r>
      <w:r w:rsidR="008E5C8C">
        <w:t>, apart from Rosetta</w:t>
      </w:r>
      <w:r w:rsidR="00E65F21">
        <w:t>,</w:t>
      </w:r>
      <w:r w:rsidR="008E5C8C">
        <w:t xml:space="preserve"> which is managed by</w:t>
      </w:r>
      <w:r w:rsidR="008E5C8C" w:rsidRPr="008E5C8C">
        <w:t xml:space="preserve"> </w:t>
      </w:r>
      <w:r w:rsidR="00820DB7">
        <w:t>Cen</w:t>
      </w:r>
      <w:r w:rsidR="007410F2">
        <w:t>it</w:t>
      </w:r>
      <w:r w:rsidR="00820DB7">
        <w:t>ex</w:t>
      </w:r>
      <w:r w:rsidR="008E5C8C">
        <w:t>.</w:t>
      </w:r>
    </w:p>
    <w:p w14:paraId="6E0B164E" w14:textId="77777777" w:rsidR="0055120B" w:rsidRPr="00420659" w:rsidRDefault="0055120B" w:rsidP="0055120B">
      <w:pPr>
        <w:pStyle w:val="Heading3NoNum"/>
      </w:pPr>
      <w:r w:rsidRPr="00420659">
        <w:t>Looking for new opportunities</w:t>
      </w:r>
    </w:p>
    <w:p w14:paraId="470A7476" w14:textId="1F0A402C" w:rsidR="003B0A9B" w:rsidRDefault="009C2CAE" w:rsidP="00D438A1">
      <w:pPr>
        <w:pStyle w:val="Normal1"/>
      </w:pPr>
      <w:r w:rsidRPr="009830B5">
        <w:t xml:space="preserve">Throughout </w:t>
      </w:r>
      <w:r w:rsidR="000D2C84">
        <w:t>2019–20</w:t>
      </w:r>
      <w:r w:rsidRPr="009830B5">
        <w:t>, the VGPB continue</w:t>
      </w:r>
      <w:r w:rsidR="009830B5" w:rsidRPr="009830B5">
        <w:t>d</w:t>
      </w:r>
      <w:r w:rsidRPr="009830B5">
        <w:t xml:space="preserve"> to review </w:t>
      </w:r>
      <w:r w:rsidR="00D438A1" w:rsidRPr="009830B5">
        <w:t>organisations</w:t>
      </w:r>
      <w:r w:rsidR="007C5160" w:rsidRPr="009830B5">
        <w:t>’</w:t>
      </w:r>
      <w:r w:rsidR="00D438A1" w:rsidRPr="009830B5">
        <w:t xml:space="preserve"> forward</w:t>
      </w:r>
      <w:r w:rsidR="00420659" w:rsidRPr="009830B5">
        <w:t>-</w:t>
      </w:r>
      <w:r w:rsidR="00D438A1" w:rsidRPr="009830B5">
        <w:t>looking procurement activity plans</w:t>
      </w:r>
      <w:r w:rsidR="00D62620">
        <w:t>.</w:t>
      </w:r>
      <w:r w:rsidR="00D438A1" w:rsidRPr="009830B5">
        <w:t xml:space="preserve"> Th</w:t>
      </w:r>
      <w:r w:rsidR="00D62620">
        <w:t xml:space="preserve">is helps </w:t>
      </w:r>
      <w:r w:rsidR="00D438A1" w:rsidRPr="009830B5">
        <w:t xml:space="preserve">the VGPB to </w:t>
      </w:r>
      <w:r w:rsidRPr="009830B5">
        <w:t xml:space="preserve">continue to </w:t>
      </w:r>
      <w:r w:rsidR="00D438A1" w:rsidRPr="009830B5">
        <w:t>support</w:t>
      </w:r>
      <w:r w:rsidR="009F3DF7" w:rsidRPr="009830B5">
        <w:t xml:space="preserve"> the departments of</w:t>
      </w:r>
      <w:r w:rsidR="00B60784" w:rsidRPr="009830B5">
        <w:t xml:space="preserve"> Treasury and Finance</w:t>
      </w:r>
      <w:r w:rsidR="00D438A1" w:rsidRPr="009830B5">
        <w:t xml:space="preserve"> and </w:t>
      </w:r>
      <w:r w:rsidR="00B60784" w:rsidRPr="009830B5">
        <w:t xml:space="preserve">Premier and Cabinet </w:t>
      </w:r>
      <w:r w:rsidR="00D438A1" w:rsidRPr="009830B5">
        <w:t>in identifying additional opportunities for aggregation to drive greater value-for-money outcomes.</w:t>
      </w:r>
    </w:p>
    <w:p w14:paraId="44C67DC1" w14:textId="3F30C86E" w:rsidR="003B0A9B" w:rsidRDefault="003B0A9B" w:rsidP="00D438A1">
      <w:pPr>
        <w:pStyle w:val="Normal1"/>
      </w:pPr>
      <w:bookmarkStart w:id="181" w:name="_Hlk49360187"/>
      <w:r>
        <w:t>The Department of Treasury and Finance has:</w:t>
      </w:r>
    </w:p>
    <w:p w14:paraId="7803B4A6" w14:textId="3A6C33C7" w:rsidR="003B0A9B" w:rsidRDefault="0076241C" w:rsidP="003B0A9B">
      <w:pPr>
        <w:pStyle w:val="Normal1"/>
        <w:numPr>
          <w:ilvl w:val="0"/>
          <w:numId w:val="21"/>
        </w:numPr>
      </w:pPr>
      <w:r>
        <w:t xml:space="preserve">been leading a program of data analytics designed to deliver improvements </w:t>
      </w:r>
      <w:r w:rsidR="0052525D">
        <w:t>to</w:t>
      </w:r>
      <w:r>
        <w:t xml:space="preserve"> existing SPCs and identif</w:t>
      </w:r>
      <w:r w:rsidR="0052525D">
        <w:t>y</w:t>
      </w:r>
      <w:r>
        <w:t xml:space="preserve"> opportunities for new SPCs</w:t>
      </w:r>
      <w:r w:rsidR="0052525D">
        <w:t>;</w:t>
      </w:r>
      <w:r w:rsidR="000A6E59">
        <w:t xml:space="preserve"> </w:t>
      </w:r>
      <w:r w:rsidR="00D24C46">
        <w:t>and</w:t>
      </w:r>
    </w:p>
    <w:p w14:paraId="3A63B2F6" w14:textId="674C9619" w:rsidR="00D438A1" w:rsidRPr="000A6E59" w:rsidRDefault="003B0A9B" w:rsidP="003B0A9B">
      <w:pPr>
        <w:pStyle w:val="Normal1"/>
        <w:numPr>
          <w:ilvl w:val="0"/>
          <w:numId w:val="21"/>
        </w:numPr>
      </w:pPr>
      <w:r>
        <w:t>developed a strategy</w:t>
      </w:r>
      <w:r w:rsidR="000A6E59">
        <w:t xml:space="preserve"> and market approach document</w:t>
      </w:r>
      <w:r>
        <w:t xml:space="preserve"> to </w:t>
      </w:r>
      <w:r w:rsidR="00F806FA">
        <w:t>lay the foundation for a modern and flexible banking and financial services SPC</w:t>
      </w:r>
      <w:r w:rsidR="00D24C46">
        <w:t>.</w:t>
      </w:r>
    </w:p>
    <w:p w14:paraId="0597F402" w14:textId="1B10ADD2" w:rsidR="000A6E59" w:rsidRPr="000A6E59" w:rsidRDefault="000A6E59" w:rsidP="00D24C46">
      <w:pPr>
        <w:pStyle w:val="Normal1"/>
      </w:pPr>
      <w:r w:rsidRPr="000A6E59">
        <w:t>Victoria is</w:t>
      </w:r>
      <w:r w:rsidR="00D24C46">
        <w:t xml:space="preserve"> also</w:t>
      </w:r>
      <w:r w:rsidRPr="000A6E59">
        <w:t xml:space="preserve"> joining with New South Wales, Queensland and the Australian Capital Territory in a joint Fuel and Associated Products procurement to drive better value for money</w:t>
      </w:r>
      <w:r>
        <w:t>.</w:t>
      </w:r>
      <w:bookmarkEnd w:id="181"/>
      <w:r>
        <w:br w:type="page"/>
      </w:r>
    </w:p>
    <w:p w14:paraId="29E05DA3" w14:textId="5046A409" w:rsidR="00043C3A" w:rsidRPr="00F34834" w:rsidRDefault="00043C3A" w:rsidP="00F34834">
      <w:pPr>
        <w:pStyle w:val="Normal1"/>
      </w:pPr>
      <w:r w:rsidRPr="00F34834">
        <w:lastRenderedPageBreak/>
        <w:t>The Department of Premier and Cabinet is exploring options for:</w:t>
      </w:r>
    </w:p>
    <w:p w14:paraId="7E080375" w14:textId="00272D2E" w:rsidR="002003CC" w:rsidRPr="002003CC" w:rsidRDefault="002003CC" w:rsidP="002003CC">
      <w:pPr>
        <w:pStyle w:val="Bullet1"/>
      </w:pPr>
      <w:r w:rsidRPr="002003CC">
        <w:t>A</w:t>
      </w:r>
      <w:r>
        <w:t>mazon Web Services</w:t>
      </w:r>
      <w:r w:rsidRPr="002003CC">
        <w:t xml:space="preserve"> agreement</w:t>
      </w:r>
      <w:r w:rsidR="0052525D">
        <w:t>;</w:t>
      </w:r>
    </w:p>
    <w:p w14:paraId="14799B97" w14:textId="79FCE6FE" w:rsidR="002003CC" w:rsidRPr="002003CC" w:rsidRDefault="002003CC" w:rsidP="002003CC">
      <w:pPr>
        <w:pStyle w:val="Bullet1"/>
      </w:pPr>
      <w:r w:rsidRPr="002003CC">
        <w:t>ServiceNow agreement</w:t>
      </w:r>
      <w:r w:rsidR="0052525D">
        <w:t>; and</w:t>
      </w:r>
    </w:p>
    <w:p w14:paraId="174B5BB8" w14:textId="7636A1B2" w:rsidR="002003CC" w:rsidRPr="002003CC" w:rsidRDefault="002003CC" w:rsidP="002003CC">
      <w:pPr>
        <w:pStyle w:val="Bullet1"/>
      </w:pPr>
      <w:r w:rsidRPr="00044BA0">
        <w:t>Google agreement</w:t>
      </w:r>
      <w:r w:rsidR="00044BA0" w:rsidRPr="00044BA0">
        <w:t xml:space="preserve">. </w:t>
      </w:r>
    </w:p>
    <w:p w14:paraId="43C64F63" w14:textId="1EF4EAEE" w:rsidR="00043C3A" w:rsidRDefault="00B66FD8" w:rsidP="00D438A1">
      <w:pPr>
        <w:pStyle w:val="Normal1"/>
      </w:pPr>
      <w:r w:rsidRPr="00F34834">
        <w:t>The Department of Premier and Cabinet</w:t>
      </w:r>
      <w:r w:rsidR="002003CC">
        <w:t xml:space="preserve"> is also looking at introducing virtualised buying for all ICT SPCs through the eServices program.</w:t>
      </w:r>
    </w:p>
    <w:p w14:paraId="1DD54E54" w14:textId="77777777" w:rsidR="00D438A1" w:rsidRDefault="00D438A1" w:rsidP="002F2507">
      <w:pPr>
        <w:pStyle w:val="Heading3NoNum"/>
      </w:pPr>
      <w:r>
        <w:t>About the data in this section</w:t>
      </w:r>
    </w:p>
    <w:p w14:paraId="1B2AA085" w14:textId="6AAAEFB6" w:rsidR="00D438A1" w:rsidRDefault="00D438A1" w:rsidP="00D438A1">
      <w:pPr>
        <w:pStyle w:val="Normal1"/>
      </w:pPr>
      <w:r w:rsidRPr="00BE29E6">
        <w:t>The contract values in the tables are estimates. Expenditure occurs as organisations order and consume goods and services under the SPC. This takes place over the contract term. Total estimated value includes the initial contract term</w:t>
      </w:r>
      <w:r w:rsidR="003E0CE6">
        <w:t>,</w:t>
      </w:r>
      <w:r w:rsidRPr="00BE29E6">
        <w:t xml:space="preserve"> </w:t>
      </w:r>
      <w:r w:rsidR="009F0532">
        <w:t>and</w:t>
      </w:r>
      <w:r w:rsidRPr="00BE29E6">
        <w:t xml:space="preserve"> any options</w:t>
      </w:r>
      <w:r>
        <w:t xml:space="preserve"> to extend the contract</w:t>
      </w:r>
      <w:r w:rsidR="00B66FD8">
        <w:t xml:space="preserve"> </w:t>
      </w:r>
      <w:r w:rsidR="00B66FD8" w:rsidRPr="00C1337E">
        <w:t>(although these may or may not be exercised).</w:t>
      </w:r>
    </w:p>
    <w:p w14:paraId="7B0D5E4A" w14:textId="2A6CD482" w:rsidR="007244B8" w:rsidRPr="00CD6245" w:rsidRDefault="007244B8" w:rsidP="00C5781E">
      <w:pPr>
        <w:pStyle w:val="Heading2NoNum"/>
      </w:pPr>
      <w:bookmarkStart w:id="182" w:name="_Toc52187738"/>
      <w:bookmarkEnd w:id="113"/>
      <w:r w:rsidRPr="00CD6245">
        <w:t>State purchase contracts</w:t>
      </w:r>
      <w:r w:rsidR="00B91F27">
        <w:t xml:space="preserve"> approved in </w:t>
      </w:r>
      <w:r w:rsidR="000D2C84">
        <w:t>2019–20</w:t>
      </w:r>
      <w:bookmarkEnd w:id="182"/>
    </w:p>
    <w:p w14:paraId="2EDA6A09" w14:textId="36791F1D" w:rsidR="00842726" w:rsidRPr="00CD6245" w:rsidRDefault="005A30DA" w:rsidP="00842726">
      <w:pPr>
        <w:pStyle w:val="Normal1"/>
      </w:pPr>
      <w:r w:rsidRPr="006D2DCF">
        <w:t xml:space="preserve">In </w:t>
      </w:r>
      <w:r w:rsidR="000D2C84">
        <w:t>2019–20</w:t>
      </w:r>
      <w:r w:rsidRPr="006D2DCF">
        <w:t xml:space="preserve">, </w:t>
      </w:r>
      <w:r w:rsidR="000B048B">
        <w:t>six</w:t>
      </w:r>
      <w:r w:rsidRPr="006D2DCF">
        <w:t xml:space="preserve"> SPCs </w:t>
      </w:r>
      <w:r w:rsidR="00BE29E6" w:rsidRPr="006D2DCF">
        <w:t xml:space="preserve">were approved </w:t>
      </w:r>
      <w:r w:rsidRPr="006D2DCF">
        <w:t>with an estimated total value of $</w:t>
      </w:r>
      <w:r w:rsidR="000B048B">
        <w:t>295.5</w:t>
      </w:r>
      <w:r w:rsidR="007718EF" w:rsidRPr="006D2DCF">
        <w:t> </w:t>
      </w:r>
      <w:r w:rsidRPr="006D2DCF">
        <w:t>million</w:t>
      </w:r>
      <w:r w:rsidR="003E0CE6" w:rsidRPr="006D2DCF">
        <w:t>, as listed in</w:t>
      </w:r>
      <w:r w:rsidR="003E0CE6">
        <w:t xml:space="preserve"> </w:t>
      </w:r>
      <w:r w:rsidR="003E0CE6" w:rsidRPr="00C1337E">
        <w:fldChar w:fldCharType="begin"/>
      </w:r>
      <w:r w:rsidR="003E0CE6" w:rsidRPr="00C1337E">
        <w:instrText xml:space="preserve"> REF _Ref425499231 \h  \* MERGEFORMAT </w:instrText>
      </w:r>
      <w:r w:rsidR="003E0CE6" w:rsidRPr="00C1337E">
        <w:fldChar w:fldCharType="separate"/>
      </w:r>
      <w:r w:rsidR="00152B74" w:rsidRPr="00CD6245">
        <w:t xml:space="preserve">Table </w:t>
      </w:r>
      <w:r w:rsidR="00152B74">
        <w:t>24</w:t>
      </w:r>
      <w:r w:rsidR="003E0CE6" w:rsidRPr="00C1337E">
        <w:fldChar w:fldCharType="end"/>
      </w:r>
      <w:r w:rsidR="003E0CE6" w:rsidRPr="00C1337E">
        <w:t>.</w:t>
      </w:r>
      <w:r w:rsidR="00842726" w:rsidRPr="00842726">
        <w:t xml:space="preserve"> </w:t>
      </w:r>
      <w:r w:rsidR="00842726">
        <w:t>This compares to nine</w:t>
      </w:r>
      <w:r w:rsidR="00842726" w:rsidRPr="00CD6245">
        <w:t xml:space="preserve"> SPCs </w:t>
      </w:r>
      <w:r w:rsidR="00842726">
        <w:t xml:space="preserve">approved </w:t>
      </w:r>
      <w:r w:rsidR="00842726" w:rsidRPr="00CD6245">
        <w:t xml:space="preserve">in </w:t>
      </w:r>
      <w:r w:rsidR="00842726" w:rsidRPr="006D2DCF">
        <w:t>2018–19</w:t>
      </w:r>
      <w:r w:rsidR="00842726">
        <w:t xml:space="preserve">, </w:t>
      </w:r>
      <w:r w:rsidR="00842726" w:rsidRPr="00CD6245">
        <w:t xml:space="preserve">with an estimated total value of </w:t>
      </w:r>
      <w:r w:rsidR="00842726" w:rsidRPr="006D2DCF">
        <w:t>$</w:t>
      </w:r>
      <w:r w:rsidR="00842726">
        <w:t>885.8</w:t>
      </w:r>
      <w:r w:rsidR="00842726" w:rsidRPr="006D2DCF">
        <w:t> million</w:t>
      </w:r>
      <w:r w:rsidR="00842726" w:rsidRPr="00CD6245">
        <w:t>.</w:t>
      </w:r>
    </w:p>
    <w:p w14:paraId="054F9B12" w14:textId="28E628D2" w:rsidR="000B048B" w:rsidRDefault="00B66FD8" w:rsidP="003E0CE6">
      <w:pPr>
        <w:pStyle w:val="Normal1"/>
      </w:pPr>
      <w:r>
        <w:t>Four</w:t>
      </w:r>
      <w:r w:rsidR="000B048B">
        <w:t xml:space="preserve"> SPCs were extended</w:t>
      </w:r>
      <w:r w:rsidR="009467D3">
        <w:t xml:space="preserve"> under a contract variation</w:t>
      </w:r>
      <w:r w:rsidR="000B048B">
        <w:t xml:space="preserve"> in 2019–20</w:t>
      </w:r>
      <w:r>
        <w:t xml:space="preserve">: </w:t>
      </w:r>
    </w:p>
    <w:p w14:paraId="6EFA2505" w14:textId="09075A51" w:rsidR="00B832F4" w:rsidRDefault="00842726" w:rsidP="00B66FD8">
      <w:pPr>
        <w:pStyle w:val="Bullet1"/>
      </w:pPr>
      <w:r>
        <w:t>The Department of Premier and Cabinet</w:t>
      </w:r>
      <w:r w:rsidR="000B048B">
        <w:t xml:space="preserve"> varied three </w:t>
      </w:r>
      <w:r w:rsidR="005E1C24">
        <w:t>SPCs</w:t>
      </w:r>
      <w:r w:rsidR="000B048B">
        <w:t xml:space="preserve"> during the year – Telecommunication (TPAMS 2025) Services, Intra-Government Secured Network and Victorian </w:t>
      </w:r>
      <w:r w:rsidR="00771D7E">
        <w:t xml:space="preserve">Office Telephony </w:t>
      </w:r>
      <w:r w:rsidR="00771D7E" w:rsidRPr="00842726">
        <w:t xml:space="preserve">Services </w:t>
      </w:r>
      <w:r w:rsidR="000B048B" w:rsidRPr="00842726">
        <w:t>– to ensure these contracts end when the new Victorian Telecommunications Service</w:t>
      </w:r>
      <w:r w:rsidR="000B048B" w:rsidRPr="000B048B">
        <w:t xml:space="preserve"> contract starts.</w:t>
      </w:r>
    </w:p>
    <w:p w14:paraId="2EE71AE8" w14:textId="20B8BD35" w:rsidR="000B048B" w:rsidRDefault="00842726" w:rsidP="00B66FD8">
      <w:pPr>
        <w:pStyle w:val="Bullet1"/>
      </w:pPr>
      <w:r>
        <w:t xml:space="preserve">The Department of Treasury and Finance </w:t>
      </w:r>
      <w:r w:rsidR="00B832F4">
        <w:t xml:space="preserve">varied </w:t>
      </w:r>
      <w:r w:rsidR="006A702E">
        <w:t>one</w:t>
      </w:r>
      <w:r w:rsidR="00B832F4">
        <w:t xml:space="preserve"> SPC during the year</w:t>
      </w:r>
      <w:r w:rsidR="006A702E">
        <w:t xml:space="preserve"> after market </w:t>
      </w:r>
      <w:r w:rsidR="002B208A">
        <w:t>analysis showed no competitors in the market offering the same or similar service.</w:t>
      </w:r>
    </w:p>
    <w:p w14:paraId="1FC0D5D1" w14:textId="193DE200" w:rsidR="007244B8" w:rsidRDefault="007244B8" w:rsidP="003D31F5">
      <w:pPr>
        <w:pStyle w:val="Caption"/>
      </w:pPr>
      <w:bookmarkStart w:id="183" w:name="_Ref425499231"/>
      <w:bookmarkStart w:id="184" w:name="_Ref520987609"/>
      <w:bookmarkStart w:id="185" w:name="_Ref16175171"/>
      <w:bookmarkStart w:id="186" w:name="_Toc17130211"/>
      <w:bookmarkStart w:id="187" w:name="_Toc48837157"/>
      <w:bookmarkStart w:id="188" w:name="_Toc49185547"/>
      <w:r w:rsidRPr="00CD6245">
        <w:t xml:space="preserve">Table </w:t>
      </w:r>
      <w:r w:rsidR="002407F7">
        <w:rPr>
          <w:noProof/>
        </w:rPr>
        <w:fldChar w:fldCharType="begin"/>
      </w:r>
      <w:r w:rsidR="002407F7">
        <w:rPr>
          <w:noProof/>
        </w:rPr>
        <w:instrText xml:space="preserve"> SEQ Table \* ARABIC </w:instrText>
      </w:r>
      <w:r w:rsidR="002407F7">
        <w:rPr>
          <w:noProof/>
        </w:rPr>
        <w:fldChar w:fldCharType="separate"/>
      </w:r>
      <w:r w:rsidR="00152B74">
        <w:rPr>
          <w:noProof/>
        </w:rPr>
        <w:t>24</w:t>
      </w:r>
      <w:r w:rsidR="002407F7">
        <w:rPr>
          <w:noProof/>
        </w:rPr>
        <w:fldChar w:fldCharType="end"/>
      </w:r>
      <w:bookmarkEnd w:id="183"/>
      <w:r w:rsidRPr="00CD6245">
        <w:t xml:space="preserve">: SPCs approved in </w:t>
      </w:r>
      <w:bookmarkEnd w:id="184"/>
      <w:r w:rsidR="000D2C84">
        <w:t>2019–20</w:t>
      </w:r>
      <w:bookmarkEnd w:id="185"/>
      <w:bookmarkEnd w:id="186"/>
      <w:bookmarkEnd w:id="187"/>
      <w:bookmarkEnd w:id="188"/>
    </w:p>
    <w:tbl>
      <w:tblPr>
        <w:tblStyle w:val="PlainTable21"/>
        <w:tblW w:w="9459" w:type="dxa"/>
        <w:tblInd w:w="709" w:type="dxa"/>
        <w:tblLook w:val="04A0" w:firstRow="1" w:lastRow="0" w:firstColumn="1" w:lastColumn="0" w:noHBand="0" w:noVBand="1"/>
      </w:tblPr>
      <w:tblGrid>
        <w:gridCol w:w="932"/>
        <w:gridCol w:w="10"/>
        <w:gridCol w:w="530"/>
        <w:gridCol w:w="2278"/>
        <w:gridCol w:w="120"/>
        <w:gridCol w:w="911"/>
        <w:gridCol w:w="66"/>
        <w:gridCol w:w="374"/>
        <w:gridCol w:w="265"/>
        <w:gridCol w:w="675"/>
        <w:gridCol w:w="420"/>
        <w:gridCol w:w="903"/>
        <w:gridCol w:w="78"/>
        <w:gridCol w:w="523"/>
        <w:gridCol w:w="230"/>
        <w:gridCol w:w="526"/>
        <w:gridCol w:w="105"/>
        <w:gridCol w:w="260"/>
        <w:gridCol w:w="253"/>
      </w:tblGrid>
      <w:tr w:rsidR="009467D3" w:rsidRPr="00160B30" w14:paraId="0C6E3702" w14:textId="77777777" w:rsidTr="009467D3">
        <w:trPr>
          <w:cnfStyle w:val="100000000000" w:firstRow="1" w:lastRow="0" w:firstColumn="0" w:lastColumn="0" w:oddVBand="0" w:evenVBand="0" w:oddHBand="0"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940" w:type="dxa"/>
            <w:gridSpan w:val="2"/>
            <w:shd w:val="clear" w:color="auto" w:fill="BFBFBF" w:themeFill="background1" w:themeFillShade="BF"/>
            <w:textDirection w:val="btLr"/>
          </w:tcPr>
          <w:p w14:paraId="43D771A4" w14:textId="77777777" w:rsidR="009467D3" w:rsidRPr="00160B30" w:rsidRDefault="009467D3" w:rsidP="000B20B5">
            <w:pPr>
              <w:pStyle w:val="TableText"/>
            </w:pPr>
            <w:r w:rsidRPr="00160B30">
              <w:t>Organisation</w:t>
            </w:r>
          </w:p>
        </w:tc>
        <w:tc>
          <w:tcPr>
            <w:tcW w:w="532" w:type="dxa"/>
            <w:shd w:val="clear" w:color="auto" w:fill="BFBFBF" w:themeFill="background1" w:themeFillShade="BF"/>
            <w:textDirection w:val="btLr"/>
          </w:tcPr>
          <w:p w14:paraId="20CAB2D4" w14:textId="77777777"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rPr>
                <w:bCs w:val="0"/>
              </w:rPr>
            </w:pPr>
            <w:r w:rsidRPr="00160B30">
              <w:t>Total number</w:t>
            </w:r>
          </w:p>
        </w:tc>
        <w:tc>
          <w:tcPr>
            <w:tcW w:w="2479" w:type="dxa"/>
            <w:gridSpan w:val="2"/>
            <w:shd w:val="clear" w:color="auto" w:fill="BFBFBF" w:themeFill="background1" w:themeFillShade="BF"/>
            <w:textDirection w:val="btLr"/>
          </w:tcPr>
          <w:p w14:paraId="27A90A59" w14:textId="5927989D"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pPr>
            <w:r>
              <w:t>Title/description</w:t>
            </w:r>
          </w:p>
        </w:tc>
        <w:tc>
          <w:tcPr>
            <w:tcW w:w="931" w:type="dxa"/>
            <w:gridSpan w:val="2"/>
            <w:shd w:val="clear" w:color="auto" w:fill="BFBFBF" w:themeFill="background1" w:themeFillShade="BF"/>
            <w:textDirection w:val="btLr"/>
            <w:vAlign w:val="bottom"/>
          </w:tcPr>
          <w:p w14:paraId="1AFEB208" w14:textId="38E06CF8"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pPr>
            <w:r w:rsidRPr="00160B30">
              <w:t>Total estimated value (million)</w:t>
            </w:r>
          </w:p>
        </w:tc>
        <w:tc>
          <w:tcPr>
            <w:tcW w:w="647" w:type="dxa"/>
            <w:gridSpan w:val="2"/>
            <w:shd w:val="clear" w:color="auto" w:fill="BFBFBF" w:themeFill="background1" w:themeFillShade="BF"/>
            <w:textDirection w:val="btLr"/>
            <w:vAlign w:val="bottom"/>
          </w:tcPr>
          <w:p w14:paraId="38008B23" w14:textId="51D2DFE4"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pPr>
            <w:r w:rsidRPr="00160B30">
              <w:t>Contract term (yrs)</w:t>
            </w:r>
          </w:p>
        </w:tc>
        <w:tc>
          <w:tcPr>
            <w:tcW w:w="1118" w:type="dxa"/>
            <w:gridSpan w:val="2"/>
            <w:shd w:val="clear" w:color="auto" w:fill="BFBFBF" w:themeFill="background1" w:themeFillShade="BF"/>
            <w:textDirection w:val="btLr"/>
          </w:tcPr>
          <w:p w14:paraId="07E69A54" w14:textId="77777777"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pPr>
            <w:r w:rsidRPr="00160B30">
              <w:t>Options</w:t>
            </w:r>
          </w:p>
        </w:tc>
        <w:tc>
          <w:tcPr>
            <w:tcW w:w="933" w:type="dxa"/>
            <w:gridSpan w:val="2"/>
            <w:shd w:val="clear" w:color="auto" w:fill="BFBFBF" w:themeFill="background1" w:themeFillShade="BF"/>
            <w:textDirection w:val="btLr"/>
          </w:tcPr>
          <w:p w14:paraId="34BB4F79" w14:textId="77777777"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pPr>
            <w:r w:rsidRPr="00160B30">
              <w:t>Complexity assessment outcome</w:t>
            </w:r>
          </w:p>
        </w:tc>
        <w:tc>
          <w:tcPr>
            <w:tcW w:w="755" w:type="dxa"/>
            <w:gridSpan w:val="2"/>
            <w:shd w:val="clear" w:color="auto" w:fill="BFBFBF" w:themeFill="background1" w:themeFillShade="BF"/>
            <w:textDirection w:val="btLr"/>
          </w:tcPr>
          <w:p w14:paraId="10E4AF53" w14:textId="77777777"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pPr>
            <w:r w:rsidRPr="00160B30">
              <w:t>Market approach method</w:t>
            </w:r>
          </w:p>
        </w:tc>
        <w:tc>
          <w:tcPr>
            <w:tcW w:w="636" w:type="dxa"/>
            <w:gridSpan w:val="2"/>
            <w:shd w:val="clear" w:color="auto" w:fill="BFBFBF" w:themeFill="background1" w:themeFillShade="BF"/>
            <w:textDirection w:val="btLr"/>
          </w:tcPr>
          <w:p w14:paraId="3026B8E1" w14:textId="77777777"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pPr>
            <w:r w:rsidRPr="00160B30">
              <w:t>Type of arrangement</w:t>
            </w:r>
          </w:p>
        </w:tc>
        <w:tc>
          <w:tcPr>
            <w:tcW w:w="488" w:type="dxa"/>
            <w:gridSpan w:val="2"/>
            <w:shd w:val="clear" w:color="auto" w:fill="BFBFBF" w:themeFill="background1" w:themeFillShade="BF"/>
            <w:textDirection w:val="btLr"/>
            <w:vAlign w:val="bottom"/>
          </w:tcPr>
          <w:p w14:paraId="588F4C47" w14:textId="77777777" w:rsidR="009467D3" w:rsidRPr="00160B30" w:rsidRDefault="009467D3" w:rsidP="000B20B5">
            <w:pPr>
              <w:pStyle w:val="TableText"/>
              <w:cnfStyle w:val="100000000000" w:firstRow="1" w:lastRow="0" w:firstColumn="0" w:lastColumn="0" w:oddVBand="0" w:evenVBand="0" w:oddHBand="0" w:evenHBand="0" w:firstRowFirstColumn="0" w:firstRowLastColumn="0" w:lastRowFirstColumn="0" w:lastRowLastColumn="0"/>
            </w:pPr>
            <w:r w:rsidRPr="00160B30">
              <w:t>No. of suppliers</w:t>
            </w:r>
          </w:p>
        </w:tc>
      </w:tr>
      <w:tr w:rsidR="00145649" w:rsidRPr="00160B30" w14:paraId="439853C8" w14:textId="77777777" w:rsidTr="00BD56DE">
        <w:trPr>
          <w:gridAfter w:val="1"/>
          <w:cnfStyle w:val="000000100000" w:firstRow="0" w:lastRow="0" w:firstColumn="0" w:lastColumn="0" w:oddVBand="0" w:evenVBand="0" w:oddHBand="1" w:evenHBand="0" w:firstRowFirstColumn="0" w:firstRowLastColumn="0" w:lastRowFirstColumn="0" w:lastRowLastColumn="0"/>
          <w:wAfter w:w="241" w:type="dxa"/>
          <w:trHeight w:val="331"/>
        </w:trPr>
        <w:tc>
          <w:tcPr>
            <w:cnfStyle w:val="001000000000" w:firstRow="0" w:lastRow="0" w:firstColumn="1" w:lastColumn="0" w:oddVBand="0" w:evenVBand="0" w:oddHBand="0" w:evenHBand="0" w:firstRowFirstColumn="0" w:firstRowLastColumn="0" w:lastRowFirstColumn="0" w:lastRowLastColumn="0"/>
            <w:tcW w:w="940" w:type="dxa"/>
            <w:gridSpan w:val="2"/>
          </w:tcPr>
          <w:p w14:paraId="7B40FAD3" w14:textId="48B49E7C" w:rsidR="00145649" w:rsidRPr="00160B30" w:rsidRDefault="00145649" w:rsidP="000B20B5">
            <w:pPr>
              <w:pStyle w:val="TableText"/>
            </w:pPr>
            <w:r>
              <w:t>Treasury and Finance</w:t>
            </w:r>
          </w:p>
        </w:tc>
        <w:tc>
          <w:tcPr>
            <w:tcW w:w="532" w:type="dxa"/>
          </w:tcPr>
          <w:p w14:paraId="79D683B2" w14:textId="77777777" w:rsidR="00145649" w:rsidRPr="00160B30" w:rsidRDefault="00145649" w:rsidP="000B20B5">
            <w:pPr>
              <w:pStyle w:val="TableText"/>
              <w:cnfStyle w:val="000000100000" w:firstRow="0" w:lastRow="0" w:firstColumn="0" w:lastColumn="0" w:oddVBand="0" w:evenVBand="0" w:oddHBand="1" w:evenHBand="0" w:firstRowFirstColumn="0" w:firstRowLastColumn="0" w:lastRowFirstColumn="0" w:lastRowLastColumn="0"/>
            </w:pPr>
            <w:r>
              <w:t>1</w:t>
            </w:r>
          </w:p>
        </w:tc>
        <w:tc>
          <w:tcPr>
            <w:tcW w:w="2356" w:type="dxa"/>
          </w:tcPr>
          <w:p w14:paraId="6E141278" w14:textId="51C0545B" w:rsidR="00145649" w:rsidRPr="009467D3" w:rsidRDefault="00145649" w:rsidP="000B20B5">
            <w:pPr>
              <w:pStyle w:val="TableText"/>
              <w:cnfStyle w:val="000000100000" w:firstRow="0" w:lastRow="0" w:firstColumn="0" w:lastColumn="0" w:oddVBand="0" w:evenVBand="0" w:oddHBand="1" w:evenHBand="0" w:firstRowFirstColumn="0" w:firstRowLastColumn="0" w:lastRowFirstColumn="0" w:lastRowLastColumn="0"/>
            </w:pPr>
            <w:r w:rsidRPr="009467D3">
              <w:t>Natural gas for small sites</w:t>
            </w:r>
          </w:p>
        </w:tc>
        <w:tc>
          <w:tcPr>
            <w:tcW w:w="984" w:type="dxa"/>
            <w:gridSpan w:val="2"/>
            <w:vAlign w:val="center"/>
          </w:tcPr>
          <w:p w14:paraId="13158533" w14:textId="5252FE9D" w:rsidR="00145649" w:rsidRPr="00BD56DE" w:rsidRDefault="00145649" w:rsidP="000B20B5">
            <w:pPr>
              <w:pStyle w:val="Tablenumbers"/>
              <w:cnfStyle w:val="000000100000" w:firstRow="0" w:lastRow="0" w:firstColumn="0" w:lastColumn="0" w:oddVBand="0" w:evenVBand="0" w:oddHBand="1" w:evenHBand="0" w:firstRowFirstColumn="0" w:firstRowLastColumn="0" w:lastRowFirstColumn="0" w:lastRowLastColumn="0"/>
            </w:pPr>
            <w:r w:rsidRPr="00BD56DE">
              <w:t>$65.0</w:t>
            </w:r>
          </w:p>
        </w:tc>
        <w:tc>
          <w:tcPr>
            <w:tcW w:w="446" w:type="dxa"/>
            <w:gridSpan w:val="2"/>
            <w:vAlign w:val="center"/>
          </w:tcPr>
          <w:p w14:paraId="3BA3B5E4" w14:textId="5A71083D" w:rsidR="00145649" w:rsidRPr="00BD56DE" w:rsidRDefault="00145649" w:rsidP="000B20B5">
            <w:pPr>
              <w:pStyle w:val="Tablenumbers"/>
              <w:cnfStyle w:val="000000100000" w:firstRow="0" w:lastRow="0" w:firstColumn="0" w:lastColumn="0" w:oddVBand="0" w:evenVBand="0" w:oddHBand="1" w:evenHBand="0" w:firstRowFirstColumn="0" w:firstRowLastColumn="0" w:lastRowFirstColumn="0" w:lastRowLastColumn="0"/>
            </w:pPr>
            <w:r w:rsidRPr="00BD56DE">
              <w:t>2</w:t>
            </w:r>
          </w:p>
        </w:tc>
        <w:tc>
          <w:tcPr>
            <w:tcW w:w="968" w:type="dxa"/>
            <w:gridSpan w:val="2"/>
            <w:vAlign w:val="center"/>
          </w:tcPr>
          <w:p w14:paraId="1285C6CB" w14:textId="6A891C5E" w:rsidR="00145649" w:rsidRPr="00BD56DE" w:rsidRDefault="00145649" w:rsidP="000B20B5">
            <w:pPr>
              <w:pStyle w:val="Tablenumbers"/>
              <w:cnfStyle w:val="000000100000" w:firstRow="0" w:lastRow="0" w:firstColumn="0" w:lastColumn="0" w:oddVBand="0" w:evenVBand="0" w:oddHBand="1" w:evenHBand="0" w:firstRowFirstColumn="0" w:firstRowLastColumn="0" w:lastRowFirstColumn="0" w:lastRowLastColumn="0"/>
            </w:pPr>
            <w:r w:rsidRPr="00BD56DE">
              <w:t>Up to 3 years</w:t>
            </w:r>
          </w:p>
        </w:tc>
        <w:tc>
          <w:tcPr>
            <w:tcW w:w="1273" w:type="dxa"/>
            <w:gridSpan w:val="2"/>
            <w:vAlign w:val="center"/>
          </w:tcPr>
          <w:p w14:paraId="312820DB" w14:textId="2D0F0DC7" w:rsidR="00145649" w:rsidRPr="00160B30" w:rsidRDefault="00145649" w:rsidP="000B20B5">
            <w:pPr>
              <w:pStyle w:val="TableText"/>
              <w:cnfStyle w:val="000000100000" w:firstRow="0" w:lastRow="0" w:firstColumn="0" w:lastColumn="0" w:oddVBand="0" w:evenVBand="0" w:oddHBand="1" w:evenHBand="0" w:firstRowFirstColumn="0" w:firstRowLastColumn="0" w:lastRowFirstColumn="0" w:lastRowLastColumn="0"/>
            </w:pPr>
            <w:r>
              <w:t>Strategic</w:t>
            </w:r>
          </w:p>
        </w:tc>
        <w:tc>
          <w:tcPr>
            <w:tcW w:w="606" w:type="dxa"/>
            <w:gridSpan w:val="2"/>
            <w:vAlign w:val="center"/>
          </w:tcPr>
          <w:p w14:paraId="6B81337E" w14:textId="53237F8A" w:rsidR="00145649" w:rsidRPr="00160B30" w:rsidRDefault="00145649" w:rsidP="000B20B5">
            <w:pPr>
              <w:pStyle w:val="TableText"/>
              <w:cnfStyle w:val="000000100000" w:firstRow="0" w:lastRow="0" w:firstColumn="0" w:lastColumn="0" w:oddVBand="0" w:evenVBand="0" w:oddHBand="1" w:evenHBand="0" w:firstRowFirstColumn="0" w:firstRowLastColumn="0" w:lastRowFirstColumn="0" w:lastRowLastColumn="0"/>
            </w:pPr>
            <w:r>
              <w:t>RFT</w:t>
            </w:r>
          </w:p>
        </w:tc>
        <w:tc>
          <w:tcPr>
            <w:tcW w:w="756" w:type="dxa"/>
            <w:gridSpan w:val="2"/>
            <w:vAlign w:val="center"/>
          </w:tcPr>
          <w:p w14:paraId="56A162FB" w14:textId="1138685F" w:rsidR="00145649" w:rsidRPr="00160B30" w:rsidRDefault="00145649" w:rsidP="000B20B5">
            <w:pPr>
              <w:pStyle w:val="TableText"/>
              <w:cnfStyle w:val="000000100000" w:firstRow="0" w:lastRow="0" w:firstColumn="0" w:lastColumn="0" w:oddVBand="0" w:evenVBand="0" w:oddHBand="1" w:evenHBand="0" w:firstRowFirstColumn="0" w:firstRowLastColumn="0" w:lastRowFirstColumn="0" w:lastRowLastColumn="0"/>
            </w:pPr>
            <w:r>
              <w:t>Closed</w:t>
            </w:r>
          </w:p>
        </w:tc>
        <w:tc>
          <w:tcPr>
            <w:tcW w:w="357" w:type="dxa"/>
            <w:gridSpan w:val="2"/>
            <w:vAlign w:val="center"/>
          </w:tcPr>
          <w:p w14:paraId="085F1AEB" w14:textId="3C08C194" w:rsidR="00145649" w:rsidRPr="009467D3" w:rsidRDefault="00145649" w:rsidP="000B20B5">
            <w:pPr>
              <w:pStyle w:val="Tablenumbers"/>
              <w:cnfStyle w:val="000000100000" w:firstRow="0" w:lastRow="0" w:firstColumn="0" w:lastColumn="0" w:oddVBand="0" w:evenVBand="0" w:oddHBand="1" w:evenHBand="0" w:firstRowFirstColumn="0" w:firstRowLastColumn="0" w:lastRowFirstColumn="0" w:lastRowLastColumn="0"/>
            </w:pPr>
            <w:r w:rsidRPr="009467D3">
              <w:t>1</w:t>
            </w:r>
          </w:p>
        </w:tc>
      </w:tr>
      <w:tr w:rsidR="000B048B" w:rsidRPr="00160B30" w14:paraId="2DBF1A53" w14:textId="77777777" w:rsidTr="00BD56DE">
        <w:trPr>
          <w:gridAfter w:val="1"/>
          <w:wAfter w:w="241" w:type="dxa"/>
        </w:trPr>
        <w:tc>
          <w:tcPr>
            <w:cnfStyle w:val="001000000000" w:firstRow="0" w:lastRow="0" w:firstColumn="1" w:lastColumn="0" w:oddVBand="0" w:evenVBand="0" w:oddHBand="0" w:evenHBand="0" w:firstRowFirstColumn="0" w:firstRowLastColumn="0" w:lastRowFirstColumn="0" w:lastRowLastColumn="0"/>
            <w:tcW w:w="931" w:type="dxa"/>
            <w:vMerge w:val="restart"/>
          </w:tcPr>
          <w:p w14:paraId="2ED79EEC" w14:textId="77777777" w:rsidR="000B048B" w:rsidRPr="00160B30" w:rsidRDefault="000B048B" w:rsidP="000B20B5">
            <w:pPr>
              <w:pStyle w:val="TableText"/>
              <w:rPr>
                <w:b w:val="0"/>
                <w:bCs w:val="0"/>
              </w:rPr>
            </w:pPr>
            <w:r>
              <w:t>Premier and Cabinet</w:t>
            </w:r>
          </w:p>
        </w:tc>
        <w:tc>
          <w:tcPr>
            <w:tcW w:w="541" w:type="dxa"/>
            <w:gridSpan w:val="2"/>
            <w:vMerge w:val="restart"/>
          </w:tcPr>
          <w:p w14:paraId="48A09B7B" w14:textId="3AF46099"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5</w:t>
            </w:r>
          </w:p>
        </w:tc>
        <w:tc>
          <w:tcPr>
            <w:tcW w:w="2356" w:type="dxa"/>
            <w:vAlign w:val="center"/>
          </w:tcPr>
          <w:p w14:paraId="5479AB4E" w14:textId="60D797A6" w:rsidR="000B048B" w:rsidRPr="009467D3" w:rsidRDefault="000B048B" w:rsidP="000B20B5">
            <w:pPr>
              <w:pStyle w:val="TableText"/>
              <w:cnfStyle w:val="000000000000" w:firstRow="0" w:lastRow="0" w:firstColumn="0" w:lastColumn="0" w:oddVBand="0" w:evenVBand="0" w:oddHBand="0" w:evenHBand="0" w:firstRowFirstColumn="0" w:firstRowLastColumn="0" w:lastRowFirstColumn="0" w:lastRowLastColumn="0"/>
            </w:pPr>
            <w:r w:rsidRPr="009467D3">
              <w:t>SalesForce renewal</w:t>
            </w:r>
            <w:r w:rsidR="006D2032" w:rsidRPr="009467D3">
              <w:t>*</w:t>
            </w:r>
          </w:p>
        </w:tc>
        <w:tc>
          <w:tcPr>
            <w:tcW w:w="984" w:type="dxa"/>
            <w:gridSpan w:val="2"/>
            <w:vAlign w:val="center"/>
          </w:tcPr>
          <w:p w14:paraId="5AAD9F35" w14:textId="496FD583"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$26.1</w:t>
            </w:r>
          </w:p>
        </w:tc>
        <w:tc>
          <w:tcPr>
            <w:tcW w:w="446" w:type="dxa"/>
            <w:gridSpan w:val="2"/>
            <w:vAlign w:val="center"/>
          </w:tcPr>
          <w:p w14:paraId="51C1A638" w14:textId="625EE438"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3</w:t>
            </w:r>
          </w:p>
        </w:tc>
        <w:tc>
          <w:tcPr>
            <w:tcW w:w="968" w:type="dxa"/>
            <w:gridSpan w:val="2"/>
            <w:vAlign w:val="center"/>
          </w:tcPr>
          <w:p w14:paraId="0D1296C0" w14:textId="6D662C2E"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1</w:t>
            </w:r>
          </w:p>
        </w:tc>
        <w:tc>
          <w:tcPr>
            <w:tcW w:w="1273" w:type="dxa"/>
            <w:gridSpan w:val="2"/>
            <w:vAlign w:val="center"/>
          </w:tcPr>
          <w:p w14:paraId="1D2E0683" w14:textId="03B9D9E0"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Strategic</w:t>
            </w:r>
          </w:p>
        </w:tc>
        <w:tc>
          <w:tcPr>
            <w:tcW w:w="606" w:type="dxa"/>
            <w:gridSpan w:val="2"/>
            <w:vAlign w:val="center"/>
          </w:tcPr>
          <w:p w14:paraId="09BCA35D" w14:textId="0BE80EEA"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RFQ</w:t>
            </w:r>
          </w:p>
        </w:tc>
        <w:tc>
          <w:tcPr>
            <w:tcW w:w="756" w:type="dxa"/>
            <w:gridSpan w:val="2"/>
            <w:vAlign w:val="center"/>
          </w:tcPr>
          <w:p w14:paraId="24D3DD1C" w14:textId="6090E4BF"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Closed</w:t>
            </w:r>
          </w:p>
        </w:tc>
        <w:tc>
          <w:tcPr>
            <w:tcW w:w="357" w:type="dxa"/>
            <w:gridSpan w:val="2"/>
            <w:vAlign w:val="center"/>
          </w:tcPr>
          <w:p w14:paraId="6ED64918" w14:textId="31A46701" w:rsidR="000B048B" w:rsidRPr="009467D3"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9467D3">
              <w:t>1</w:t>
            </w:r>
          </w:p>
        </w:tc>
      </w:tr>
      <w:tr w:rsidR="000B048B" w:rsidRPr="00160B30" w14:paraId="359A4725" w14:textId="77777777" w:rsidTr="00BD56DE">
        <w:trPr>
          <w:gridAfter w:val="1"/>
          <w:cnfStyle w:val="000000100000" w:firstRow="0" w:lastRow="0" w:firstColumn="0" w:lastColumn="0" w:oddVBand="0" w:evenVBand="0" w:oddHBand="1" w:evenHBand="0" w:firstRowFirstColumn="0" w:firstRowLastColumn="0" w:lastRowFirstColumn="0" w:lastRowLastColumn="0"/>
          <w:wAfter w:w="241" w:type="dxa"/>
        </w:trPr>
        <w:tc>
          <w:tcPr>
            <w:cnfStyle w:val="001000000000" w:firstRow="0" w:lastRow="0" w:firstColumn="1" w:lastColumn="0" w:oddVBand="0" w:evenVBand="0" w:oddHBand="0" w:evenHBand="0" w:firstRowFirstColumn="0" w:firstRowLastColumn="0" w:lastRowFirstColumn="0" w:lastRowLastColumn="0"/>
            <w:tcW w:w="931" w:type="dxa"/>
            <w:vMerge/>
          </w:tcPr>
          <w:p w14:paraId="0F79922E" w14:textId="77777777" w:rsidR="000B048B" w:rsidRPr="00160B30" w:rsidRDefault="000B048B" w:rsidP="000B20B5">
            <w:pPr>
              <w:pStyle w:val="TableText"/>
            </w:pPr>
          </w:p>
        </w:tc>
        <w:tc>
          <w:tcPr>
            <w:tcW w:w="541" w:type="dxa"/>
            <w:gridSpan w:val="2"/>
            <w:vMerge/>
          </w:tcPr>
          <w:p w14:paraId="1BDD4C4B" w14:textId="395510FD" w:rsidR="000B048B" w:rsidRPr="00160B30" w:rsidRDefault="000B048B" w:rsidP="000B20B5">
            <w:pPr>
              <w:pStyle w:val="TableText"/>
              <w:cnfStyle w:val="000000100000" w:firstRow="0" w:lastRow="0" w:firstColumn="0" w:lastColumn="0" w:oddVBand="0" w:evenVBand="0" w:oddHBand="1" w:evenHBand="0" w:firstRowFirstColumn="0" w:firstRowLastColumn="0" w:lastRowFirstColumn="0" w:lastRowLastColumn="0"/>
            </w:pPr>
          </w:p>
        </w:tc>
        <w:tc>
          <w:tcPr>
            <w:tcW w:w="2356" w:type="dxa"/>
            <w:vAlign w:val="center"/>
          </w:tcPr>
          <w:p w14:paraId="13C4915F" w14:textId="7951F93E" w:rsidR="000B048B" w:rsidRPr="009467D3" w:rsidRDefault="000B048B" w:rsidP="000B20B5">
            <w:pPr>
              <w:pStyle w:val="TableText"/>
              <w:cnfStyle w:val="000000100000" w:firstRow="0" w:lastRow="0" w:firstColumn="0" w:lastColumn="0" w:oddVBand="0" w:evenVBand="0" w:oddHBand="1" w:evenHBand="0" w:firstRowFirstColumn="0" w:firstRowLastColumn="0" w:lastRowFirstColumn="0" w:lastRowLastColumn="0"/>
            </w:pPr>
            <w:r w:rsidRPr="009467D3">
              <w:t xml:space="preserve">Microsoft </w:t>
            </w:r>
            <w:r w:rsidR="006A702E">
              <w:t>E</w:t>
            </w:r>
            <w:r w:rsidRPr="009467D3">
              <w:t xml:space="preserve">nterprise </w:t>
            </w:r>
            <w:r w:rsidR="006A702E">
              <w:t>A</w:t>
            </w:r>
            <w:r w:rsidRPr="009467D3">
              <w:t>greement renewal</w:t>
            </w:r>
            <w:r w:rsidR="006D2032" w:rsidRPr="009467D3">
              <w:t>*</w:t>
            </w:r>
          </w:p>
        </w:tc>
        <w:tc>
          <w:tcPr>
            <w:tcW w:w="984" w:type="dxa"/>
            <w:gridSpan w:val="2"/>
            <w:vAlign w:val="center"/>
          </w:tcPr>
          <w:p w14:paraId="77099EDC" w14:textId="0BBD4BCE" w:rsidR="000B048B" w:rsidRPr="00BD56DE" w:rsidRDefault="000B048B" w:rsidP="000B20B5">
            <w:pPr>
              <w:pStyle w:val="Tablenumbers"/>
              <w:cnfStyle w:val="000000100000" w:firstRow="0" w:lastRow="0" w:firstColumn="0" w:lastColumn="0" w:oddVBand="0" w:evenVBand="0" w:oddHBand="1" w:evenHBand="0" w:firstRowFirstColumn="0" w:firstRowLastColumn="0" w:lastRowFirstColumn="0" w:lastRowLastColumn="0"/>
            </w:pPr>
            <w:r w:rsidRPr="00BD56DE">
              <w:t>$157.2</w:t>
            </w:r>
          </w:p>
        </w:tc>
        <w:tc>
          <w:tcPr>
            <w:tcW w:w="446" w:type="dxa"/>
            <w:gridSpan w:val="2"/>
            <w:vAlign w:val="center"/>
          </w:tcPr>
          <w:p w14:paraId="47204459" w14:textId="7811D37B" w:rsidR="000B048B" w:rsidRPr="00BD56DE" w:rsidRDefault="000B048B" w:rsidP="000B20B5">
            <w:pPr>
              <w:pStyle w:val="Tablenumbers"/>
              <w:cnfStyle w:val="000000100000" w:firstRow="0" w:lastRow="0" w:firstColumn="0" w:lastColumn="0" w:oddVBand="0" w:evenVBand="0" w:oddHBand="1" w:evenHBand="0" w:firstRowFirstColumn="0" w:firstRowLastColumn="0" w:lastRowFirstColumn="0" w:lastRowLastColumn="0"/>
            </w:pPr>
            <w:r w:rsidRPr="00BD56DE">
              <w:t>3</w:t>
            </w:r>
          </w:p>
        </w:tc>
        <w:tc>
          <w:tcPr>
            <w:tcW w:w="968" w:type="dxa"/>
            <w:gridSpan w:val="2"/>
            <w:vAlign w:val="center"/>
          </w:tcPr>
          <w:p w14:paraId="3BEAEFDC" w14:textId="5EEB17FB" w:rsidR="000B048B" w:rsidRPr="00BD56DE" w:rsidRDefault="000B048B" w:rsidP="000B20B5">
            <w:pPr>
              <w:pStyle w:val="Tablenumbers"/>
              <w:cnfStyle w:val="000000100000" w:firstRow="0" w:lastRow="0" w:firstColumn="0" w:lastColumn="0" w:oddVBand="0" w:evenVBand="0" w:oddHBand="1" w:evenHBand="0" w:firstRowFirstColumn="0" w:firstRowLastColumn="0" w:lastRowFirstColumn="0" w:lastRowLastColumn="0"/>
            </w:pPr>
            <w:r w:rsidRPr="00BD56DE">
              <w:t>1x3</w:t>
            </w:r>
          </w:p>
        </w:tc>
        <w:tc>
          <w:tcPr>
            <w:tcW w:w="1273" w:type="dxa"/>
            <w:gridSpan w:val="2"/>
            <w:vAlign w:val="center"/>
          </w:tcPr>
          <w:p w14:paraId="3F00A97B" w14:textId="7C03F396" w:rsidR="000B048B" w:rsidRPr="00160B30" w:rsidRDefault="000B048B" w:rsidP="000B20B5">
            <w:pPr>
              <w:pStyle w:val="TableText"/>
              <w:cnfStyle w:val="000000100000" w:firstRow="0" w:lastRow="0" w:firstColumn="0" w:lastColumn="0" w:oddVBand="0" w:evenVBand="0" w:oddHBand="1" w:evenHBand="0" w:firstRowFirstColumn="0" w:firstRowLastColumn="0" w:lastRowFirstColumn="0" w:lastRowLastColumn="0"/>
            </w:pPr>
            <w:r>
              <w:t>Strategic</w:t>
            </w:r>
          </w:p>
        </w:tc>
        <w:tc>
          <w:tcPr>
            <w:tcW w:w="606" w:type="dxa"/>
            <w:gridSpan w:val="2"/>
            <w:vAlign w:val="center"/>
          </w:tcPr>
          <w:p w14:paraId="1772B65E" w14:textId="3EA4C7EA" w:rsidR="000B048B" w:rsidRPr="00160B30" w:rsidRDefault="000B048B" w:rsidP="000B20B5">
            <w:pPr>
              <w:pStyle w:val="TableText"/>
              <w:cnfStyle w:val="000000100000" w:firstRow="0" w:lastRow="0" w:firstColumn="0" w:lastColumn="0" w:oddVBand="0" w:evenVBand="0" w:oddHBand="1" w:evenHBand="0" w:firstRowFirstColumn="0" w:firstRowLastColumn="0" w:lastRowFirstColumn="0" w:lastRowLastColumn="0"/>
            </w:pPr>
            <w:r>
              <w:t>RFQ</w:t>
            </w:r>
          </w:p>
        </w:tc>
        <w:tc>
          <w:tcPr>
            <w:tcW w:w="756" w:type="dxa"/>
            <w:gridSpan w:val="2"/>
            <w:vAlign w:val="center"/>
          </w:tcPr>
          <w:p w14:paraId="26CAF018" w14:textId="529630C0" w:rsidR="000B048B" w:rsidRPr="00160B30" w:rsidRDefault="000B048B" w:rsidP="000B20B5">
            <w:pPr>
              <w:pStyle w:val="TableText"/>
              <w:cnfStyle w:val="000000100000" w:firstRow="0" w:lastRow="0" w:firstColumn="0" w:lastColumn="0" w:oddVBand="0" w:evenVBand="0" w:oddHBand="1" w:evenHBand="0" w:firstRowFirstColumn="0" w:firstRowLastColumn="0" w:lastRowFirstColumn="0" w:lastRowLastColumn="0"/>
            </w:pPr>
            <w:r>
              <w:t>Closed</w:t>
            </w:r>
          </w:p>
        </w:tc>
        <w:tc>
          <w:tcPr>
            <w:tcW w:w="357" w:type="dxa"/>
            <w:gridSpan w:val="2"/>
            <w:vAlign w:val="center"/>
          </w:tcPr>
          <w:p w14:paraId="5269882F" w14:textId="66D9204C" w:rsidR="000B048B" w:rsidRPr="009467D3" w:rsidRDefault="000B048B" w:rsidP="000B20B5">
            <w:pPr>
              <w:pStyle w:val="Tablenumbers"/>
              <w:cnfStyle w:val="000000100000" w:firstRow="0" w:lastRow="0" w:firstColumn="0" w:lastColumn="0" w:oddVBand="0" w:evenVBand="0" w:oddHBand="1" w:evenHBand="0" w:firstRowFirstColumn="0" w:firstRowLastColumn="0" w:lastRowFirstColumn="0" w:lastRowLastColumn="0"/>
            </w:pPr>
            <w:r w:rsidRPr="009467D3">
              <w:t>1</w:t>
            </w:r>
          </w:p>
        </w:tc>
      </w:tr>
      <w:tr w:rsidR="000B048B" w:rsidRPr="00160B30" w14:paraId="1E2453A7" w14:textId="77777777" w:rsidTr="00BD56DE">
        <w:trPr>
          <w:gridAfter w:val="1"/>
          <w:wAfter w:w="241" w:type="dxa"/>
        </w:trPr>
        <w:tc>
          <w:tcPr>
            <w:cnfStyle w:val="001000000000" w:firstRow="0" w:lastRow="0" w:firstColumn="1" w:lastColumn="0" w:oddVBand="0" w:evenVBand="0" w:oddHBand="0" w:evenHBand="0" w:firstRowFirstColumn="0" w:firstRowLastColumn="0" w:lastRowFirstColumn="0" w:lastRowLastColumn="0"/>
            <w:tcW w:w="931" w:type="dxa"/>
            <w:vMerge/>
          </w:tcPr>
          <w:p w14:paraId="33896784" w14:textId="77777777" w:rsidR="000B048B" w:rsidRPr="00160B30" w:rsidRDefault="000B048B" w:rsidP="000B20B5">
            <w:pPr>
              <w:pStyle w:val="TableText"/>
            </w:pPr>
          </w:p>
        </w:tc>
        <w:tc>
          <w:tcPr>
            <w:tcW w:w="541" w:type="dxa"/>
            <w:gridSpan w:val="2"/>
            <w:vMerge/>
          </w:tcPr>
          <w:p w14:paraId="202BD906" w14:textId="754357BA"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p>
        </w:tc>
        <w:tc>
          <w:tcPr>
            <w:tcW w:w="2356" w:type="dxa"/>
            <w:vAlign w:val="center"/>
          </w:tcPr>
          <w:p w14:paraId="4D316C8F" w14:textId="0C477A0C" w:rsidR="000B048B" w:rsidRPr="009467D3" w:rsidRDefault="000B048B" w:rsidP="000B20B5">
            <w:pPr>
              <w:pStyle w:val="TableText"/>
              <w:cnfStyle w:val="000000000000" w:firstRow="0" w:lastRow="0" w:firstColumn="0" w:lastColumn="0" w:oddVBand="0" w:evenVBand="0" w:oddHBand="0" w:evenHBand="0" w:firstRowFirstColumn="0" w:firstRowLastColumn="0" w:lastRowFirstColumn="0" w:lastRowLastColumn="0"/>
            </w:pPr>
            <w:r w:rsidRPr="009467D3">
              <w:t>Data 3 (MS Licensing) renewal</w:t>
            </w:r>
            <w:r w:rsidR="006D2032" w:rsidRPr="009467D3">
              <w:t>*</w:t>
            </w:r>
          </w:p>
        </w:tc>
        <w:tc>
          <w:tcPr>
            <w:tcW w:w="984" w:type="dxa"/>
            <w:gridSpan w:val="2"/>
            <w:vAlign w:val="center"/>
          </w:tcPr>
          <w:p w14:paraId="7C1E7852" w14:textId="7AC3830C"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As per Microsoft</w:t>
            </w:r>
          </w:p>
        </w:tc>
        <w:tc>
          <w:tcPr>
            <w:tcW w:w="446" w:type="dxa"/>
            <w:gridSpan w:val="2"/>
            <w:vAlign w:val="center"/>
          </w:tcPr>
          <w:p w14:paraId="37FAE1D8" w14:textId="39875EC4"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3</w:t>
            </w:r>
          </w:p>
        </w:tc>
        <w:tc>
          <w:tcPr>
            <w:tcW w:w="968" w:type="dxa"/>
            <w:gridSpan w:val="2"/>
            <w:vAlign w:val="center"/>
          </w:tcPr>
          <w:p w14:paraId="2EB6DF48" w14:textId="194B6557"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1</w:t>
            </w:r>
          </w:p>
        </w:tc>
        <w:tc>
          <w:tcPr>
            <w:tcW w:w="1273" w:type="dxa"/>
            <w:gridSpan w:val="2"/>
            <w:vAlign w:val="center"/>
          </w:tcPr>
          <w:p w14:paraId="38A08F65" w14:textId="7C7B6FCD"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Strategic</w:t>
            </w:r>
          </w:p>
        </w:tc>
        <w:tc>
          <w:tcPr>
            <w:tcW w:w="606" w:type="dxa"/>
            <w:gridSpan w:val="2"/>
            <w:vAlign w:val="center"/>
          </w:tcPr>
          <w:p w14:paraId="02A9DF0D" w14:textId="267D0A54"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RFT</w:t>
            </w:r>
          </w:p>
        </w:tc>
        <w:tc>
          <w:tcPr>
            <w:tcW w:w="756" w:type="dxa"/>
            <w:gridSpan w:val="2"/>
            <w:vAlign w:val="center"/>
          </w:tcPr>
          <w:p w14:paraId="49DEA288" w14:textId="2601FFED"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Closed</w:t>
            </w:r>
          </w:p>
        </w:tc>
        <w:tc>
          <w:tcPr>
            <w:tcW w:w="357" w:type="dxa"/>
            <w:gridSpan w:val="2"/>
            <w:vAlign w:val="center"/>
          </w:tcPr>
          <w:p w14:paraId="7D0E06B5" w14:textId="35C3DE8C" w:rsidR="000B048B" w:rsidRPr="009467D3"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9467D3">
              <w:t>1</w:t>
            </w:r>
          </w:p>
        </w:tc>
      </w:tr>
      <w:tr w:rsidR="000B048B" w:rsidRPr="00160B30" w14:paraId="05D1FFD4" w14:textId="77777777" w:rsidTr="00BD56DE">
        <w:trPr>
          <w:gridAfter w:val="1"/>
          <w:cnfStyle w:val="000000100000" w:firstRow="0" w:lastRow="0" w:firstColumn="0" w:lastColumn="0" w:oddVBand="0" w:evenVBand="0" w:oddHBand="1" w:evenHBand="0" w:firstRowFirstColumn="0" w:firstRowLastColumn="0" w:lastRowFirstColumn="0" w:lastRowLastColumn="0"/>
          <w:wAfter w:w="241" w:type="dxa"/>
        </w:trPr>
        <w:tc>
          <w:tcPr>
            <w:cnfStyle w:val="001000000000" w:firstRow="0" w:lastRow="0" w:firstColumn="1" w:lastColumn="0" w:oddVBand="0" w:evenVBand="0" w:oddHBand="0" w:evenHBand="0" w:firstRowFirstColumn="0" w:firstRowLastColumn="0" w:lastRowFirstColumn="0" w:lastRowLastColumn="0"/>
            <w:tcW w:w="931" w:type="dxa"/>
            <w:vMerge/>
          </w:tcPr>
          <w:p w14:paraId="1DF9050C" w14:textId="77777777" w:rsidR="000B048B" w:rsidRPr="00160B30" w:rsidRDefault="000B048B" w:rsidP="000B20B5">
            <w:pPr>
              <w:pStyle w:val="TableText"/>
            </w:pPr>
          </w:p>
        </w:tc>
        <w:tc>
          <w:tcPr>
            <w:tcW w:w="541" w:type="dxa"/>
            <w:gridSpan w:val="2"/>
            <w:vMerge/>
          </w:tcPr>
          <w:p w14:paraId="7D98F2CB" w14:textId="7AC97777" w:rsidR="000B048B" w:rsidRPr="00160B30" w:rsidRDefault="000B048B" w:rsidP="000B20B5">
            <w:pPr>
              <w:pStyle w:val="TableText"/>
              <w:cnfStyle w:val="000000100000" w:firstRow="0" w:lastRow="0" w:firstColumn="0" w:lastColumn="0" w:oddVBand="0" w:evenVBand="0" w:oddHBand="1" w:evenHBand="0" w:firstRowFirstColumn="0" w:firstRowLastColumn="0" w:lastRowFirstColumn="0" w:lastRowLastColumn="0"/>
            </w:pPr>
          </w:p>
        </w:tc>
        <w:tc>
          <w:tcPr>
            <w:tcW w:w="2356" w:type="dxa"/>
            <w:vAlign w:val="center"/>
          </w:tcPr>
          <w:p w14:paraId="6FA762D5" w14:textId="363D6439" w:rsidR="000B048B" w:rsidRPr="009467D3" w:rsidRDefault="000B048B" w:rsidP="000B20B5">
            <w:pPr>
              <w:pStyle w:val="TableText"/>
              <w:cnfStyle w:val="000000100000" w:firstRow="0" w:lastRow="0" w:firstColumn="0" w:lastColumn="0" w:oddVBand="0" w:evenVBand="0" w:oddHBand="1" w:evenHBand="0" w:firstRowFirstColumn="0" w:firstRowLastColumn="0" w:lastRowFirstColumn="0" w:lastRowLastColumn="0"/>
            </w:pPr>
            <w:r w:rsidRPr="009467D3">
              <w:t xml:space="preserve">Multifunctional Printing Device renewal </w:t>
            </w:r>
          </w:p>
        </w:tc>
        <w:tc>
          <w:tcPr>
            <w:tcW w:w="984" w:type="dxa"/>
            <w:gridSpan w:val="2"/>
            <w:vAlign w:val="center"/>
          </w:tcPr>
          <w:p w14:paraId="038786C9" w14:textId="6C3A9D7F" w:rsidR="000B048B" w:rsidRPr="00BD56DE" w:rsidRDefault="000B048B" w:rsidP="000B20B5">
            <w:pPr>
              <w:pStyle w:val="Tablenumbers"/>
              <w:cnfStyle w:val="000000100000" w:firstRow="0" w:lastRow="0" w:firstColumn="0" w:lastColumn="0" w:oddVBand="0" w:evenVBand="0" w:oddHBand="1" w:evenHBand="0" w:firstRowFirstColumn="0" w:firstRowLastColumn="0" w:lastRowFirstColumn="0" w:lastRowLastColumn="0"/>
            </w:pPr>
            <w:r w:rsidRPr="00BD56DE">
              <w:t>$46.5</w:t>
            </w:r>
          </w:p>
        </w:tc>
        <w:tc>
          <w:tcPr>
            <w:tcW w:w="446" w:type="dxa"/>
            <w:gridSpan w:val="2"/>
            <w:vAlign w:val="center"/>
          </w:tcPr>
          <w:p w14:paraId="014A74D0" w14:textId="1FB8F338" w:rsidR="000B048B" w:rsidRPr="00BD56DE" w:rsidRDefault="000B048B" w:rsidP="000B20B5">
            <w:pPr>
              <w:pStyle w:val="Tablenumbers"/>
              <w:cnfStyle w:val="000000100000" w:firstRow="0" w:lastRow="0" w:firstColumn="0" w:lastColumn="0" w:oddVBand="0" w:evenVBand="0" w:oddHBand="1" w:evenHBand="0" w:firstRowFirstColumn="0" w:firstRowLastColumn="0" w:lastRowFirstColumn="0" w:lastRowLastColumn="0"/>
            </w:pPr>
            <w:r w:rsidRPr="00BD56DE">
              <w:t>3</w:t>
            </w:r>
          </w:p>
        </w:tc>
        <w:tc>
          <w:tcPr>
            <w:tcW w:w="968" w:type="dxa"/>
            <w:gridSpan w:val="2"/>
            <w:vAlign w:val="center"/>
          </w:tcPr>
          <w:p w14:paraId="206FEDFC" w14:textId="15577C58" w:rsidR="000B048B" w:rsidRPr="00BD56DE" w:rsidRDefault="000B048B" w:rsidP="000B20B5">
            <w:pPr>
              <w:pStyle w:val="Tablenumbers"/>
              <w:cnfStyle w:val="000000100000" w:firstRow="0" w:lastRow="0" w:firstColumn="0" w:lastColumn="0" w:oddVBand="0" w:evenVBand="0" w:oddHBand="1" w:evenHBand="0" w:firstRowFirstColumn="0" w:firstRowLastColumn="0" w:lastRowFirstColumn="0" w:lastRowLastColumn="0"/>
            </w:pPr>
            <w:r w:rsidRPr="00BD56DE">
              <w:t xml:space="preserve">2 </w:t>
            </w:r>
          </w:p>
        </w:tc>
        <w:tc>
          <w:tcPr>
            <w:tcW w:w="1273" w:type="dxa"/>
            <w:gridSpan w:val="2"/>
            <w:vAlign w:val="center"/>
          </w:tcPr>
          <w:p w14:paraId="0109ACA7" w14:textId="5849FD01" w:rsidR="000B048B" w:rsidRPr="00160B30" w:rsidRDefault="000B048B" w:rsidP="000B20B5">
            <w:pPr>
              <w:pStyle w:val="TableText"/>
              <w:cnfStyle w:val="000000100000" w:firstRow="0" w:lastRow="0" w:firstColumn="0" w:lastColumn="0" w:oddVBand="0" w:evenVBand="0" w:oddHBand="1" w:evenHBand="0" w:firstRowFirstColumn="0" w:firstRowLastColumn="0" w:lastRowFirstColumn="0" w:lastRowLastColumn="0"/>
            </w:pPr>
            <w:r>
              <w:t>Transactional</w:t>
            </w:r>
          </w:p>
        </w:tc>
        <w:tc>
          <w:tcPr>
            <w:tcW w:w="606" w:type="dxa"/>
            <w:gridSpan w:val="2"/>
            <w:vAlign w:val="center"/>
          </w:tcPr>
          <w:p w14:paraId="6B3121F3" w14:textId="297C02AE" w:rsidR="000B048B" w:rsidRPr="00160B30" w:rsidRDefault="000B048B" w:rsidP="000B20B5">
            <w:pPr>
              <w:pStyle w:val="TableText"/>
              <w:cnfStyle w:val="000000100000" w:firstRow="0" w:lastRow="0" w:firstColumn="0" w:lastColumn="0" w:oddVBand="0" w:evenVBand="0" w:oddHBand="1" w:evenHBand="0" w:firstRowFirstColumn="0" w:firstRowLastColumn="0" w:lastRowFirstColumn="0" w:lastRowLastColumn="0"/>
            </w:pPr>
            <w:r>
              <w:t>RFT</w:t>
            </w:r>
          </w:p>
        </w:tc>
        <w:tc>
          <w:tcPr>
            <w:tcW w:w="756" w:type="dxa"/>
            <w:gridSpan w:val="2"/>
            <w:vAlign w:val="center"/>
          </w:tcPr>
          <w:p w14:paraId="56F04DF7" w14:textId="157F9598" w:rsidR="000B048B" w:rsidRPr="00160B30" w:rsidRDefault="000B048B" w:rsidP="000B20B5">
            <w:pPr>
              <w:pStyle w:val="TableText"/>
              <w:cnfStyle w:val="000000100000" w:firstRow="0" w:lastRow="0" w:firstColumn="0" w:lastColumn="0" w:oddVBand="0" w:evenVBand="0" w:oddHBand="1" w:evenHBand="0" w:firstRowFirstColumn="0" w:firstRowLastColumn="0" w:lastRowFirstColumn="0" w:lastRowLastColumn="0"/>
            </w:pPr>
            <w:r>
              <w:t>Open</w:t>
            </w:r>
          </w:p>
        </w:tc>
        <w:tc>
          <w:tcPr>
            <w:tcW w:w="357" w:type="dxa"/>
            <w:gridSpan w:val="2"/>
            <w:vAlign w:val="center"/>
          </w:tcPr>
          <w:p w14:paraId="5BEBF2E4" w14:textId="5A9AAD87" w:rsidR="000B048B" w:rsidRPr="009467D3" w:rsidRDefault="000B048B" w:rsidP="000B20B5">
            <w:pPr>
              <w:pStyle w:val="Tablenumbers"/>
              <w:cnfStyle w:val="000000100000" w:firstRow="0" w:lastRow="0" w:firstColumn="0" w:lastColumn="0" w:oddVBand="0" w:evenVBand="0" w:oddHBand="1" w:evenHBand="0" w:firstRowFirstColumn="0" w:firstRowLastColumn="0" w:lastRowFirstColumn="0" w:lastRowLastColumn="0"/>
            </w:pPr>
            <w:r w:rsidRPr="009467D3">
              <w:t>5</w:t>
            </w:r>
          </w:p>
        </w:tc>
      </w:tr>
      <w:tr w:rsidR="000B048B" w:rsidRPr="00160B30" w14:paraId="2D0D6789" w14:textId="77777777" w:rsidTr="00BD56DE">
        <w:trPr>
          <w:gridAfter w:val="1"/>
          <w:wAfter w:w="241" w:type="dxa"/>
        </w:trPr>
        <w:tc>
          <w:tcPr>
            <w:cnfStyle w:val="001000000000" w:firstRow="0" w:lastRow="0" w:firstColumn="1" w:lastColumn="0" w:oddVBand="0" w:evenVBand="0" w:oddHBand="0" w:evenHBand="0" w:firstRowFirstColumn="0" w:firstRowLastColumn="0" w:lastRowFirstColumn="0" w:lastRowLastColumn="0"/>
            <w:tcW w:w="931" w:type="dxa"/>
            <w:vMerge/>
          </w:tcPr>
          <w:p w14:paraId="490C5FF1" w14:textId="77777777" w:rsidR="000B048B" w:rsidRPr="00160B30" w:rsidRDefault="000B048B" w:rsidP="000B20B5">
            <w:pPr>
              <w:pStyle w:val="TableText"/>
            </w:pPr>
          </w:p>
        </w:tc>
        <w:tc>
          <w:tcPr>
            <w:tcW w:w="541" w:type="dxa"/>
            <w:gridSpan w:val="2"/>
            <w:vMerge/>
          </w:tcPr>
          <w:p w14:paraId="726EE918" w14:textId="04A1AA3C"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p>
        </w:tc>
        <w:tc>
          <w:tcPr>
            <w:tcW w:w="2356" w:type="dxa"/>
            <w:vAlign w:val="center"/>
          </w:tcPr>
          <w:p w14:paraId="23F13B60" w14:textId="1D4B7004" w:rsidR="000B048B" w:rsidRPr="009467D3" w:rsidRDefault="000B048B" w:rsidP="000B20B5">
            <w:pPr>
              <w:pStyle w:val="TableText"/>
              <w:cnfStyle w:val="000000000000" w:firstRow="0" w:lastRow="0" w:firstColumn="0" w:lastColumn="0" w:oddVBand="0" w:evenVBand="0" w:oddHBand="0" w:evenHBand="0" w:firstRowFirstColumn="0" w:firstRowLastColumn="0" w:lastRowFirstColumn="0" w:lastRowLastColumn="0"/>
            </w:pPr>
            <w:r w:rsidRPr="009467D3">
              <w:t>Vendor Panel (supports eService and ICT infrastructure register)</w:t>
            </w:r>
            <w:r w:rsidR="00855D1E" w:rsidRPr="009467D3">
              <w:t>*</w:t>
            </w:r>
          </w:p>
        </w:tc>
        <w:tc>
          <w:tcPr>
            <w:tcW w:w="984" w:type="dxa"/>
            <w:gridSpan w:val="2"/>
            <w:vAlign w:val="center"/>
          </w:tcPr>
          <w:p w14:paraId="787F9CE0" w14:textId="476FA79C"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$0.7</w:t>
            </w:r>
          </w:p>
        </w:tc>
        <w:tc>
          <w:tcPr>
            <w:tcW w:w="446" w:type="dxa"/>
            <w:gridSpan w:val="2"/>
            <w:vAlign w:val="center"/>
          </w:tcPr>
          <w:p w14:paraId="52B236C2" w14:textId="217DE66A"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4</w:t>
            </w:r>
          </w:p>
        </w:tc>
        <w:tc>
          <w:tcPr>
            <w:tcW w:w="968" w:type="dxa"/>
            <w:gridSpan w:val="2"/>
            <w:vAlign w:val="center"/>
          </w:tcPr>
          <w:p w14:paraId="19EB9435" w14:textId="75FD22B5" w:rsidR="000B048B" w:rsidRPr="00BD56DE"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BD56DE">
              <w:t>1</w:t>
            </w:r>
          </w:p>
        </w:tc>
        <w:tc>
          <w:tcPr>
            <w:tcW w:w="1273" w:type="dxa"/>
            <w:gridSpan w:val="2"/>
            <w:vAlign w:val="center"/>
          </w:tcPr>
          <w:p w14:paraId="7DA18606" w14:textId="0B296E6C"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Transactional</w:t>
            </w:r>
          </w:p>
        </w:tc>
        <w:tc>
          <w:tcPr>
            <w:tcW w:w="606" w:type="dxa"/>
            <w:gridSpan w:val="2"/>
            <w:vAlign w:val="center"/>
          </w:tcPr>
          <w:p w14:paraId="389F8D0A" w14:textId="4F7DD1AB"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RFQ</w:t>
            </w:r>
          </w:p>
        </w:tc>
        <w:tc>
          <w:tcPr>
            <w:tcW w:w="756" w:type="dxa"/>
            <w:gridSpan w:val="2"/>
            <w:vAlign w:val="center"/>
          </w:tcPr>
          <w:p w14:paraId="5BF29205" w14:textId="28E15BF3" w:rsidR="000B048B" w:rsidRPr="00160B30" w:rsidRDefault="000B048B" w:rsidP="000B20B5">
            <w:pPr>
              <w:pStyle w:val="TableText"/>
              <w:cnfStyle w:val="000000000000" w:firstRow="0" w:lastRow="0" w:firstColumn="0" w:lastColumn="0" w:oddVBand="0" w:evenVBand="0" w:oddHBand="0" w:evenHBand="0" w:firstRowFirstColumn="0" w:firstRowLastColumn="0" w:lastRowFirstColumn="0" w:lastRowLastColumn="0"/>
            </w:pPr>
            <w:r>
              <w:t>Closed</w:t>
            </w:r>
          </w:p>
        </w:tc>
        <w:tc>
          <w:tcPr>
            <w:tcW w:w="357" w:type="dxa"/>
            <w:gridSpan w:val="2"/>
            <w:vAlign w:val="center"/>
          </w:tcPr>
          <w:p w14:paraId="03D8BE69" w14:textId="6891300C" w:rsidR="000B048B" w:rsidRPr="009467D3" w:rsidRDefault="000B048B" w:rsidP="000B20B5">
            <w:pPr>
              <w:pStyle w:val="Tablenumbers"/>
              <w:cnfStyle w:val="000000000000" w:firstRow="0" w:lastRow="0" w:firstColumn="0" w:lastColumn="0" w:oddVBand="0" w:evenVBand="0" w:oddHBand="0" w:evenHBand="0" w:firstRowFirstColumn="0" w:firstRowLastColumn="0" w:lastRowFirstColumn="0" w:lastRowLastColumn="0"/>
            </w:pPr>
            <w:r w:rsidRPr="009467D3">
              <w:t>1</w:t>
            </w:r>
          </w:p>
        </w:tc>
      </w:tr>
      <w:tr w:rsidR="009467D3" w:rsidRPr="00BD56DE" w14:paraId="4BF2331A" w14:textId="77777777" w:rsidTr="00946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 w:type="dxa"/>
            <w:gridSpan w:val="2"/>
          </w:tcPr>
          <w:p w14:paraId="4B4587EF" w14:textId="745450A8" w:rsidR="009467D3" w:rsidRPr="00BD56DE" w:rsidRDefault="009467D3" w:rsidP="000B20B5">
            <w:pPr>
              <w:pStyle w:val="TableText"/>
            </w:pPr>
            <w:r w:rsidRPr="00BD56DE">
              <w:t xml:space="preserve">Total </w:t>
            </w:r>
          </w:p>
        </w:tc>
        <w:tc>
          <w:tcPr>
            <w:tcW w:w="532" w:type="dxa"/>
          </w:tcPr>
          <w:p w14:paraId="5D679686" w14:textId="4C2AAC4A" w:rsidR="009467D3" w:rsidRPr="00BD56DE" w:rsidRDefault="009467D3" w:rsidP="000B20B5">
            <w:pPr>
              <w:pStyle w:val="TableText"/>
              <w:cnfStyle w:val="000000100000" w:firstRow="0" w:lastRow="0" w:firstColumn="0" w:lastColumn="0" w:oddVBand="0" w:evenVBand="0" w:oddHBand="1" w:evenHBand="0" w:firstRowFirstColumn="0" w:firstRowLastColumn="0" w:lastRowFirstColumn="0" w:lastRowLastColumn="0"/>
            </w:pPr>
            <w:r w:rsidRPr="00BD56DE">
              <w:t>6</w:t>
            </w:r>
          </w:p>
        </w:tc>
        <w:tc>
          <w:tcPr>
            <w:tcW w:w="2479" w:type="dxa"/>
            <w:gridSpan w:val="2"/>
          </w:tcPr>
          <w:p w14:paraId="5DCA9B7D" w14:textId="77777777" w:rsidR="009467D3" w:rsidRPr="00BD56DE" w:rsidRDefault="009467D3" w:rsidP="000B20B5">
            <w:pPr>
              <w:pStyle w:val="TableText"/>
              <w:cnfStyle w:val="000000100000" w:firstRow="0" w:lastRow="0" w:firstColumn="0" w:lastColumn="0" w:oddVBand="0" w:evenVBand="0" w:oddHBand="1" w:evenHBand="0" w:firstRowFirstColumn="0" w:firstRowLastColumn="0" w:lastRowFirstColumn="0" w:lastRowLastColumn="0"/>
            </w:pPr>
          </w:p>
        </w:tc>
        <w:tc>
          <w:tcPr>
            <w:tcW w:w="931" w:type="dxa"/>
            <w:gridSpan w:val="2"/>
          </w:tcPr>
          <w:p w14:paraId="40BBE107" w14:textId="7E4E4047" w:rsidR="009467D3" w:rsidRPr="00BD56DE" w:rsidRDefault="009467D3" w:rsidP="000B20B5">
            <w:pPr>
              <w:pStyle w:val="Tablenumbers"/>
              <w:cnfStyle w:val="000000100000" w:firstRow="0" w:lastRow="0" w:firstColumn="0" w:lastColumn="0" w:oddVBand="0" w:evenVBand="0" w:oddHBand="1" w:evenHBand="0" w:firstRowFirstColumn="0" w:firstRowLastColumn="0" w:lastRowFirstColumn="0" w:lastRowLastColumn="0"/>
            </w:pPr>
            <w:r w:rsidRPr="00BD56DE">
              <w:t>$295.5</w:t>
            </w:r>
          </w:p>
        </w:tc>
        <w:tc>
          <w:tcPr>
            <w:tcW w:w="647" w:type="dxa"/>
            <w:gridSpan w:val="2"/>
          </w:tcPr>
          <w:p w14:paraId="02B4A27D" w14:textId="77777777" w:rsidR="009467D3" w:rsidRPr="00BD56DE" w:rsidRDefault="009467D3" w:rsidP="000B20B5">
            <w:pPr>
              <w:pStyle w:val="TableText"/>
              <w:cnfStyle w:val="000000100000" w:firstRow="0" w:lastRow="0" w:firstColumn="0" w:lastColumn="0" w:oddVBand="0" w:evenVBand="0" w:oddHBand="1" w:evenHBand="0" w:firstRowFirstColumn="0" w:firstRowLastColumn="0" w:lastRowFirstColumn="0" w:lastRowLastColumn="0"/>
            </w:pPr>
          </w:p>
        </w:tc>
        <w:tc>
          <w:tcPr>
            <w:tcW w:w="1118" w:type="dxa"/>
            <w:gridSpan w:val="2"/>
          </w:tcPr>
          <w:p w14:paraId="66CA39D3" w14:textId="77777777" w:rsidR="009467D3" w:rsidRPr="00BD56DE" w:rsidRDefault="009467D3" w:rsidP="000B20B5">
            <w:pPr>
              <w:pStyle w:val="TableText"/>
              <w:cnfStyle w:val="000000100000" w:firstRow="0" w:lastRow="0" w:firstColumn="0" w:lastColumn="0" w:oddVBand="0" w:evenVBand="0" w:oddHBand="1" w:evenHBand="0" w:firstRowFirstColumn="0" w:firstRowLastColumn="0" w:lastRowFirstColumn="0" w:lastRowLastColumn="0"/>
            </w:pPr>
          </w:p>
        </w:tc>
        <w:tc>
          <w:tcPr>
            <w:tcW w:w="933" w:type="dxa"/>
            <w:gridSpan w:val="2"/>
          </w:tcPr>
          <w:p w14:paraId="77193821" w14:textId="77777777" w:rsidR="009467D3" w:rsidRPr="00BD56DE" w:rsidRDefault="009467D3" w:rsidP="000B20B5">
            <w:pPr>
              <w:pStyle w:val="TableText"/>
              <w:cnfStyle w:val="000000100000" w:firstRow="0" w:lastRow="0" w:firstColumn="0" w:lastColumn="0" w:oddVBand="0" w:evenVBand="0" w:oddHBand="1" w:evenHBand="0" w:firstRowFirstColumn="0" w:firstRowLastColumn="0" w:lastRowFirstColumn="0" w:lastRowLastColumn="0"/>
            </w:pPr>
          </w:p>
        </w:tc>
        <w:tc>
          <w:tcPr>
            <w:tcW w:w="755" w:type="dxa"/>
            <w:gridSpan w:val="2"/>
          </w:tcPr>
          <w:p w14:paraId="1D8B5116" w14:textId="77777777" w:rsidR="009467D3" w:rsidRPr="00BD56DE" w:rsidRDefault="009467D3" w:rsidP="000B20B5">
            <w:pPr>
              <w:pStyle w:val="TableText"/>
              <w:cnfStyle w:val="000000100000" w:firstRow="0" w:lastRow="0" w:firstColumn="0" w:lastColumn="0" w:oddVBand="0" w:evenVBand="0" w:oddHBand="1" w:evenHBand="0" w:firstRowFirstColumn="0" w:firstRowLastColumn="0" w:lastRowFirstColumn="0" w:lastRowLastColumn="0"/>
            </w:pPr>
          </w:p>
        </w:tc>
        <w:tc>
          <w:tcPr>
            <w:tcW w:w="636" w:type="dxa"/>
            <w:gridSpan w:val="2"/>
          </w:tcPr>
          <w:p w14:paraId="04B27FA7" w14:textId="77777777" w:rsidR="009467D3" w:rsidRPr="00BD56DE" w:rsidRDefault="009467D3" w:rsidP="000B20B5">
            <w:pPr>
              <w:pStyle w:val="TableText"/>
              <w:cnfStyle w:val="000000100000" w:firstRow="0" w:lastRow="0" w:firstColumn="0" w:lastColumn="0" w:oddVBand="0" w:evenVBand="0" w:oddHBand="1" w:evenHBand="0" w:firstRowFirstColumn="0" w:firstRowLastColumn="0" w:lastRowFirstColumn="0" w:lastRowLastColumn="0"/>
            </w:pPr>
          </w:p>
        </w:tc>
        <w:tc>
          <w:tcPr>
            <w:tcW w:w="488" w:type="dxa"/>
            <w:gridSpan w:val="2"/>
          </w:tcPr>
          <w:p w14:paraId="4ED7E828" w14:textId="77777777" w:rsidR="009467D3" w:rsidRPr="00BD56DE" w:rsidRDefault="009467D3" w:rsidP="000B20B5">
            <w:pPr>
              <w:pStyle w:val="TableText"/>
              <w:cnfStyle w:val="000000100000" w:firstRow="0" w:lastRow="0" w:firstColumn="0" w:lastColumn="0" w:oddVBand="0" w:evenVBand="0" w:oddHBand="1" w:evenHBand="0" w:firstRowFirstColumn="0" w:firstRowLastColumn="0" w:lastRowFirstColumn="0" w:lastRowLastColumn="0"/>
            </w:pPr>
          </w:p>
        </w:tc>
      </w:tr>
    </w:tbl>
    <w:p w14:paraId="259F4DDB" w14:textId="3B9CA4A5" w:rsidR="005A30DA" w:rsidRDefault="006F650E" w:rsidP="009467D3">
      <w:pPr>
        <w:pStyle w:val="Tablenotes"/>
      </w:pPr>
      <w:r>
        <w:t>RFT = Request for tender</w:t>
      </w:r>
      <w:r w:rsidR="00145649">
        <w:t>, RFQ = Request for quote</w:t>
      </w:r>
    </w:p>
    <w:p w14:paraId="2E61FB0F" w14:textId="062568CA" w:rsidR="00145649" w:rsidRDefault="006D2032" w:rsidP="009467D3">
      <w:pPr>
        <w:pStyle w:val="Tablenotes"/>
      </w:pPr>
      <w:r w:rsidRPr="006D2032">
        <w:t>*</w:t>
      </w:r>
      <w:r w:rsidR="00145649">
        <w:t xml:space="preserve"> Non-mandatory/optional SPC</w:t>
      </w:r>
    </w:p>
    <w:p w14:paraId="7AEFAA2F" w14:textId="77777777" w:rsidR="00043C3A" w:rsidRDefault="00043C3A">
      <w:pPr>
        <w:rPr>
          <w:rFonts w:ascii="Calibri" w:hAnsi="Calibri" w:cs="Calibri"/>
          <w:color w:val="4D4D4D"/>
          <w:kern w:val="28"/>
          <w:sz w:val="30"/>
          <w:szCs w:val="22"/>
          <w:lang w:eastAsia="en-US"/>
        </w:rPr>
      </w:pPr>
      <w:r>
        <w:br w:type="page"/>
      </w:r>
    </w:p>
    <w:p w14:paraId="69CC3738" w14:textId="153059BF" w:rsidR="00DB6678" w:rsidRDefault="00DB6678" w:rsidP="002911CF">
      <w:pPr>
        <w:pStyle w:val="Heading3NoNum"/>
      </w:pPr>
      <w:r>
        <w:lastRenderedPageBreak/>
        <w:t>The benefits of ICT SPCs</w:t>
      </w:r>
    </w:p>
    <w:p w14:paraId="34575514" w14:textId="0A1C8738" w:rsidR="00043C3A" w:rsidRDefault="00CA5585" w:rsidP="00CA5585">
      <w:pPr>
        <w:pStyle w:val="Normal1"/>
      </w:pPr>
      <w:r>
        <w:t>ICT is an obvious contender for combin</w:t>
      </w:r>
      <w:r w:rsidR="006A702E">
        <w:t>ing</w:t>
      </w:r>
      <w:r>
        <w:t xml:space="preserve"> purchasing power, given </w:t>
      </w:r>
      <w:r w:rsidR="00DB6678">
        <w:t>the prevalence of technology in our working lives</w:t>
      </w:r>
      <w:r>
        <w:t>. In 2019–20, ICT SPCs continued to offer benefits and value-for-money outcomes across government:</w:t>
      </w:r>
    </w:p>
    <w:p w14:paraId="0028C1A6" w14:textId="6A3F6794" w:rsidR="00CA5585" w:rsidRDefault="00CA5585" w:rsidP="00CA5585">
      <w:pPr>
        <w:pStyle w:val="Bullet1"/>
      </w:pPr>
      <w:bookmarkStart w:id="189" w:name="_Toc366693324"/>
      <w:r>
        <w:t xml:space="preserve">The End User Computing </w:t>
      </w:r>
      <w:r w:rsidR="00771D7E">
        <w:t>A</w:t>
      </w:r>
      <w:r>
        <w:t xml:space="preserve">greement played an important role during COVID-19 as new devices were ordered to support work-from-home arrangements. </w:t>
      </w:r>
      <w:r w:rsidR="006A702E">
        <w:t>Through this agreement, Victorian Government device orders were prioritised with suppliers, with any backlog carefully managed and customers kept informed throughout.</w:t>
      </w:r>
    </w:p>
    <w:p w14:paraId="548B6989" w14:textId="1D7583FE" w:rsidR="006A702E" w:rsidRDefault="006A702E" w:rsidP="00CA5585">
      <w:pPr>
        <w:pStyle w:val="Bullet1"/>
      </w:pPr>
      <w:r w:rsidRPr="006A702E">
        <w:t>The Microsoft Enterprise Agreement</w:t>
      </w:r>
      <w:r>
        <w:t xml:space="preserve"> was</w:t>
      </w:r>
      <w:r w:rsidRPr="006A702E">
        <w:t xml:space="preserve"> renegotiated for a further three years in March 2020. Th</w:t>
      </w:r>
      <w:r>
        <w:t>is</w:t>
      </w:r>
      <w:r w:rsidRPr="006A702E">
        <w:t xml:space="preserve"> SPC is used by all inner budget departments (except </w:t>
      </w:r>
      <w:r>
        <w:t xml:space="preserve">the Department of </w:t>
      </w:r>
      <w:r w:rsidRPr="006A702E">
        <w:t>Education</w:t>
      </w:r>
      <w:r>
        <w:t xml:space="preserve"> and Training</w:t>
      </w:r>
      <w:r w:rsidRPr="006A702E">
        <w:t>)</w:t>
      </w:r>
      <w:r>
        <w:t>,</w:t>
      </w:r>
      <w:r w:rsidRPr="006A702E">
        <w:t xml:space="preserve"> as well as 29 outer budget sector agencies. </w:t>
      </w:r>
      <w:r>
        <w:t>C</w:t>
      </w:r>
      <w:r w:rsidRPr="006A702E">
        <w:t>onsolidati</w:t>
      </w:r>
      <w:r>
        <w:t>ng</w:t>
      </w:r>
      <w:r w:rsidRPr="006A702E">
        <w:t xml:space="preserve"> government spend has </w:t>
      </w:r>
      <w:r>
        <w:t>led to</w:t>
      </w:r>
      <w:r w:rsidRPr="006A702E">
        <w:t xml:space="preserve"> significant savings benefits for Office 365 (both cloud and perpetual licences), Dynamics 365 (cloud licences) and Azure cloud services.</w:t>
      </w:r>
    </w:p>
    <w:p w14:paraId="43568EEC" w14:textId="5698A0CC" w:rsidR="006A702E" w:rsidRDefault="006A702E" w:rsidP="00CA5585">
      <w:pPr>
        <w:pStyle w:val="Bullet1"/>
      </w:pPr>
      <w:r>
        <w:t xml:space="preserve">The </w:t>
      </w:r>
      <w:r w:rsidRPr="009467D3">
        <w:t xml:space="preserve">Multifunctional Printing Device </w:t>
      </w:r>
      <w:r>
        <w:t>SPC was r</w:t>
      </w:r>
      <w:r w:rsidRPr="006A702E">
        <w:t>efreshed</w:t>
      </w:r>
      <w:r>
        <w:t xml:space="preserve"> this year. N</w:t>
      </w:r>
      <w:r w:rsidRPr="006A702E">
        <w:t>egotiat</w:t>
      </w:r>
      <w:r>
        <w:t>ions</w:t>
      </w:r>
      <w:r w:rsidRPr="006A702E">
        <w:t xml:space="preserve"> result</w:t>
      </w:r>
      <w:r>
        <w:t>ed</w:t>
      </w:r>
      <w:r w:rsidRPr="006A702E">
        <w:t xml:space="preserve"> in better value for the state with simplified purchasing processes, streamlined reporting, social procurement provisions and enhanced service level agreements. </w:t>
      </w:r>
      <w:r>
        <w:t>F</w:t>
      </w:r>
      <w:r w:rsidRPr="006A702E">
        <w:t xml:space="preserve">or many </w:t>
      </w:r>
      <w:r>
        <w:t xml:space="preserve">of the </w:t>
      </w:r>
      <w:r w:rsidRPr="006A702E">
        <w:t xml:space="preserve">devices </w:t>
      </w:r>
      <w:r>
        <w:t xml:space="preserve">available under the contract, </w:t>
      </w:r>
      <w:r w:rsidRPr="006A702E">
        <w:t xml:space="preserve">higher discounts </w:t>
      </w:r>
      <w:r>
        <w:t xml:space="preserve">were </w:t>
      </w:r>
      <w:r w:rsidRPr="006A702E">
        <w:t xml:space="preserve">achieved and </w:t>
      </w:r>
      <w:r>
        <w:t xml:space="preserve">more </w:t>
      </w:r>
      <w:r w:rsidRPr="006A702E">
        <w:t>flexibility for customers with a range of devices to better meet their business requirements.</w:t>
      </w:r>
    </w:p>
    <w:p w14:paraId="385D9923" w14:textId="405557FA" w:rsidR="006A702E" w:rsidRDefault="006A702E" w:rsidP="00043C3A">
      <w:pPr>
        <w:pStyle w:val="Bullet1"/>
      </w:pPr>
      <w:r>
        <w:t xml:space="preserve">The SPC team developed a strategic sourcing operations manual for ICT procurement to be used when sourcing all ICT SPCs. It includes </w:t>
      </w:r>
      <w:r w:rsidRPr="006A702E">
        <w:t xml:space="preserve">detailed </w:t>
      </w:r>
      <w:r>
        <w:t>RASCI guidelines (</w:t>
      </w:r>
      <w:r w:rsidRPr="006A702E">
        <w:t>Responsib</w:t>
      </w:r>
      <w:r>
        <w:t>le</w:t>
      </w:r>
      <w:r w:rsidRPr="006A702E">
        <w:t>, Accountab</w:t>
      </w:r>
      <w:r>
        <w:t>le</w:t>
      </w:r>
      <w:r w:rsidRPr="006A702E">
        <w:t xml:space="preserve">, </w:t>
      </w:r>
      <w:r>
        <w:t xml:space="preserve">Supporting, </w:t>
      </w:r>
      <w:r w:rsidRPr="006A702E">
        <w:t>Consult</w:t>
      </w:r>
      <w:r>
        <w:t>ed</w:t>
      </w:r>
      <w:r w:rsidRPr="006A702E">
        <w:t xml:space="preserve"> and Inform</w:t>
      </w:r>
      <w:r>
        <w:t>ed).</w:t>
      </w:r>
    </w:p>
    <w:p w14:paraId="1DD7EC9B" w14:textId="1905E10D" w:rsidR="005B0986" w:rsidRPr="00CD6245" w:rsidRDefault="005B0986" w:rsidP="005B0986">
      <w:pPr>
        <w:pStyle w:val="Heading2NoNum"/>
      </w:pPr>
      <w:bookmarkStart w:id="190" w:name="_Toc52187739"/>
      <w:r w:rsidRPr="00CD6245">
        <w:t>S</w:t>
      </w:r>
      <w:r>
        <w:t>ole entity</w:t>
      </w:r>
      <w:r w:rsidRPr="00CD6245">
        <w:t xml:space="preserve"> purchase contracts</w:t>
      </w:r>
      <w:r>
        <w:t xml:space="preserve"> approved in 2019–20</w:t>
      </w:r>
      <w:bookmarkEnd w:id="190"/>
    </w:p>
    <w:p w14:paraId="7F9CC295" w14:textId="3D3545BD" w:rsidR="005B0986" w:rsidRPr="00CD6245" w:rsidRDefault="005B0986" w:rsidP="005B0986">
      <w:pPr>
        <w:pStyle w:val="Normal1"/>
      </w:pPr>
      <w:r w:rsidRPr="006D2DCF">
        <w:t xml:space="preserve">In </w:t>
      </w:r>
      <w:r>
        <w:t>2019–20</w:t>
      </w:r>
      <w:r w:rsidRPr="006D2DCF">
        <w:t xml:space="preserve">, </w:t>
      </w:r>
      <w:r w:rsidR="007277BA">
        <w:t>44</w:t>
      </w:r>
      <w:r w:rsidRPr="006D2DCF">
        <w:t xml:space="preserve"> S</w:t>
      </w:r>
      <w:r>
        <w:t>E</w:t>
      </w:r>
      <w:r w:rsidRPr="006D2DCF">
        <w:t>PCs were approved with an estimated total value of $</w:t>
      </w:r>
      <w:r w:rsidR="007277BA">
        <w:t>98.</w:t>
      </w:r>
      <w:r w:rsidR="00855D1E">
        <w:t>8</w:t>
      </w:r>
      <w:r w:rsidRPr="006D2DCF">
        <w:t> million, as listed in</w:t>
      </w:r>
      <w:r w:rsidR="004637AA">
        <w:t xml:space="preserve"> </w:t>
      </w:r>
      <w:r w:rsidR="004637AA">
        <w:fldChar w:fldCharType="begin"/>
      </w:r>
      <w:r w:rsidR="004637AA">
        <w:instrText xml:space="preserve"> REF _Ref35355845 \h </w:instrText>
      </w:r>
      <w:r w:rsidR="004637AA">
        <w:fldChar w:fldCharType="separate"/>
      </w:r>
      <w:r w:rsidR="00152B74">
        <w:t xml:space="preserve">Table </w:t>
      </w:r>
      <w:r w:rsidR="00152B74">
        <w:rPr>
          <w:noProof/>
        </w:rPr>
        <w:t>25</w:t>
      </w:r>
      <w:r w:rsidR="004637AA">
        <w:fldChar w:fldCharType="end"/>
      </w:r>
      <w:r>
        <w:t>.</w:t>
      </w:r>
    </w:p>
    <w:p w14:paraId="3BE1CAE3" w14:textId="03ED2473" w:rsidR="005B0986" w:rsidRDefault="005B0986" w:rsidP="005B0986">
      <w:pPr>
        <w:pStyle w:val="Normal1"/>
      </w:pPr>
      <w:r>
        <w:t>This compares to 32</w:t>
      </w:r>
      <w:r w:rsidRPr="00CD6245">
        <w:t xml:space="preserve"> S</w:t>
      </w:r>
      <w:r w:rsidR="00313B78">
        <w:t>E</w:t>
      </w:r>
      <w:r w:rsidRPr="00CD6245">
        <w:t xml:space="preserve">PCs </w:t>
      </w:r>
      <w:r>
        <w:t xml:space="preserve">approved </w:t>
      </w:r>
      <w:r w:rsidRPr="00CD6245">
        <w:t xml:space="preserve">in </w:t>
      </w:r>
      <w:r w:rsidRPr="006D2DCF">
        <w:t>2018–19</w:t>
      </w:r>
      <w:r>
        <w:t xml:space="preserve">, </w:t>
      </w:r>
      <w:r w:rsidRPr="00CD6245">
        <w:t xml:space="preserve">with an estimated total value of </w:t>
      </w:r>
      <w:r w:rsidRPr="006D2DCF">
        <w:t>$</w:t>
      </w:r>
      <w:r>
        <w:t>44</w:t>
      </w:r>
      <w:r w:rsidR="007277BA">
        <w:t>1.9</w:t>
      </w:r>
      <w:r w:rsidRPr="006D2DCF">
        <w:t> million</w:t>
      </w:r>
      <w:r w:rsidRPr="00CD6245">
        <w:t>.</w:t>
      </w:r>
    </w:p>
    <w:p w14:paraId="0A611FA6" w14:textId="0CD22CB5" w:rsidR="005B0986" w:rsidRDefault="005B0986" w:rsidP="005B0986">
      <w:pPr>
        <w:pStyle w:val="Caption"/>
      </w:pPr>
      <w:bookmarkStart w:id="191" w:name="_Ref35355845"/>
      <w:bookmarkStart w:id="192" w:name="_Toc48837158"/>
      <w:bookmarkStart w:id="193" w:name="_Toc49185548"/>
      <w:r>
        <w:t xml:space="preserve">Table </w:t>
      </w:r>
      <w:r w:rsidR="00BE0754">
        <w:fldChar w:fldCharType="begin"/>
      </w:r>
      <w:r w:rsidR="00BE0754">
        <w:instrText xml:space="preserve"> </w:instrText>
      </w:r>
      <w:r w:rsidR="00BE0754">
        <w:instrText xml:space="preserve">SEQ Table \* ARABIC </w:instrText>
      </w:r>
      <w:r w:rsidR="00BE0754">
        <w:fldChar w:fldCharType="separate"/>
      </w:r>
      <w:r w:rsidR="00152B74">
        <w:rPr>
          <w:noProof/>
        </w:rPr>
        <w:t>25</w:t>
      </w:r>
      <w:r w:rsidR="00BE0754">
        <w:rPr>
          <w:noProof/>
        </w:rPr>
        <w:fldChar w:fldCharType="end"/>
      </w:r>
      <w:bookmarkEnd w:id="191"/>
      <w:r>
        <w:t>: SEPCs approved in 2019–20</w:t>
      </w:r>
      <w:bookmarkEnd w:id="192"/>
      <w:bookmarkEnd w:id="193"/>
    </w:p>
    <w:tbl>
      <w:tblPr>
        <w:tblStyle w:val="TableGrid"/>
        <w:tblW w:w="6804" w:type="dxa"/>
        <w:tblInd w:w="846" w:type="dxa"/>
        <w:tblLook w:val="04A0" w:firstRow="1" w:lastRow="0" w:firstColumn="1" w:lastColumn="0" w:noHBand="0" w:noVBand="1"/>
      </w:tblPr>
      <w:tblGrid>
        <w:gridCol w:w="3827"/>
        <w:gridCol w:w="1418"/>
        <w:gridCol w:w="1559"/>
      </w:tblGrid>
      <w:tr w:rsidR="005B0986" w:rsidRPr="009467D3" w14:paraId="61656717" w14:textId="77777777" w:rsidTr="000B20B5">
        <w:tc>
          <w:tcPr>
            <w:tcW w:w="3827" w:type="dxa"/>
            <w:shd w:val="clear" w:color="auto" w:fill="BFBFBF" w:themeFill="background1" w:themeFillShade="BF"/>
          </w:tcPr>
          <w:p w14:paraId="60128A61" w14:textId="6721FCC0" w:rsidR="005B0986" w:rsidRPr="009467D3" w:rsidRDefault="005B0986" w:rsidP="000B20B5">
            <w:pPr>
              <w:pStyle w:val="TableHeader"/>
            </w:pPr>
            <w:r w:rsidRPr="009467D3">
              <w:t>Organisation</w:t>
            </w:r>
          </w:p>
        </w:tc>
        <w:tc>
          <w:tcPr>
            <w:tcW w:w="1418" w:type="dxa"/>
            <w:shd w:val="clear" w:color="auto" w:fill="BFBFBF" w:themeFill="background1" w:themeFillShade="BF"/>
          </w:tcPr>
          <w:p w14:paraId="42539F74" w14:textId="25E02D67" w:rsidR="005B0986" w:rsidRPr="009467D3" w:rsidRDefault="005B0986" w:rsidP="000B20B5">
            <w:pPr>
              <w:pStyle w:val="TableHeader"/>
            </w:pPr>
            <w:r w:rsidRPr="009467D3">
              <w:t>Number</w:t>
            </w:r>
          </w:p>
        </w:tc>
        <w:tc>
          <w:tcPr>
            <w:tcW w:w="1559" w:type="dxa"/>
            <w:shd w:val="clear" w:color="auto" w:fill="BFBFBF" w:themeFill="background1" w:themeFillShade="BF"/>
          </w:tcPr>
          <w:p w14:paraId="1D18F46B" w14:textId="7D5A63FA" w:rsidR="005B0986" w:rsidRPr="009467D3" w:rsidRDefault="005B0986" w:rsidP="000B20B5">
            <w:pPr>
              <w:pStyle w:val="TableHeader"/>
            </w:pPr>
            <w:r w:rsidRPr="009467D3">
              <w:t>Value</w:t>
            </w:r>
            <w:r w:rsidR="00DA612B">
              <w:t xml:space="preserve"> (</w:t>
            </w:r>
            <w:r w:rsidR="005C4F4A">
              <w:t>$m</w:t>
            </w:r>
            <w:r w:rsidR="00DA612B">
              <w:t>)</w:t>
            </w:r>
          </w:p>
        </w:tc>
      </w:tr>
      <w:tr w:rsidR="00172A2F" w14:paraId="52077D91" w14:textId="77777777" w:rsidTr="000B20B5">
        <w:tc>
          <w:tcPr>
            <w:tcW w:w="3827" w:type="dxa"/>
            <w:vAlign w:val="center"/>
          </w:tcPr>
          <w:p w14:paraId="0A30BC5E" w14:textId="68A50DDD" w:rsidR="00172A2F" w:rsidRDefault="00172A2F" w:rsidP="000B20B5">
            <w:pPr>
              <w:pStyle w:val="TableText"/>
            </w:pPr>
            <w:r>
              <w:t>Environment, Land, Water and Planning</w:t>
            </w:r>
          </w:p>
        </w:tc>
        <w:tc>
          <w:tcPr>
            <w:tcW w:w="1418" w:type="dxa"/>
          </w:tcPr>
          <w:p w14:paraId="0AB721EA" w14:textId="55040CFE" w:rsidR="00172A2F" w:rsidRPr="00172A2F" w:rsidRDefault="00172A2F" w:rsidP="000B20B5">
            <w:pPr>
              <w:pStyle w:val="Tablenumbers"/>
            </w:pPr>
            <w:r w:rsidRPr="00172A2F">
              <w:t>15</w:t>
            </w:r>
          </w:p>
        </w:tc>
        <w:tc>
          <w:tcPr>
            <w:tcW w:w="1559" w:type="dxa"/>
          </w:tcPr>
          <w:p w14:paraId="2E9CD797" w14:textId="719CDA49" w:rsidR="00172A2F" w:rsidRPr="00172A2F" w:rsidRDefault="00172A2F" w:rsidP="000B20B5">
            <w:pPr>
              <w:pStyle w:val="Tablenumbers"/>
            </w:pPr>
            <w:r w:rsidRPr="00172A2F">
              <w:t>$15.</w:t>
            </w:r>
            <w:r w:rsidR="00290B74">
              <w:t>1</w:t>
            </w:r>
          </w:p>
        </w:tc>
      </w:tr>
      <w:tr w:rsidR="00172A2F" w14:paraId="044BFA0E" w14:textId="77777777" w:rsidTr="000B20B5">
        <w:tc>
          <w:tcPr>
            <w:tcW w:w="3827" w:type="dxa"/>
            <w:vAlign w:val="center"/>
          </w:tcPr>
          <w:p w14:paraId="3F7BE7F9" w14:textId="1F11B8EB" w:rsidR="00172A2F" w:rsidRDefault="00172A2F" w:rsidP="000B20B5">
            <w:pPr>
              <w:pStyle w:val="TableText"/>
            </w:pPr>
            <w:r>
              <w:t>Health and Human Services</w:t>
            </w:r>
          </w:p>
        </w:tc>
        <w:tc>
          <w:tcPr>
            <w:tcW w:w="1418" w:type="dxa"/>
          </w:tcPr>
          <w:p w14:paraId="0F7F0065" w14:textId="3BDFBD83" w:rsidR="00172A2F" w:rsidRPr="00172A2F" w:rsidRDefault="00172A2F" w:rsidP="000B20B5">
            <w:pPr>
              <w:pStyle w:val="Tablenumbers"/>
            </w:pPr>
            <w:r w:rsidRPr="00172A2F">
              <w:t>1</w:t>
            </w:r>
          </w:p>
        </w:tc>
        <w:tc>
          <w:tcPr>
            <w:tcW w:w="1559" w:type="dxa"/>
          </w:tcPr>
          <w:p w14:paraId="163EDA5E" w14:textId="11760D21" w:rsidR="00172A2F" w:rsidRPr="00172A2F" w:rsidRDefault="00172A2F" w:rsidP="000B20B5">
            <w:pPr>
              <w:pStyle w:val="Tablenumbers"/>
            </w:pPr>
            <w:r w:rsidRPr="00172A2F">
              <w:t>$3.5</w:t>
            </w:r>
          </w:p>
        </w:tc>
      </w:tr>
      <w:tr w:rsidR="00172A2F" w14:paraId="7F3A4135" w14:textId="77777777" w:rsidTr="000B20B5">
        <w:tc>
          <w:tcPr>
            <w:tcW w:w="3827" w:type="dxa"/>
          </w:tcPr>
          <w:p w14:paraId="71C2B2D7" w14:textId="7CC5EC8A" w:rsidR="00172A2F" w:rsidRPr="009467D3" w:rsidRDefault="00172A2F" w:rsidP="000B20B5">
            <w:pPr>
              <w:pStyle w:val="TableText"/>
            </w:pPr>
            <w:r w:rsidRPr="009467D3">
              <w:t>Justice and Community Safety</w:t>
            </w:r>
          </w:p>
        </w:tc>
        <w:tc>
          <w:tcPr>
            <w:tcW w:w="1418" w:type="dxa"/>
            <w:vAlign w:val="bottom"/>
          </w:tcPr>
          <w:p w14:paraId="5553E6CD" w14:textId="675E034E" w:rsidR="00172A2F" w:rsidRPr="00172A2F" w:rsidRDefault="00172A2F" w:rsidP="000B20B5">
            <w:pPr>
              <w:pStyle w:val="Tablenumbers"/>
            </w:pPr>
            <w:r w:rsidRPr="00172A2F">
              <w:t>1</w:t>
            </w:r>
          </w:p>
        </w:tc>
        <w:tc>
          <w:tcPr>
            <w:tcW w:w="1559" w:type="dxa"/>
            <w:vAlign w:val="center"/>
          </w:tcPr>
          <w:p w14:paraId="0ECA3AB1" w14:textId="6A7D1185" w:rsidR="00172A2F" w:rsidRPr="00172A2F" w:rsidRDefault="00172A2F" w:rsidP="000B20B5">
            <w:pPr>
              <w:pStyle w:val="Tablenumbers"/>
            </w:pPr>
            <w:r w:rsidRPr="00172A2F">
              <w:t>$0.2</w:t>
            </w:r>
          </w:p>
        </w:tc>
      </w:tr>
      <w:tr w:rsidR="00172A2F" w14:paraId="13D868F9" w14:textId="77777777" w:rsidTr="000B20B5">
        <w:tc>
          <w:tcPr>
            <w:tcW w:w="3827" w:type="dxa"/>
            <w:vAlign w:val="center"/>
          </w:tcPr>
          <w:p w14:paraId="1576365D" w14:textId="049A4689" w:rsidR="00172A2F" w:rsidRDefault="00172A2F" w:rsidP="000B20B5">
            <w:pPr>
              <w:pStyle w:val="TableText"/>
            </w:pPr>
            <w:r>
              <w:t>CenITex</w:t>
            </w:r>
          </w:p>
        </w:tc>
        <w:tc>
          <w:tcPr>
            <w:tcW w:w="1418" w:type="dxa"/>
            <w:vAlign w:val="bottom"/>
          </w:tcPr>
          <w:p w14:paraId="73105112" w14:textId="7A58814F" w:rsidR="00172A2F" w:rsidRPr="00172A2F" w:rsidRDefault="00172A2F" w:rsidP="000B20B5">
            <w:pPr>
              <w:pStyle w:val="Tablenumbers"/>
            </w:pPr>
            <w:r w:rsidRPr="00172A2F">
              <w:t>3</w:t>
            </w:r>
          </w:p>
        </w:tc>
        <w:tc>
          <w:tcPr>
            <w:tcW w:w="1559" w:type="dxa"/>
            <w:vAlign w:val="center"/>
          </w:tcPr>
          <w:p w14:paraId="54030B61" w14:textId="4F356B51" w:rsidR="00172A2F" w:rsidRPr="00172A2F" w:rsidRDefault="00172A2F" w:rsidP="000B20B5">
            <w:pPr>
              <w:pStyle w:val="Tablenumbers"/>
            </w:pPr>
            <w:r w:rsidRPr="00172A2F">
              <w:t>$3.</w:t>
            </w:r>
            <w:r w:rsidR="002003CC">
              <w:t>7</w:t>
            </w:r>
          </w:p>
        </w:tc>
      </w:tr>
      <w:tr w:rsidR="00172A2F" w14:paraId="463BB2CC" w14:textId="77777777" w:rsidTr="000B20B5">
        <w:tc>
          <w:tcPr>
            <w:tcW w:w="3827" w:type="dxa"/>
            <w:vAlign w:val="center"/>
          </w:tcPr>
          <w:p w14:paraId="51AB1769" w14:textId="2D90A7E6" w:rsidR="00172A2F" w:rsidRDefault="00172A2F" w:rsidP="000B20B5">
            <w:pPr>
              <w:pStyle w:val="TableText"/>
            </w:pPr>
            <w:r>
              <w:t>Victoria Police</w:t>
            </w:r>
          </w:p>
        </w:tc>
        <w:tc>
          <w:tcPr>
            <w:tcW w:w="1418" w:type="dxa"/>
            <w:vAlign w:val="bottom"/>
          </w:tcPr>
          <w:p w14:paraId="2BADF3AF" w14:textId="45551D76" w:rsidR="00172A2F" w:rsidRPr="00172A2F" w:rsidRDefault="00172A2F" w:rsidP="000B20B5">
            <w:pPr>
              <w:pStyle w:val="Tablenumbers"/>
            </w:pPr>
            <w:r w:rsidRPr="00172A2F">
              <w:t>24</w:t>
            </w:r>
          </w:p>
        </w:tc>
        <w:tc>
          <w:tcPr>
            <w:tcW w:w="1559" w:type="dxa"/>
            <w:vAlign w:val="center"/>
          </w:tcPr>
          <w:p w14:paraId="4B6A4090" w14:textId="6D5820EA" w:rsidR="00172A2F" w:rsidRPr="00172A2F" w:rsidRDefault="00172A2F" w:rsidP="000B20B5">
            <w:pPr>
              <w:pStyle w:val="Tablenumbers"/>
            </w:pPr>
            <w:r w:rsidRPr="00172A2F">
              <w:t>$76.3</w:t>
            </w:r>
          </w:p>
        </w:tc>
      </w:tr>
      <w:tr w:rsidR="00172A2F" w:rsidRPr="000B20B5" w14:paraId="0EB13E34" w14:textId="77777777" w:rsidTr="000B20B5">
        <w:tc>
          <w:tcPr>
            <w:tcW w:w="3827" w:type="dxa"/>
          </w:tcPr>
          <w:p w14:paraId="046908FC" w14:textId="222FEF62" w:rsidR="00172A2F" w:rsidRPr="000B20B5" w:rsidRDefault="00172A2F" w:rsidP="000B20B5">
            <w:pPr>
              <w:pStyle w:val="TableText"/>
              <w:rPr>
                <w:rStyle w:val="Strong"/>
              </w:rPr>
            </w:pPr>
            <w:r w:rsidRPr="000B20B5">
              <w:rPr>
                <w:rStyle w:val="Strong"/>
              </w:rPr>
              <w:t xml:space="preserve">Total </w:t>
            </w:r>
          </w:p>
        </w:tc>
        <w:tc>
          <w:tcPr>
            <w:tcW w:w="1418" w:type="dxa"/>
            <w:vAlign w:val="bottom"/>
          </w:tcPr>
          <w:p w14:paraId="4C8A4ED6" w14:textId="0C0E1245" w:rsidR="00172A2F" w:rsidRPr="000B20B5" w:rsidRDefault="00172A2F" w:rsidP="000B20B5">
            <w:pPr>
              <w:pStyle w:val="Tablenumbers"/>
              <w:rPr>
                <w:rStyle w:val="Strong"/>
              </w:rPr>
            </w:pPr>
            <w:r w:rsidRPr="000B20B5">
              <w:rPr>
                <w:rStyle w:val="Strong"/>
              </w:rPr>
              <w:t>44</w:t>
            </w:r>
          </w:p>
        </w:tc>
        <w:tc>
          <w:tcPr>
            <w:tcW w:w="1559" w:type="dxa"/>
            <w:vAlign w:val="center"/>
          </w:tcPr>
          <w:p w14:paraId="70FF56C9" w14:textId="5BEAB9F4" w:rsidR="00172A2F" w:rsidRPr="000B20B5" w:rsidRDefault="00172A2F" w:rsidP="000B20B5">
            <w:pPr>
              <w:pStyle w:val="Tablenumbers"/>
              <w:rPr>
                <w:rStyle w:val="Strong"/>
              </w:rPr>
            </w:pPr>
            <w:r w:rsidRPr="000B20B5">
              <w:rPr>
                <w:rStyle w:val="Strong"/>
              </w:rPr>
              <w:t>$98.</w:t>
            </w:r>
            <w:r w:rsidR="00290B74" w:rsidRPr="000B20B5">
              <w:rPr>
                <w:rStyle w:val="Strong"/>
              </w:rPr>
              <w:t>8</w:t>
            </w:r>
          </w:p>
        </w:tc>
      </w:tr>
    </w:tbl>
    <w:p w14:paraId="3922C035" w14:textId="77777777" w:rsidR="005B0986" w:rsidRPr="005B0986" w:rsidRDefault="005B0986" w:rsidP="005B0986"/>
    <w:p w14:paraId="457C6538" w14:textId="77777777" w:rsidR="005B0986" w:rsidRPr="00160B30" w:rsidRDefault="005B0986" w:rsidP="00215B30">
      <w:pPr>
        <w:rPr>
          <w:rFonts w:eastAsiaTheme="minorEastAsia" w:cstheme="minorBidi"/>
          <w:lang w:eastAsia="en-US"/>
        </w:rPr>
      </w:pPr>
    </w:p>
    <w:p w14:paraId="4FBEC74E" w14:textId="77777777" w:rsidR="00F83E44" w:rsidRPr="00CD6245" w:rsidRDefault="00E5638A" w:rsidP="00F83E44">
      <w:pPr>
        <w:pStyle w:val="Heading1NoNum"/>
      </w:pPr>
      <w:bookmarkStart w:id="194" w:name="_Toc52187740"/>
      <w:bookmarkStart w:id="195" w:name="_Toc366693329"/>
      <w:bookmarkEnd w:id="189"/>
      <w:r>
        <w:lastRenderedPageBreak/>
        <w:t>P</w:t>
      </w:r>
      <w:r w:rsidR="006103E6">
        <w:t>rocurement profiles</w:t>
      </w:r>
      <w:bookmarkEnd w:id="194"/>
    </w:p>
    <w:p w14:paraId="64F0DBEB" w14:textId="74839B99" w:rsidR="00C9672A" w:rsidRDefault="006103E6" w:rsidP="00855D1E">
      <w:pPr>
        <w:pStyle w:val="Normal1"/>
      </w:pPr>
      <w:bookmarkStart w:id="196" w:name="_Toc366693335"/>
      <w:r>
        <w:t xml:space="preserve">This section </w:t>
      </w:r>
      <w:r w:rsidR="009A7861">
        <w:t>summarises the procurement profile and performance of the 1</w:t>
      </w:r>
      <w:r w:rsidR="000D2C84">
        <w:t>0</w:t>
      </w:r>
      <w:r w:rsidR="009A7861">
        <w:t xml:space="preserve"> organisations</w:t>
      </w:r>
      <w:r w:rsidR="00160B30">
        <w:t xml:space="preserve"> that report</w:t>
      </w:r>
      <w:r w:rsidR="00676BCF">
        <w:t>ed</w:t>
      </w:r>
      <w:r w:rsidR="00160B30">
        <w:t xml:space="preserve"> directly to the VGPB at the end of </w:t>
      </w:r>
      <w:r w:rsidR="00676BCF">
        <w:t>this</w:t>
      </w:r>
      <w:r w:rsidR="00160B30">
        <w:t xml:space="preserve"> financial year</w:t>
      </w:r>
      <w:r w:rsidR="009A7861">
        <w:t>.</w:t>
      </w:r>
    </w:p>
    <w:p w14:paraId="16A2605E" w14:textId="030D9386" w:rsidR="00E9246E" w:rsidRDefault="00E9246E" w:rsidP="00855D1E">
      <w:pPr>
        <w:pStyle w:val="Normal1"/>
      </w:pPr>
      <w:r>
        <w:t>Organisations generally operate a centrali</w:t>
      </w:r>
      <w:r w:rsidR="00B11F5E">
        <w:t>s</w:t>
      </w:r>
      <w:r>
        <w:t xml:space="preserve">ed or decentralised procurement model, or somewhere in between. In a centre-led model, procurement is typically managed by a single dedicated part of the business. In a decentralised model, procurement is carried out across the business. </w:t>
      </w:r>
      <w:r w:rsidR="00E35897">
        <w:t>For some organisations, high</w:t>
      </w:r>
      <w:r w:rsidR="00D54D1C">
        <w:t>-</w:t>
      </w:r>
      <w:r w:rsidR="00E35897">
        <w:t>value procurements may be carried out centrally, while lower value transactional procurements are carried out by the relevant business unit.</w:t>
      </w:r>
    </w:p>
    <w:p w14:paraId="3AE124AB" w14:textId="259318FD" w:rsidR="00CB20D6" w:rsidRDefault="00CB20D6" w:rsidP="00855D1E">
      <w:pPr>
        <w:pStyle w:val="Normal1"/>
      </w:pPr>
      <w:r>
        <w:t xml:space="preserve">In 2019–20, some </w:t>
      </w:r>
      <w:r w:rsidR="00BA71D0">
        <w:t>organisations</w:t>
      </w:r>
      <w:r>
        <w:t xml:space="preserve"> needed to </w:t>
      </w:r>
      <w:r w:rsidR="00BA71D0">
        <w:t>re-</w:t>
      </w:r>
      <w:r>
        <w:t xml:space="preserve">prioritise </w:t>
      </w:r>
      <w:r w:rsidR="00BA71D0">
        <w:t xml:space="preserve">their procurement activities to </w:t>
      </w:r>
      <w:r w:rsidR="00BA71D0" w:rsidRPr="00BA71D0">
        <w:t>respon</w:t>
      </w:r>
      <w:r w:rsidR="00BA71D0">
        <w:t xml:space="preserve">d to </w:t>
      </w:r>
      <w:r>
        <w:t>COVID-19 and bushfires</w:t>
      </w:r>
      <w:r w:rsidR="00BA71D0">
        <w:t xml:space="preserve">. This led to delays in </w:t>
      </w:r>
      <w:r w:rsidR="00BA71D0" w:rsidRPr="00BA71D0">
        <w:t>planned procurements</w:t>
      </w:r>
      <w:r w:rsidR="00BA71D0">
        <w:t xml:space="preserve"> and affected saving opportunities. </w:t>
      </w:r>
      <w:r w:rsidR="00BB63F0">
        <w:t>This is reflected in</w:t>
      </w:r>
      <w:r w:rsidR="00BA71D0">
        <w:t xml:space="preserve"> </w:t>
      </w:r>
      <w:r w:rsidR="00BB63F0">
        <w:t>their performance measure results.</w:t>
      </w:r>
    </w:p>
    <w:p w14:paraId="1732590F" w14:textId="3A31EB9C" w:rsidR="00043C3A" w:rsidRDefault="00043C3A" w:rsidP="00855D1E">
      <w:pPr>
        <w:pStyle w:val="Normal1"/>
      </w:pPr>
      <w:r>
        <w:t>Note that:</w:t>
      </w:r>
    </w:p>
    <w:p w14:paraId="14824BEE" w14:textId="77777777" w:rsidR="00043C3A" w:rsidRDefault="00043C3A" w:rsidP="00043C3A">
      <w:pPr>
        <w:pStyle w:val="Bullet1"/>
      </w:pPr>
      <w:r w:rsidRPr="003F151D">
        <w:t xml:space="preserve">The </w:t>
      </w:r>
      <w:r>
        <w:t>accountable officer (AO), chief procurement officer (</w:t>
      </w:r>
      <w:r w:rsidRPr="003F151D">
        <w:t>CPO</w:t>
      </w:r>
      <w:r>
        <w:t>)</w:t>
      </w:r>
      <w:r w:rsidRPr="003F151D">
        <w:t xml:space="preserve"> and i</w:t>
      </w:r>
      <w:r>
        <w:t>nternal procurement unit c</w:t>
      </w:r>
      <w:r w:rsidRPr="003F151D">
        <w:t>hair</w:t>
      </w:r>
      <w:r>
        <w:t xml:space="preserve"> (IPU Chair)</w:t>
      </w:r>
      <w:r w:rsidRPr="003F151D">
        <w:t xml:space="preserve"> listed under each organisation </w:t>
      </w:r>
      <w:r>
        <w:t xml:space="preserve">is the person </w:t>
      </w:r>
      <w:r w:rsidRPr="003F151D">
        <w:t xml:space="preserve">in </w:t>
      </w:r>
      <w:r>
        <w:t>that</w:t>
      </w:r>
      <w:r w:rsidRPr="003F151D">
        <w:t xml:space="preserve"> role </w:t>
      </w:r>
      <w:proofErr w:type="gramStart"/>
      <w:r w:rsidRPr="003F151D">
        <w:t>at</w:t>
      </w:r>
      <w:proofErr w:type="gramEnd"/>
      <w:r w:rsidRPr="003F151D">
        <w:t xml:space="preserve"> 30</w:t>
      </w:r>
      <w:r w:rsidRPr="00A64F1B">
        <w:t> </w:t>
      </w:r>
      <w:r w:rsidRPr="003F151D">
        <w:t>June</w:t>
      </w:r>
      <w:r w:rsidRPr="00A64F1B">
        <w:t> </w:t>
      </w:r>
      <w:r>
        <w:t>2020</w:t>
      </w:r>
      <w:r w:rsidRPr="003F151D">
        <w:t>.</w:t>
      </w:r>
    </w:p>
    <w:p w14:paraId="193D6A94" w14:textId="251CEE35" w:rsidR="002A4EB4" w:rsidRDefault="002A4EB4" w:rsidP="00043C3A">
      <w:pPr>
        <w:pStyle w:val="Bullet1"/>
      </w:pPr>
      <w:bookmarkStart w:id="197" w:name="_Toc12719259"/>
      <w:bookmarkStart w:id="198" w:name="_Hlk18937279"/>
      <w:bookmarkStart w:id="199" w:name="_Toc515391645"/>
      <w:bookmarkEnd w:id="195"/>
      <w:bookmarkEnd w:id="196"/>
      <w:r>
        <w:t xml:space="preserve">Managed spend was introduced this year as a new performance measure, so comparisons with previous years are </w:t>
      </w:r>
      <w:r w:rsidR="00676BCF">
        <w:t>un</w:t>
      </w:r>
      <w:r>
        <w:t>available.</w:t>
      </w:r>
    </w:p>
    <w:p w14:paraId="4ADC9A84" w14:textId="61EB3FAB" w:rsidR="00043C3A" w:rsidRDefault="00043C3A" w:rsidP="00043C3A">
      <w:pPr>
        <w:pStyle w:val="Bullet1"/>
      </w:pPr>
      <w:r>
        <w:t>The complexity profile graphic is based on number of contract approvals, not value.</w:t>
      </w:r>
    </w:p>
    <w:p w14:paraId="00423582" w14:textId="64F75B46" w:rsidR="000D2C84" w:rsidRDefault="000D2C84" w:rsidP="00BA71D0">
      <w:pPr>
        <w:pStyle w:val="Normal1"/>
        <w:rPr>
          <w:color w:val="4D4D4D"/>
          <w:kern w:val="28"/>
          <w:sz w:val="30"/>
          <w:lang w:eastAsia="en-US"/>
        </w:rPr>
      </w:pPr>
      <w:r>
        <w:br w:type="page"/>
      </w:r>
    </w:p>
    <w:p w14:paraId="6AD86E28" w14:textId="77777777" w:rsidR="00105E1D" w:rsidRDefault="00105E1D" w:rsidP="00105E1D">
      <w:pPr>
        <w:pStyle w:val="Heading2NoNum"/>
      </w:pPr>
      <w:bookmarkStart w:id="200" w:name="_Toc52187741"/>
      <w:bookmarkEnd w:id="197"/>
      <w:bookmarkEnd w:id="198"/>
      <w:bookmarkEnd w:id="199"/>
      <w:r w:rsidRPr="0033073D">
        <w:lastRenderedPageBreak/>
        <w:t>Department of Education and Training</w:t>
      </w:r>
      <w:bookmarkEnd w:id="200"/>
    </w:p>
    <w:p w14:paraId="2539E48B" w14:textId="18F669DA" w:rsidR="00D515FA" w:rsidRDefault="00D515FA" w:rsidP="00D515FA">
      <w:pPr>
        <w:pStyle w:val="Normal1"/>
        <w:rPr>
          <w:b/>
        </w:rPr>
      </w:pPr>
      <w:r w:rsidRPr="00D515FA">
        <w:t xml:space="preserve">The Department of Education and Training’s (DET) vision is that together we give every Victorian the best learning and development experience, making our state a smarter, fairer and more prosperous place. To achieve this vision, </w:t>
      </w:r>
      <w:r>
        <w:t>DET</w:t>
      </w:r>
      <w:r w:rsidRPr="00D515FA">
        <w:t xml:space="preserve"> delivers and regulates statewide learning and development services to more than one-third of all Victorians, across the early childhood education, school education and training and skills sectors.</w:t>
      </w:r>
    </w:p>
    <w:p w14:paraId="023AFE39" w14:textId="018D4FC5" w:rsidR="00105E1D" w:rsidRDefault="00105E1D" w:rsidP="00D515FA">
      <w:pPr>
        <w:pStyle w:val="Heading3NoNum"/>
      </w:pPr>
      <w:r>
        <w:rPr>
          <w:lang w:val="en-US"/>
        </w:rPr>
        <w:t>P</w:t>
      </w:r>
      <w:r w:rsidRPr="003D19A4">
        <w:rPr>
          <w:lang w:val="en-US"/>
        </w:rPr>
        <w:t xml:space="preserve">rocurement profile </w:t>
      </w:r>
      <w:r>
        <w:rPr>
          <w:lang w:val="en-US"/>
        </w:rPr>
        <w:t>in 2019–20</w:t>
      </w:r>
    </w:p>
    <w:tbl>
      <w:tblPr>
        <w:tblStyle w:val="TableGrid"/>
        <w:tblW w:w="8040" w:type="dxa"/>
        <w:tblInd w:w="846" w:type="dxa"/>
        <w:tblLook w:val="04A0" w:firstRow="1" w:lastRow="0" w:firstColumn="1" w:lastColumn="0" w:noHBand="0" w:noVBand="1"/>
      </w:tblPr>
      <w:tblGrid>
        <w:gridCol w:w="4854"/>
        <w:gridCol w:w="3186"/>
      </w:tblGrid>
      <w:tr w:rsidR="00105E1D" w:rsidRPr="00CC1F98" w14:paraId="6BAD9D13" w14:textId="77777777" w:rsidTr="0096155E">
        <w:trPr>
          <w:trHeight w:val="1125"/>
        </w:trPr>
        <w:tc>
          <w:tcPr>
            <w:tcW w:w="5004" w:type="dxa"/>
          </w:tcPr>
          <w:p w14:paraId="2C377F50" w14:textId="37052FD8" w:rsidR="00105E1D" w:rsidRPr="00EC2636" w:rsidRDefault="00105E1D" w:rsidP="0096155E">
            <w:pPr>
              <w:pStyle w:val="Normal1"/>
              <w:ind w:left="0"/>
              <w:rPr>
                <w:sz w:val="24"/>
                <w:szCs w:val="24"/>
              </w:rPr>
            </w:pPr>
            <w:r w:rsidRPr="00EC2636">
              <w:rPr>
                <w:sz w:val="24"/>
                <w:szCs w:val="24"/>
              </w:rPr>
              <w:t>16</w:t>
            </w:r>
            <w:r>
              <w:rPr>
                <w:sz w:val="24"/>
                <w:szCs w:val="24"/>
              </w:rPr>
              <w:t>3</w:t>
            </w:r>
            <w:r w:rsidRPr="00EC2636">
              <w:rPr>
                <w:sz w:val="24"/>
                <w:szCs w:val="24"/>
              </w:rPr>
              <w:t xml:space="preserve"> one-off supply contract approvals valued at $1</w:t>
            </w:r>
            <w:r>
              <w:rPr>
                <w:sz w:val="24"/>
                <w:szCs w:val="24"/>
              </w:rPr>
              <w:t>89</w:t>
            </w:r>
            <w:r w:rsidR="00DA1E79">
              <w:rPr>
                <w:sz w:val="24"/>
                <w:szCs w:val="24"/>
              </w:rPr>
              <w:t>.4</w:t>
            </w:r>
            <w:r w:rsidRPr="00EC2636">
              <w:rPr>
                <w:sz w:val="24"/>
                <w:szCs w:val="24"/>
              </w:rPr>
              <w:t xml:space="preserve"> million*</w:t>
            </w:r>
          </w:p>
        </w:tc>
        <w:tc>
          <w:tcPr>
            <w:tcW w:w="3036" w:type="dxa"/>
            <w:vMerge w:val="restart"/>
          </w:tcPr>
          <w:p w14:paraId="681BF927" w14:textId="77777777" w:rsidR="00105E1D" w:rsidRPr="00D962DA" w:rsidRDefault="00105E1D" w:rsidP="0096155E">
            <w:pPr>
              <w:pStyle w:val="Normal1"/>
              <w:ind w:left="0"/>
              <w:rPr>
                <w:b/>
              </w:rPr>
            </w:pPr>
            <w:r w:rsidRPr="00D962DA">
              <w:rPr>
                <w:b/>
              </w:rPr>
              <w:t>Top categories of spend</w:t>
            </w:r>
          </w:p>
          <w:p w14:paraId="14323CE4" w14:textId="77777777" w:rsidR="00105E1D" w:rsidRPr="004C7894" w:rsidRDefault="00105E1D" w:rsidP="005C4F4A">
            <w:pPr>
              <w:pStyle w:val="tasblebullet"/>
            </w:pPr>
            <w:r w:rsidRPr="004C7894">
              <w:t>Professional services</w:t>
            </w:r>
          </w:p>
          <w:p w14:paraId="6656A3A2" w14:textId="77777777" w:rsidR="00105E1D" w:rsidRPr="004C7894" w:rsidRDefault="00105E1D" w:rsidP="005C4F4A">
            <w:pPr>
              <w:pStyle w:val="tasblebullet"/>
            </w:pPr>
            <w:r w:rsidRPr="004C7894">
              <w:t>Contract recruitment</w:t>
            </w:r>
          </w:p>
          <w:p w14:paraId="24D06F85" w14:textId="77777777" w:rsidR="00105E1D" w:rsidRPr="004C7894" w:rsidRDefault="00105E1D" w:rsidP="005C4F4A">
            <w:pPr>
              <w:pStyle w:val="tasblebullet"/>
            </w:pPr>
            <w:r w:rsidRPr="004C7894">
              <w:t>IT services</w:t>
            </w:r>
          </w:p>
          <w:p w14:paraId="6B5309D8" w14:textId="77777777" w:rsidR="00105E1D" w:rsidRPr="00BD351B" w:rsidRDefault="00105E1D" w:rsidP="005C4F4A">
            <w:pPr>
              <w:pStyle w:val="tasblebullet"/>
            </w:pPr>
            <w:r w:rsidRPr="004C7894">
              <w:t>Education and training services</w:t>
            </w:r>
            <w:r>
              <w:rPr>
                <w:sz w:val="40"/>
                <w:szCs w:val="40"/>
              </w:rPr>
              <w:t xml:space="preserve"> </w:t>
            </w:r>
          </w:p>
        </w:tc>
      </w:tr>
      <w:tr w:rsidR="00105E1D" w:rsidRPr="00CC1F98" w14:paraId="5B4185F3" w14:textId="77777777" w:rsidTr="0096155E">
        <w:trPr>
          <w:trHeight w:val="1125"/>
        </w:trPr>
        <w:tc>
          <w:tcPr>
            <w:tcW w:w="5004" w:type="dxa"/>
            <w:vMerge w:val="restart"/>
          </w:tcPr>
          <w:p w14:paraId="7E6FDA9C" w14:textId="47F9EE9D" w:rsidR="00105E1D" w:rsidRPr="00EC2636" w:rsidRDefault="0033073D" w:rsidP="0096155E">
            <w:pPr>
              <w:pStyle w:val="Normal1"/>
              <w:ind w:left="0"/>
              <w:rPr>
                <w:sz w:val="24"/>
                <w:szCs w:val="24"/>
              </w:rPr>
            </w:pPr>
            <w:r w:rsidRPr="00D95FFD">
              <w:rPr>
                <w:sz w:val="24"/>
                <w:szCs w:val="24"/>
              </w:rPr>
              <w:t xml:space="preserve">276 critical incident </w:t>
            </w:r>
            <w:r w:rsidR="002A4EB4">
              <w:rPr>
                <w:sz w:val="24"/>
                <w:szCs w:val="24"/>
              </w:rPr>
              <w:t>contract approvals</w:t>
            </w:r>
            <w:r w:rsidR="002A4EB4" w:rsidRPr="00D95FFD">
              <w:rPr>
                <w:sz w:val="24"/>
                <w:szCs w:val="24"/>
              </w:rPr>
              <w:t xml:space="preserve"> </w:t>
            </w:r>
            <w:r w:rsidRPr="00D95FFD">
              <w:rPr>
                <w:sz w:val="24"/>
                <w:szCs w:val="24"/>
              </w:rPr>
              <w:t>valued at $30.1 million*</w:t>
            </w:r>
          </w:p>
        </w:tc>
        <w:tc>
          <w:tcPr>
            <w:tcW w:w="3036" w:type="dxa"/>
            <w:vMerge/>
          </w:tcPr>
          <w:p w14:paraId="2422847D" w14:textId="77777777" w:rsidR="00105E1D" w:rsidRPr="00D962DA" w:rsidRDefault="00105E1D" w:rsidP="0096155E">
            <w:pPr>
              <w:pStyle w:val="Normal1"/>
              <w:ind w:left="0"/>
              <w:rPr>
                <w:b/>
              </w:rPr>
            </w:pPr>
          </w:p>
        </w:tc>
      </w:tr>
      <w:tr w:rsidR="00105E1D" w:rsidRPr="00CC1F98" w14:paraId="60512100" w14:textId="77777777" w:rsidTr="0096155E">
        <w:trPr>
          <w:trHeight w:val="542"/>
        </w:trPr>
        <w:tc>
          <w:tcPr>
            <w:tcW w:w="5004" w:type="dxa"/>
            <w:vMerge/>
          </w:tcPr>
          <w:p w14:paraId="7BBCB39C" w14:textId="77777777" w:rsidR="00105E1D" w:rsidRDefault="00105E1D" w:rsidP="0096155E">
            <w:pPr>
              <w:pStyle w:val="Normal1"/>
              <w:ind w:left="0"/>
              <w:rPr>
                <w:sz w:val="28"/>
                <w:szCs w:val="28"/>
              </w:rPr>
            </w:pPr>
          </w:p>
        </w:tc>
        <w:tc>
          <w:tcPr>
            <w:tcW w:w="3036" w:type="dxa"/>
            <w:vMerge w:val="restart"/>
          </w:tcPr>
          <w:p w14:paraId="11435CF0" w14:textId="77777777" w:rsidR="00105E1D" w:rsidRPr="00D962DA" w:rsidRDefault="00105E1D" w:rsidP="0096155E">
            <w:pPr>
              <w:pStyle w:val="Normal1"/>
              <w:ind w:left="0"/>
              <w:rPr>
                <w:b/>
              </w:rPr>
            </w:pPr>
            <w:r w:rsidRPr="008866E8">
              <w:rPr>
                <w:b/>
                <w:bCs/>
                <w:sz w:val="24"/>
                <w:szCs w:val="24"/>
                <w:lang w:val="en-US"/>
              </w:rPr>
              <w:t>Centre-led</w:t>
            </w:r>
            <w:r w:rsidRPr="008866E8">
              <w:rPr>
                <w:sz w:val="24"/>
                <w:szCs w:val="24"/>
                <w:lang w:val="en-US"/>
              </w:rPr>
              <w:t xml:space="preserve"> procurement function</w:t>
            </w:r>
          </w:p>
        </w:tc>
      </w:tr>
      <w:tr w:rsidR="00105E1D" w:rsidRPr="00CC1F98" w14:paraId="7CEB3C82" w14:textId="77777777" w:rsidTr="0096155E">
        <w:trPr>
          <w:trHeight w:val="442"/>
        </w:trPr>
        <w:tc>
          <w:tcPr>
            <w:tcW w:w="5004" w:type="dxa"/>
            <w:vMerge w:val="restart"/>
            <w:tcBorders>
              <w:bottom w:val="single" w:sz="4" w:space="0" w:color="auto"/>
            </w:tcBorders>
          </w:tcPr>
          <w:p w14:paraId="236BF796" w14:textId="77777777" w:rsidR="00105E1D" w:rsidRDefault="00105E1D" w:rsidP="0096155E">
            <w:pPr>
              <w:pStyle w:val="Normal1"/>
              <w:ind w:left="0"/>
              <w:rPr>
                <w:b/>
                <w:lang w:val="en-US"/>
              </w:rPr>
            </w:pPr>
            <w:r w:rsidRPr="0051388F">
              <w:rPr>
                <w:b/>
                <w:lang w:val="en-US"/>
              </w:rPr>
              <w:t>Highlights</w:t>
            </w:r>
          </w:p>
          <w:p w14:paraId="0005EF44" w14:textId="12FFA71F" w:rsidR="00105E1D" w:rsidRPr="004C7894" w:rsidRDefault="00105E1D" w:rsidP="005C4F4A">
            <w:pPr>
              <w:pStyle w:val="tasblebullet"/>
              <w:rPr>
                <w:sz w:val="21"/>
                <w:szCs w:val="21"/>
              </w:rPr>
            </w:pPr>
            <w:r>
              <w:rPr>
                <w:sz w:val="21"/>
                <w:szCs w:val="21"/>
              </w:rPr>
              <w:t xml:space="preserve">Rolled out </w:t>
            </w:r>
            <w:r w:rsidRPr="005B57D8">
              <w:t>a government election commitment to provide free pads and tampons in all Victorian public schools</w:t>
            </w:r>
            <w:r>
              <w:t xml:space="preserve"> and negotiated major savings through direct negotiation with suppliers.</w:t>
            </w:r>
          </w:p>
          <w:p w14:paraId="7EB8B8E6" w14:textId="77777777" w:rsidR="00105E1D" w:rsidRPr="00C94A95" w:rsidRDefault="00105E1D" w:rsidP="005C4F4A">
            <w:pPr>
              <w:pStyle w:val="tasblebullet"/>
              <w:rPr>
                <w:sz w:val="24"/>
                <w:szCs w:val="24"/>
              </w:rPr>
            </w:pPr>
            <w:r>
              <w:t>D</w:t>
            </w:r>
            <w:r w:rsidRPr="009D42CE">
              <w:t>evelop</w:t>
            </w:r>
            <w:r>
              <w:t>ed and rolled out</w:t>
            </w:r>
            <w:r w:rsidRPr="009D42CE">
              <w:t xml:space="preserve"> online training modules covering the five stages of the procurement process, to align with face-to-face training offerings</w:t>
            </w:r>
            <w:r>
              <w:t>.</w:t>
            </w:r>
          </w:p>
          <w:p w14:paraId="0F9A4E6A" w14:textId="77777777" w:rsidR="00105E1D" w:rsidRPr="00D515FA" w:rsidRDefault="00105E1D" w:rsidP="005C4F4A">
            <w:pPr>
              <w:pStyle w:val="tasblebullet"/>
            </w:pPr>
            <w:r w:rsidRPr="00D515FA">
              <w:t xml:space="preserve">Completed actions </w:t>
            </w:r>
            <w:r>
              <w:t>from an internal audit of contract management.</w:t>
            </w:r>
          </w:p>
          <w:p w14:paraId="2DBEE757" w14:textId="77777777" w:rsidR="00105E1D" w:rsidRPr="00BD351B" w:rsidRDefault="00105E1D" w:rsidP="005C4F4A">
            <w:pPr>
              <w:pStyle w:val="tasblebullet"/>
              <w:rPr>
                <w:sz w:val="28"/>
                <w:szCs w:val="28"/>
              </w:rPr>
            </w:pPr>
            <w:r>
              <w:t xml:space="preserve">Continued to build </w:t>
            </w:r>
            <w:r w:rsidRPr="009D42CE">
              <w:t xml:space="preserve">negotiation capabilities in </w:t>
            </w:r>
            <w:r>
              <w:t xml:space="preserve">corporate </w:t>
            </w:r>
            <w:r w:rsidRPr="009D42CE">
              <w:t>procurement staff</w:t>
            </w:r>
            <w:r>
              <w:t>.</w:t>
            </w:r>
          </w:p>
        </w:tc>
        <w:tc>
          <w:tcPr>
            <w:tcW w:w="3036" w:type="dxa"/>
            <w:vMerge/>
            <w:tcBorders>
              <w:bottom w:val="single" w:sz="4" w:space="0" w:color="auto"/>
            </w:tcBorders>
          </w:tcPr>
          <w:p w14:paraId="0FBDBC3D" w14:textId="77777777" w:rsidR="00105E1D" w:rsidRPr="00D962DA" w:rsidRDefault="00105E1D" w:rsidP="0096155E">
            <w:pPr>
              <w:pStyle w:val="Normal1"/>
              <w:ind w:left="0"/>
              <w:rPr>
                <w:b/>
              </w:rPr>
            </w:pPr>
          </w:p>
        </w:tc>
      </w:tr>
      <w:tr w:rsidR="00105E1D" w:rsidRPr="00FE7167" w14:paraId="3AA71E10" w14:textId="77777777" w:rsidTr="0096155E">
        <w:trPr>
          <w:trHeight w:val="3483"/>
        </w:trPr>
        <w:tc>
          <w:tcPr>
            <w:tcW w:w="5004" w:type="dxa"/>
            <w:vMerge/>
          </w:tcPr>
          <w:p w14:paraId="677D4AF3" w14:textId="77777777" w:rsidR="00105E1D" w:rsidRPr="00767D60" w:rsidRDefault="00105E1D" w:rsidP="0096155E">
            <w:pPr>
              <w:pStyle w:val="Normal1"/>
              <w:ind w:left="0"/>
            </w:pPr>
          </w:p>
        </w:tc>
        <w:tc>
          <w:tcPr>
            <w:tcW w:w="3036" w:type="dxa"/>
          </w:tcPr>
          <w:p w14:paraId="4CB132B4" w14:textId="74BB156B" w:rsidR="00105E1D" w:rsidRPr="008866E8" w:rsidRDefault="00105E1D" w:rsidP="0096155E">
            <w:pPr>
              <w:pStyle w:val="Normal1"/>
              <w:ind w:left="0"/>
              <w:rPr>
                <w:sz w:val="24"/>
                <w:szCs w:val="24"/>
                <w:lang w:val="en-US"/>
              </w:rPr>
            </w:pPr>
            <w:r w:rsidRPr="008866E8">
              <w:rPr>
                <w:b/>
                <w:bCs/>
                <w:sz w:val="24"/>
                <w:szCs w:val="24"/>
                <w:lang w:val="en-US"/>
              </w:rPr>
              <w:t>Focused</w:t>
            </w:r>
            <w:r w:rsidRPr="008866E8">
              <w:rPr>
                <w:sz w:val="24"/>
                <w:szCs w:val="24"/>
                <w:lang w:val="en-US"/>
              </w:rPr>
              <w:t xml:space="preserve"> and </w:t>
            </w:r>
            <w:r w:rsidRPr="008866E8">
              <w:rPr>
                <w:b/>
                <w:bCs/>
                <w:sz w:val="24"/>
                <w:szCs w:val="24"/>
                <w:lang w:val="en-US"/>
              </w:rPr>
              <w:t xml:space="preserve">leveraged </w:t>
            </w:r>
            <w:r w:rsidRPr="008866E8">
              <w:rPr>
                <w:sz w:val="24"/>
                <w:szCs w:val="24"/>
                <w:lang w:val="en-US"/>
              </w:rPr>
              <w:t>complexity profile</w:t>
            </w:r>
          </w:p>
          <w:p w14:paraId="44F308D8" w14:textId="77777777" w:rsidR="00105E1D" w:rsidRPr="00FE7167" w:rsidRDefault="00105E1D" w:rsidP="0096155E">
            <w:pPr>
              <w:pStyle w:val="Normal1"/>
              <w:ind w:left="0"/>
              <w:rPr>
                <w:lang w:val="en-US"/>
              </w:rPr>
            </w:pPr>
            <w:r>
              <w:rPr>
                <w:noProof/>
              </w:rPr>
              <w:drawing>
                <wp:inline distT="0" distB="0" distL="0" distR="0" wp14:anchorId="7561D8D1" wp14:editId="14948B30">
                  <wp:extent cx="1884680" cy="2247900"/>
                  <wp:effectExtent l="0" t="0" r="1270" b="0"/>
                  <wp:docPr id="2" name="Chart 2">
                    <a:extLst xmlns:a="http://schemas.openxmlformats.org/drawingml/2006/main">
                      <a:ext uri="{FF2B5EF4-FFF2-40B4-BE49-F238E27FC236}">
                        <a16:creationId xmlns:a16="http://schemas.microsoft.com/office/drawing/2014/main" id="{D40A30CF-1CA8-4C13-BFC8-5FA984B1B1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105E1D" w:rsidRPr="00CC1F98" w14:paraId="134C3B47" w14:textId="77777777" w:rsidTr="0096155E">
        <w:tc>
          <w:tcPr>
            <w:tcW w:w="8040" w:type="dxa"/>
            <w:gridSpan w:val="2"/>
          </w:tcPr>
          <w:p w14:paraId="38390C40" w14:textId="77777777" w:rsidR="00105E1D" w:rsidRPr="00E30A54" w:rsidRDefault="00105E1D" w:rsidP="0096155E">
            <w:pPr>
              <w:pStyle w:val="Normal1"/>
              <w:ind w:left="0"/>
              <w:rPr>
                <w:lang w:val="en-US"/>
              </w:rPr>
            </w:pPr>
            <w:r w:rsidRPr="00DE4083">
              <w:rPr>
                <w:b/>
                <w:bCs/>
                <w:lang w:val="en-US"/>
              </w:rPr>
              <w:t>AO:</w:t>
            </w:r>
            <w:r w:rsidRPr="00C000FB">
              <w:rPr>
                <w:lang w:val="en-US"/>
              </w:rPr>
              <w:t xml:space="preserve"> </w:t>
            </w:r>
            <w:r w:rsidRPr="00E30A54">
              <w:rPr>
                <w:lang w:val="en-US"/>
              </w:rPr>
              <w:t>Jenny Atta, Secretary, Office of Secretary</w:t>
            </w:r>
          </w:p>
          <w:p w14:paraId="7F97D52D" w14:textId="77777777" w:rsidR="00105E1D" w:rsidRPr="00E30A54" w:rsidRDefault="00105E1D" w:rsidP="0096155E">
            <w:pPr>
              <w:pStyle w:val="Normal1"/>
              <w:ind w:left="0"/>
              <w:rPr>
                <w:lang w:val="en-US"/>
              </w:rPr>
            </w:pPr>
            <w:r>
              <w:rPr>
                <w:b/>
                <w:bCs/>
                <w:lang w:val="en-US"/>
              </w:rPr>
              <w:t>CPO:</w:t>
            </w:r>
            <w:r w:rsidRPr="00E30A54">
              <w:rPr>
                <w:lang w:val="en-US"/>
              </w:rPr>
              <w:t xml:space="preserve"> Tarkan Koman, </w:t>
            </w:r>
            <w:r>
              <w:rPr>
                <w:lang w:val="en-US"/>
              </w:rPr>
              <w:t>CPO</w:t>
            </w:r>
            <w:r w:rsidRPr="00E30A54">
              <w:rPr>
                <w:lang w:val="en-US"/>
              </w:rPr>
              <w:t>, Procurement Division</w:t>
            </w:r>
          </w:p>
          <w:p w14:paraId="7EDA2F0E" w14:textId="77777777" w:rsidR="00105E1D" w:rsidRPr="00EC599C" w:rsidRDefault="00105E1D" w:rsidP="0096155E">
            <w:pPr>
              <w:spacing w:before="40" w:after="40"/>
              <w:rPr>
                <w:rFonts w:asciiTheme="majorHAnsi" w:hAnsiTheme="majorHAnsi" w:cstheme="majorHAnsi"/>
                <w:b/>
                <w:sz w:val="20"/>
                <w:szCs w:val="20"/>
              </w:rPr>
            </w:pPr>
            <w:r w:rsidRPr="00DE4083">
              <w:rPr>
                <w:rFonts w:ascii="Calibri" w:hAnsi="Calibri" w:cs="Calibri"/>
                <w:b/>
                <w:bCs/>
                <w:sz w:val="22"/>
                <w:szCs w:val="22"/>
                <w:lang w:val="en-US"/>
              </w:rPr>
              <w:t>IPU Chair:</w:t>
            </w:r>
            <w:r w:rsidRPr="00E30A54">
              <w:rPr>
                <w:rFonts w:ascii="Calibri" w:hAnsi="Calibri" w:cs="Calibri"/>
                <w:sz w:val="22"/>
                <w:szCs w:val="22"/>
                <w:lang w:val="en-US"/>
              </w:rPr>
              <w:t xml:space="preserve"> Kate Rattigan, Deputy Secretary, People and Executive Services </w:t>
            </w:r>
          </w:p>
        </w:tc>
      </w:tr>
    </w:tbl>
    <w:p w14:paraId="6E8ACAC3" w14:textId="77777777" w:rsidR="00105E1D" w:rsidRDefault="00105E1D" w:rsidP="00105E1D">
      <w:pPr>
        <w:pStyle w:val="Normal1"/>
      </w:pPr>
      <w:r>
        <w:t>* Contracts valued at $100 000 or more.</w:t>
      </w:r>
    </w:p>
    <w:p w14:paraId="5D918EFA" w14:textId="77777777" w:rsidR="00105E1D" w:rsidRDefault="00105E1D" w:rsidP="00105E1D">
      <w:pPr>
        <w:pStyle w:val="Heading3NoNum"/>
        <w:rPr>
          <w:lang w:val="en-US"/>
        </w:rPr>
      </w:pPr>
      <w:r>
        <w:br w:type="page"/>
      </w:r>
      <w:r w:rsidRPr="001A01CD">
        <w:rPr>
          <w:lang w:val="en-US"/>
        </w:rPr>
        <w:lastRenderedPageBreak/>
        <w:t>Performance</w:t>
      </w:r>
    </w:p>
    <w:p w14:paraId="3426FBA4" w14:textId="60A6A4FF" w:rsidR="00105E1D" w:rsidRPr="002D21BA" w:rsidRDefault="00105E1D" w:rsidP="00105E1D">
      <w:pPr>
        <w:pStyle w:val="Normal1"/>
        <w:rPr>
          <w:lang w:val="en-US" w:eastAsia="en-US"/>
        </w:rPr>
      </w:pPr>
      <w:r w:rsidRPr="002D21BA">
        <w:rPr>
          <w:lang w:val="en-US" w:eastAsia="en-US"/>
        </w:rPr>
        <w:t xml:space="preserve">DET's </w:t>
      </w:r>
      <w:r w:rsidR="00D515FA">
        <w:rPr>
          <w:lang w:val="en-US" w:eastAsia="en-US"/>
        </w:rPr>
        <w:t>P</w:t>
      </w:r>
      <w:r w:rsidR="004D2268" w:rsidRPr="002D21BA">
        <w:rPr>
          <w:lang w:val="en-US" w:eastAsia="en-US"/>
        </w:rPr>
        <w:t>rocurement</w:t>
      </w:r>
      <w:r w:rsidRPr="002D21BA">
        <w:rPr>
          <w:lang w:val="en-US" w:eastAsia="en-US"/>
        </w:rPr>
        <w:t xml:space="preserve"> </w:t>
      </w:r>
      <w:r w:rsidR="00D515FA">
        <w:rPr>
          <w:lang w:val="en-US" w:eastAsia="en-US"/>
        </w:rPr>
        <w:t>D</w:t>
      </w:r>
      <w:r w:rsidRPr="002D21BA">
        <w:rPr>
          <w:lang w:val="en-US" w:eastAsia="en-US"/>
        </w:rPr>
        <w:t>ivision has continued to make incremental improvements to well-established processes</w:t>
      </w:r>
      <w:r>
        <w:rPr>
          <w:lang w:val="en-US" w:eastAsia="en-US"/>
        </w:rPr>
        <w:t>. T</w:t>
      </w:r>
      <w:r w:rsidRPr="002D21BA">
        <w:rPr>
          <w:lang w:val="en-US" w:eastAsia="en-US"/>
        </w:rPr>
        <w:t xml:space="preserve">his is </w:t>
      </w:r>
      <w:r>
        <w:rPr>
          <w:lang w:val="en-US" w:eastAsia="en-US"/>
        </w:rPr>
        <w:t xml:space="preserve">particularly </w:t>
      </w:r>
      <w:r w:rsidRPr="002D21BA">
        <w:rPr>
          <w:lang w:val="en-US" w:eastAsia="en-US"/>
        </w:rPr>
        <w:t xml:space="preserve">visible </w:t>
      </w:r>
      <w:r>
        <w:rPr>
          <w:lang w:val="en-US" w:eastAsia="en-US"/>
        </w:rPr>
        <w:t>in the</w:t>
      </w:r>
      <w:r w:rsidRPr="002D21BA">
        <w:rPr>
          <w:lang w:val="en-US" w:eastAsia="en-US"/>
        </w:rPr>
        <w:t xml:space="preserve"> increased value </w:t>
      </w:r>
      <w:r>
        <w:rPr>
          <w:lang w:val="en-US" w:eastAsia="en-US"/>
        </w:rPr>
        <w:t xml:space="preserve">created </w:t>
      </w:r>
      <w:r w:rsidRPr="002D21BA">
        <w:rPr>
          <w:lang w:val="en-US" w:eastAsia="en-US"/>
        </w:rPr>
        <w:t>from overseen procurement activities.</w:t>
      </w:r>
    </w:p>
    <w:p w14:paraId="56908EDB" w14:textId="6D2F0D9A" w:rsidR="00105E1D" w:rsidRPr="00CD6245" w:rsidRDefault="00105E1D" w:rsidP="00105E1D">
      <w:pPr>
        <w:pStyle w:val="Normal1"/>
      </w:pPr>
      <w:r>
        <w:fldChar w:fldCharType="begin"/>
      </w:r>
      <w:r>
        <w:instrText xml:space="preserve"> REF _Ref16587759 \h </w:instrText>
      </w:r>
      <w:r>
        <w:fldChar w:fldCharType="separate"/>
      </w:r>
      <w:r w:rsidR="00152B74" w:rsidRPr="00CD6245">
        <w:t xml:space="preserve">Table </w:t>
      </w:r>
      <w:r w:rsidR="00152B74">
        <w:rPr>
          <w:noProof/>
        </w:rPr>
        <w:t>26</w:t>
      </w:r>
      <w:r>
        <w:fldChar w:fldCharType="end"/>
      </w:r>
      <w:r>
        <w:t xml:space="preserve"> sets out DET’s performance in 2019–20, compared with the two previous years.</w:t>
      </w:r>
    </w:p>
    <w:p w14:paraId="02C53DF4" w14:textId="700C6E04" w:rsidR="00105E1D" w:rsidRDefault="00105E1D" w:rsidP="00105E1D">
      <w:pPr>
        <w:pStyle w:val="Caption"/>
      </w:pPr>
      <w:bookmarkStart w:id="201" w:name="_Ref16587759"/>
      <w:bookmarkStart w:id="202" w:name="_Toc12717990"/>
      <w:bookmarkStart w:id="203" w:name="_Ref16587748"/>
      <w:bookmarkStart w:id="204" w:name="_Toc17130213"/>
      <w:bookmarkStart w:id="205" w:name="_Toc48837159"/>
      <w:bookmarkStart w:id="206" w:name="_Toc49185549"/>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26</w:t>
      </w:r>
      <w:r>
        <w:rPr>
          <w:noProof/>
        </w:rPr>
        <w:fldChar w:fldCharType="end"/>
      </w:r>
      <w:bookmarkEnd w:id="201"/>
      <w:r w:rsidRPr="00CD6245">
        <w:t xml:space="preserve">: </w:t>
      </w:r>
      <w:r>
        <w:t>DE</w:t>
      </w:r>
      <w:r w:rsidRPr="008D0B37">
        <w:t>T</w:t>
      </w:r>
      <w:r w:rsidRPr="00CD6245">
        <w:t xml:space="preserve"> performance in </w:t>
      </w:r>
      <w:r>
        <w:t>2019–20</w:t>
      </w:r>
      <w:bookmarkEnd w:id="202"/>
      <w:bookmarkEnd w:id="203"/>
      <w:bookmarkEnd w:id="204"/>
      <w:bookmarkEnd w:id="205"/>
      <w:bookmarkEnd w:id="206"/>
    </w:p>
    <w:tbl>
      <w:tblPr>
        <w:tblStyle w:val="TableGrid1"/>
        <w:tblW w:w="9214" w:type="dxa"/>
        <w:tblInd w:w="704" w:type="dxa"/>
        <w:tblLook w:val="04A0" w:firstRow="1" w:lastRow="0" w:firstColumn="1" w:lastColumn="0" w:noHBand="0" w:noVBand="1"/>
      </w:tblPr>
      <w:tblGrid>
        <w:gridCol w:w="3119"/>
        <w:gridCol w:w="2693"/>
        <w:gridCol w:w="1134"/>
        <w:gridCol w:w="1134"/>
        <w:gridCol w:w="1134"/>
      </w:tblGrid>
      <w:tr w:rsidR="00105E1D" w:rsidRPr="004E7CDE" w14:paraId="5F655F2C" w14:textId="77777777" w:rsidTr="00DA1E79">
        <w:tc>
          <w:tcPr>
            <w:tcW w:w="5812" w:type="dxa"/>
            <w:gridSpan w:val="2"/>
            <w:vMerge w:val="restart"/>
            <w:shd w:val="clear" w:color="auto" w:fill="FFFFFF" w:themeFill="background1"/>
          </w:tcPr>
          <w:p w14:paraId="63E67DAC" w14:textId="77777777" w:rsidR="00105E1D" w:rsidRPr="00DA1E79" w:rsidRDefault="00105E1D" w:rsidP="000B20B5">
            <w:pPr>
              <w:pStyle w:val="TableHeader"/>
            </w:pPr>
            <w:r w:rsidRPr="00DA1E79">
              <w:t>Performance measure</w:t>
            </w:r>
          </w:p>
        </w:tc>
        <w:tc>
          <w:tcPr>
            <w:tcW w:w="1134" w:type="dxa"/>
            <w:shd w:val="clear" w:color="auto" w:fill="FFFFFF" w:themeFill="background1"/>
          </w:tcPr>
          <w:p w14:paraId="1C702CFE" w14:textId="77777777" w:rsidR="00105E1D" w:rsidRPr="00DA1E79" w:rsidRDefault="00105E1D" w:rsidP="000B20B5">
            <w:pPr>
              <w:pStyle w:val="TableHeader"/>
            </w:pPr>
            <w:r w:rsidRPr="00DA1E79">
              <w:t xml:space="preserve">2017–18 </w:t>
            </w:r>
          </w:p>
        </w:tc>
        <w:tc>
          <w:tcPr>
            <w:tcW w:w="1134" w:type="dxa"/>
            <w:shd w:val="clear" w:color="auto" w:fill="FFFFFF" w:themeFill="background1"/>
          </w:tcPr>
          <w:p w14:paraId="167AE045" w14:textId="77777777" w:rsidR="00105E1D" w:rsidRPr="00DA1E79" w:rsidRDefault="00105E1D" w:rsidP="000B20B5">
            <w:pPr>
              <w:pStyle w:val="TableHeader"/>
            </w:pPr>
            <w:r w:rsidRPr="00DA1E79">
              <w:t>2018–19</w:t>
            </w:r>
          </w:p>
        </w:tc>
        <w:tc>
          <w:tcPr>
            <w:tcW w:w="1134" w:type="dxa"/>
            <w:shd w:val="clear" w:color="auto" w:fill="FFFFFF" w:themeFill="background1"/>
          </w:tcPr>
          <w:p w14:paraId="02FA824C" w14:textId="77777777" w:rsidR="00105E1D" w:rsidRPr="00DA1E79" w:rsidRDefault="00105E1D" w:rsidP="000B20B5">
            <w:pPr>
              <w:pStyle w:val="TableHeader"/>
            </w:pPr>
            <w:r w:rsidRPr="00DA1E79">
              <w:t>2019–20</w:t>
            </w:r>
          </w:p>
        </w:tc>
      </w:tr>
      <w:tr w:rsidR="00105E1D" w:rsidRPr="006C6059" w14:paraId="27205F73" w14:textId="77777777" w:rsidTr="00DA1E79">
        <w:tc>
          <w:tcPr>
            <w:tcW w:w="5812" w:type="dxa"/>
            <w:gridSpan w:val="2"/>
            <w:vMerge/>
            <w:shd w:val="clear" w:color="auto" w:fill="FFFFFF" w:themeFill="background1"/>
          </w:tcPr>
          <w:p w14:paraId="4F00F25A" w14:textId="77777777" w:rsidR="00105E1D" w:rsidRPr="00DA1E79" w:rsidRDefault="00105E1D" w:rsidP="00DA1E79">
            <w:pPr>
              <w:keepNext/>
              <w:spacing w:before="40" w:after="40"/>
              <w:rPr>
                <w:rFonts w:ascii="Calibri" w:eastAsia="Times New Roman" w:hAnsi="Calibri" w:cs="Calibri"/>
                <w:b/>
                <w:color w:val="1F497D"/>
                <w:sz w:val="20"/>
                <w:szCs w:val="20"/>
                <w:lang w:eastAsia="en-AU"/>
              </w:rPr>
            </w:pPr>
          </w:p>
        </w:tc>
        <w:tc>
          <w:tcPr>
            <w:tcW w:w="3402" w:type="dxa"/>
            <w:gridSpan w:val="3"/>
            <w:shd w:val="clear" w:color="auto" w:fill="FFFFFF" w:themeFill="background1"/>
          </w:tcPr>
          <w:p w14:paraId="725E4F98" w14:textId="77777777" w:rsidR="00105E1D" w:rsidRPr="00DA1E79" w:rsidRDefault="00105E1D" w:rsidP="005C4F4A">
            <w:pPr>
              <w:pStyle w:val="TableHeader"/>
            </w:pPr>
            <w:r w:rsidRPr="00DA1E79">
              <w:t>(%)</w:t>
            </w:r>
          </w:p>
        </w:tc>
      </w:tr>
      <w:tr w:rsidR="00105E1D" w:rsidRPr="000B20B5" w14:paraId="488F5C0A" w14:textId="77777777" w:rsidTr="0096155E">
        <w:tc>
          <w:tcPr>
            <w:tcW w:w="5812" w:type="dxa"/>
            <w:gridSpan w:val="2"/>
          </w:tcPr>
          <w:p w14:paraId="1FFA818A" w14:textId="77777777" w:rsidR="00105E1D" w:rsidRPr="000B20B5" w:rsidRDefault="00105E1D" w:rsidP="000B20B5">
            <w:pPr>
              <w:pStyle w:val="TableText"/>
              <w:rPr>
                <w:rStyle w:val="Strong"/>
              </w:rPr>
            </w:pPr>
            <w:r w:rsidRPr="000B20B5">
              <w:rPr>
                <w:rStyle w:val="Strong"/>
              </w:rPr>
              <w:t>Value created from department procurement activity</w:t>
            </w:r>
          </w:p>
        </w:tc>
        <w:tc>
          <w:tcPr>
            <w:tcW w:w="1134" w:type="dxa"/>
          </w:tcPr>
          <w:p w14:paraId="68485EE7" w14:textId="77777777" w:rsidR="00105E1D" w:rsidRPr="000B20B5" w:rsidRDefault="00105E1D" w:rsidP="000B20B5">
            <w:pPr>
              <w:pStyle w:val="TableText"/>
              <w:rPr>
                <w:rStyle w:val="Strong"/>
              </w:rPr>
            </w:pPr>
            <w:r w:rsidRPr="000B20B5">
              <w:rPr>
                <w:rStyle w:val="Strong"/>
              </w:rPr>
              <w:t>3.5</w:t>
            </w:r>
          </w:p>
        </w:tc>
        <w:tc>
          <w:tcPr>
            <w:tcW w:w="1134" w:type="dxa"/>
          </w:tcPr>
          <w:p w14:paraId="3B6DA09B" w14:textId="77777777" w:rsidR="00105E1D" w:rsidRPr="000B20B5" w:rsidRDefault="00105E1D" w:rsidP="000B20B5">
            <w:pPr>
              <w:pStyle w:val="TableText"/>
              <w:rPr>
                <w:rStyle w:val="Strong"/>
              </w:rPr>
            </w:pPr>
            <w:r w:rsidRPr="000B20B5">
              <w:rPr>
                <w:rStyle w:val="Strong"/>
              </w:rPr>
              <w:t>4.2</w:t>
            </w:r>
          </w:p>
        </w:tc>
        <w:tc>
          <w:tcPr>
            <w:tcW w:w="1134" w:type="dxa"/>
          </w:tcPr>
          <w:p w14:paraId="77B7283B" w14:textId="77777777" w:rsidR="00105E1D" w:rsidRPr="000B20B5" w:rsidRDefault="00105E1D" w:rsidP="000B20B5">
            <w:pPr>
              <w:pStyle w:val="TableText"/>
              <w:rPr>
                <w:rStyle w:val="Strong"/>
              </w:rPr>
            </w:pPr>
            <w:r w:rsidRPr="000B20B5">
              <w:rPr>
                <w:rStyle w:val="Strong"/>
              </w:rPr>
              <w:t>8.9</w:t>
            </w:r>
          </w:p>
        </w:tc>
      </w:tr>
      <w:tr w:rsidR="00105E1D" w:rsidRPr="005F2BDA" w14:paraId="046DFFFA" w14:textId="77777777" w:rsidTr="00436BFB">
        <w:trPr>
          <w:trHeight w:val="725"/>
        </w:trPr>
        <w:tc>
          <w:tcPr>
            <w:tcW w:w="9214" w:type="dxa"/>
            <w:gridSpan w:val="5"/>
          </w:tcPr>
          <w:p w14:paraId="3ECAC82B" w14:textId="05F86DF0" w:rsidR="00105E1D" w:rsidRPr="005F2BDA" w:rsidRDefault="00105E1D" w:rsidP="000B20B5">
            <w:pPr>
              <w:pStyle w:val="TableText"/>
            </w:pPr>
            <w:r w:rsidRPr="004120D3">
              <w:t>Staff awareness of budget pressures and greater acknowledg</w:t>
            </w:r>
            <w:r w:rsidR="00FE3B3A">
              <w:t>ment</w:t>
            </w:r>
            <w:r w:rsidRPr="004120D3">
              <w:t xml:space="preserve"> of negotiation's place in</w:t>
            </w:r>
            <w:r>
              <w:t xml:space="preserve"> the</w:t>
            </w:r>
            <w:r w:rsidRPr="004120D3">
              <w:t xml:space="preserve"> procurement process has </w:t>
            </w:r>
            <w:r>
              <w:t xml:space="preserve">improved this score. Savings targets have now been included in </w:t>
            </w:r>
            <w:r w:rsidRPr="00F5603E">
              <w:t>professional development goals for specialist procurement staff</w:t>
            </w:r>
            <w:r>
              <w:t xml:space="preserve">. </w:t>
            </w:r>
            <w:r w:rsidR="001D2ACD">
              <w:t xml:space="preserve">DET </w:t>
            </w:r>
            <w:r>
              <w:t xml:space="preserve">also had one project that made significant savings, which increased the overall score this year. </w:t>
            </w:r>
          </w:p>
        </w:tc>
      </w:tr>
      <w:tr w:rsidR="00105E1D" w:rsidRPr="000B20B5" w14:paraId="60DAA69F" w14:textId="77777777" w:rsidTr="00436BFB">
        <w:tc>
          <w:tcPr>
            <w:tcW w:w="5812" w:type="dxa"/>
            <w:gridSpan w:val="2"/>
          </w:tcPr>
          <w:p w14:paraId="0B01D1F2" w14:textId="77777777" w:rsidR="00105E1D" w:rsidRPr="000B20B5" w:rsidRDefault="00105E1D" w:rsidP="000B20B5">
            <w:pPr>
              <w:pStyle w:val="TableText"/>
              <w:rPr>
                <w:rStyle w:val="Strong"/>
              </w:rPr>
            </w:pPr>
            <w:r w:rsidRPr="000B20B5">
              <w:rPr>
                <w:rStyle w:val="Strong"/>
              </w:rPr>
              <w:t>Managed spend</w:t>
            </w:r>
          </w:p>
        </w:tc>
        <w:tc>
          <w:tcPr>
            <w:tcW w:w="1134" w:type="dxa"/>
            <w:shd w:val="clear" w:color="auto" w:fill="FFFFFF" w:themeFill="background1"/>
          </w:tcPr>
          <w:p w14:paraId="5FDFE643" w14:textId="19F001E6" w:rsidR="00105E1D" w:rsidRPr="000B20B5" w:rsidRDefault="001D2ACD" w:rsidP="000B20B5">
            <w:pPr>
              <w:pStyle w:val="TableText"/>
              <w:rPr>
                <w:rStyle w:val="Strong"/>
              </w:rPr>
            </w:pPr>
            <w:r w:rsidRPr="000B20B5">
              <w:rPr>
                <w:rStyle w:val="Strong"/>
              </w:rPr>
              <w:t>n/a</w:t>
            </w:r>
          </w:p>
        </w:tc>
        <w:tc>
          <w:tcPr>
            <w:tcW w:w="1134" w:type="dxa"/>
            <w:shd w:val="clear" w:color="auto" w:fill="FFFFFF" w:themeFill="background1"/>
          </w:tcPr>
          <w:p w14:paraId="2B917EC5" w14:textId="2919FE8F" w:rsidR="00105E1D" w:rsidRPr="000B20B5" w:rsidRDefault="001D2ACD" w:rsidP="000B20B5">
            <w:pPr>
              <w:pStyle w:val="TableText"/>
              <w:rPr>
                <w:rStyle w:val="Strong"/>
              </w:rPr>
            </w:pPr>
            <w:r w:rsidRPr="000B20B5">
              <w:rPr>
                <w:rStyle w:val="Strong"/>
              </w:rPr>
              <w:t>n/a</w:t>
            </w:r>
          </w:p>
        </w:tc>
        <w:tc>
          <w:tcPr>
            <w:tcW w:w="1134" w:type="dxa"/>
          </w:tcPr>
          <w:p w14:paraId="07B90AA9" w14:textId="77777777" w:rsidR="00105E1D" w:rsidRPr="000B20B5" w:rsidRDefault="00105E1D" w:rsidP="000B20B5">
            <w:pPr>
              <w:pStyle w:val="TableText"/>
              <w:rPr>
                <w:rStyle w:val="Strong"/>
              </w:rPr>
            </w:pPr>
            <w:r w:rsidRPr="000B20B5">
              <w:rPr>
                <w:rStyle w:val="Strong"/>
              </w:rPr>
              <w:t>49.7</w:t>
            </w:r>
          </w:p>
        </w:tc>
      </w:tr>
      <w:tr w:rsidR="00105E1D" w:rsidRPr="00505378" w14:paraId="3D505E3F" w14:textId="77777777" w:rsidTr="0096155E">
        <w:tc>
          <w:tcPr>
            <w:tcW w:w="9214" w:type="dxa"/>
            <w:gridSpan w:val="5"/>
            <w:shd w:val="clear" w:color="auto" w:fill="auto"/>
          </w:tcPr>
          <w:p w14:paraId="3F370890" w14:textId="03C89F99" w:rsidR="00105E1D" w:rsidRPr="00C000FB" w:rsidRDefault="00105E1D" w:rsidP="000B20B5">
            <w:pPr>
              <w:pStyle w:val="TableText"/>
            </w:pPr>
            <w:r>
              <w:t xml:space="preserve">The </w:t>
            </w:r>
            <w:r w:rsidR="00D515FA" w:rsidRPr="00090574">
              <w:t>Procurement Division</w:t>
            </w:r>
            <w:r w:rsidR="00D515FA">
              <w:t xml:space="preserve"> </w:t>
            </w:r>
            <w:r>
              <w:t>managed 50</w:t>
            </w:r>
            <w:r w:rsidR="00783F0A">
              <w:t xml:space="preserve"> per cent</w:t>
            </w:r>
            <w:r>
              <w:t xml:space="preserve"> of spend, which aligns with </w:t>
            </w:r>
            <w:r w:rsidR="001D2ACD">
              <w:t>DET’</w:t>
            </w:r>
            <w:r>
              <w:t xml:space="preserve">s </w:t>
            </w:r>
            <w:r w:rsidRPr="00090574">
              <w:t>centre-led procurement model</w:t>
            </w:r>
            <w:r>
              <w:t xml:space="preserve">. </w:t>
            </w:r>
          </w:p>
        </w:tc>
      </w:tr>
      <w:tr w:rsidR="00105E1D" w:rsidRPr="000B20B5" w14:paraId="20A69502" w14:textId="77777777" w:rsidTr="0096155E">
        <w:tc>
          <w:tcPr>
            <w:tcW w:w="5812" w:type="dxa"/>
            <w:gridSpan w:val="2"/>
          </w:tcPr>
          <w:p w14:paraId="4F3C59DF" w14:textId="77777777" w:rsidR="00105E1D" w:rsidRPr="000B20B5" w:rsidRDefault="00105E1D" w:rsidP="000B20B5">
            <w:pPr>
              <w:pStyle w:val="TableText"/>
              <w:rPr>
                <w:rStyle w:val="Strong"/>
              </w:rPr>
            </w:pPr>
            <w:r w:rsidRPr="000B20B5">
              <w:rPr>
                <w:rStyle w:val="Strong"/>
              </w:rPr>
              <w:t>Increase in procurement capability</w:t>
            </w:r>
          </w:p>
        </w:tc>
        <w:tc>
          <w:tcPr>
            <w:tcW w:w="1134" w:type="dxa"/>
          </w:tcPr>
          <w:p w14:paraId="5950A8AF" w14:textId="77777777" w:rsidR="00105E1D" w:rsidRPr="000B20B5" w:rsidRDefault="00105E1D" w:rsidP="000B20B5">
            <w:pPr>
              <w:pStyle w:val="TableText"/>
              <w:rPr>
                <w:rStyle w:val="Strong"/>
              </w:rPr>
            </w:pPr>
            <w:r w:rsidRPr="000B20B5">
              <w:rPr>
                <w:rStyle w:val="Strong"/>
              </w:rPr>
              <w:t>2.4</w:t>
            </w:r>
          </w:p>
        </w:tc>
        <w:tc>
          <w:tcPr>
            <w:tcW w:w="1134" w:type="dxa"/>
          </w:tcPr>
          <w:p w14:paraId="06643844" w14:textId="77777777" w:rsidR="00105E1D" w:rsidRPr="000B20B5" w:rsidRDefault="00105E1D" w:rsidP="000B20B5">
            <w:pPr>
              <w:pStyle w:val="TableText"/>
              <w:rPr>
                <w:rStyle w:val="Strong"/>
              </w:rPr>
            </w:pPr>
            <w:r w:rsidRPr="000B20B5">
              <w:rPr>
                <w:rStyle w:val="Strong"/>
              </w:rPr>
              <w:t>1.5</w:t>
            </w:r>
          </w:p>
        </w:tc>
        <w:tc>
          <w:tcPr>
            <w:tcW w:w="1134" w:type="dxa"/>
          </w:tcPr>
          <w:p w14:paraId="4DCF3164" w14:textId="77777777" w:rsidR="00105E1D" w:rsidRPr="000B20B5" w:rsidRDefault="00105E1D" w:rsidP="000B20B5">
            <w:pPr>
              <w:pStyle w:val="TableText"/>
              <w:rPr>
                <w:rStyle w:val="Strong"/>
              </w:rPr>
            </w:pPr>
            <w:r w:rsidRPr="000B20B5">
              <w:rPr>
                <w:rStyle w:val="Strong"/>
              </w:rPr>
              <w:t>2.3</w:t>
            </w:r>
          </w:p>
        </w:tc>
      </w:tr>
      <w:tr w:rsidR="00105E1D" w:rsidRPr="00505378" w14:paraId="293A3B4D" w14:textId="77777777" w:rsidTr="0096155E">
        <w:tc>
          <w:tcPr>
            <w:tcW w:w="9214" w:type="dxa"/>
            <w:gridSpan w:val="5"/>
          </w:tcPr>
          <w:p w14:paraId="31AF32BD" w14:textId="57168526" w:rsidR="00105E1D" w:rsidRPr="00C000FB" w:rsidRDefault="001D2ACD" w:rsidP="000B20B5">
            <w:pPr>
              <w:pStyle w:val="TableText"/>
            </w:pPr>
            <w:r>
              <w:t>DET</w:t>
            </w:r>
            <w:r w:rsidR="00105E1D">
              <w:t xml:space="preserve"> increased procurement capability from 132 to 135 out of 150. DET uses a </w:t>
            </w:r>
            <w:r w:rsidR="00105E1D" w:rsidRPr="004120D3">
              <w:t>70</w:t>
            </w:r>
            <w:r w:rsidR="00105E1D">
              <w:t>:</w:t>
            </w:r>
            <w:r w:rsidR="00105E1D" w:rsidRPr="004120D3">
              <w:t>20</w:t>
            </w:r>
            <w:r w:rsidR="00105E1D">
              <w:t>:</w:t>
            </w:r>
            <w:r w:rsidR="00105E1D" w:rsidRPr="004120D3">
              <w:t>10 model</w:t>
            </w:r>
            <w:r w:rsidR="00105E1D">
              <w:t xml:space="preserve"> to support and guide </w:t>
            </w:r>
            <w:r w:rsidR="00105E1D" w:rsidRPr="004120D3">
              <w:t>team members to run sourcing events end</w:t>
            </w:r>
            <w:r w:rsidR="00783F0A">
              <w:t>-</w:t>
            </w:r>
            <w:r w:rsidR="00105E1D" w:rsidRPr="004120D3">
              <w:t>to</w:t>
            </w:r>
            <w:r w:rsidR="00783F0A">
              <w:t>-</w:t>
            </w:r>
            <w:r w:rsidR="00105E1D" w:rsidRPr="004120D3">
              <w:t xml:space="preserve">end, with peer reviews and support from </w:t>
            </w:r>
            <w:r w:rsidR="00105E1D">
              <w:t>m</w:t>
            </w:r>
            <w:r w:rsidR="00105E1D" w:rsidRPr="004120D3">
              <w:t>anagers, complemented by formal training to improve capability. Procurement has</w:t>
            </w:r>
            <w:r w:rsidR="00105E1D">
              <w:t xml:space="preserve"> been more proactive at engaging with stakeholders, leading to this year-on-year increase in capability. </w:t>
            </w:r>
          </w:p>
        </w:tc>
      </w:tr>
      <w:tr w:rsidR="00105E1D" w:rsidRPr="000B20B5" w14:paraId="71276C91" w14:textId="77777777" w:rsidTr="0096155E">
        <w:tc>
          <w:tcPr>
            <w:tcW w:w="3119" w:type="dxa"/>
            <w:vMerge w:val="restart"/>
          </w:tcPr>
          <w:p w14:paraId="3A01CD1E" w14:textId="77777777" w:rsidR="00105E1D" w:rsidRPr="000B20B5" w:rsidRDefault="00105E1D" w:rsidP="000B20B5">
            <w:pPr>
              <w:pStyle w:val="TableText"/>
              <w:rPr>
                <w:rStyle w:val="Strong"/>
              </w:rPr>
            </w:pPr>
            <w:r w:rsidRPr="000B20B5">
              <w:rPr>
                <w:rStyle w:val="Strong"/>
              </w:rPr>
              <w:t>Supplier satisfaction assessment</w:t>
            </w:r>
          </w:p>
        </w:tc>
        <w:tc>
          <w:tcPr>
            <w:tcW w:w="2693" w:type="dxa"/>
          </w:tcPr>
          <w:p w14:paraId="7226D10F" w14:textId="77777777" w:rsidR="00105E1D" w:rsidRPr="000B20B5" w:rsidRDefault="00105E1D" w:rsidP="000B20B5">
            <w:pPr>
              <w:pStyle w:val="TableText"/>
              <w:rPr>
                <w:rStyle w:val="Strong"/>
              </w:rPr>
            </w:pPr>
            <w:r w:rsidRPr="000B20B5">
              <w:rPr>
                <w:rStyle w:val="Strong"/>
              </w:rPr>
              <w:t>Successful satisfied</w:t>
            </w:r>
          </w:p>
        </w:tc>
        <w:tc>
          <w:tcPr>
            <w:tcW w:w="1134" w:type="dxa"/>
          </w:tcPr>
          <w:p w14:paraId="562F327F" w14:textId="77777777" w:rsidR="00105E1D" w:rsidRPr="000B20B5" w:rsidRDefault="00105E1D" w:rsidP="000B20B5">
            <w:pPr>
              <w:pStyle w:val="TableText"/>
              <w:rPr>
                <w:rStyle w:val="Strong"/>
              </w:rPr>
            </w:pPr>
            <w:r w:rsidRPr="000B20B5">
              <w:rPr>
                <w:rStyle w:val="Strong"/>
              </w:rPr>
              <w:t>70</w:t>
            </w:r>
          </w:p>
        </w:tc>
        <w:tc>
          <w:tcPr>
            <w:tcW w:w="1134" w:type="dxa"/>
          </w:tcPr>
          <w:p w14:paraId="6BB10A53" w14:textId="77777777" w:rsidR="00105E1D" w:rsidRPr="000B20B5" w:rsidRDefault="00105E1D" w:rsidP="000B20B5">
            <w:pPr>
              <w:pStyle w:val="TableText"/>
              <w:rPr>
                <w:rStyle w:val="Strong"/>
              </w:rPr>
            </w:pPr>
            <w:r w:rsidRPr="000B20B5">
              <w:rPr>
                <w:rStyle w:val="Strong"/>
              </w:rPr>
              <w:t>80</w:t>
            </w:r>
          </w:p>
        </w:tc>
        <w:tc>
          <w:tcPr>
            <w:tcW w:w="1134" w:type="dxa"/>
          </w:tcPr>
          <w:p w14:paraId="01E60A57" w14:textId="77777777" w:rsidR="00105E1D" w:rsidRPr="000B20B5" w:rsidRDefault="00105E1D" w:rsidP="000B20B5">
            <w:pPr>
              <w:pStyle w:val="TableText"/>
              <w:rPr>
                <w:rStyle w:val="Strong"/>
              </w:rPr>
            </w:pPr>
            <w:r w:rsidRPr="000B20B5">
              <w:rPr>
                <w:rStyle w:val="Strong"/>
              </w:rPr>
              <w:t>79</w:t>
            </w:r>
          </w:p>
        </w:tc>
      </w:tr>
      <w:tr w:rsidR="00105E1D" w:rsidRPr="000B20B5" w14:paraId="5BF27A9E" w14:textId="77777777" w:rsidTr="0096155E">
        <w:tc>
          <w:tcPr>
            <w:tcW w:w="3119" w:type="dxa"/>
            <w:vMerge/>
          </w:tcPr>
          <w:p w14:paraId="107CE307" w14:textId="77777777" w:rsidR="00105E1D" w:rsidRPr="000B20B5" w:rsidRDefault="00105E1D" w:rsidP="000B20B5">
            <w:pPr>
              <w:pStyle w:val="TableText"/>
              <w:rPr>
                <w:rStyle w:val="Strong"/>
              </w:rPr>
            </w:pPr>
          </w:p>
        </w:tc>
        <w:tc>
          <w:tcPr>
            <w:tcW w:w="2693" w:type="dxa"/>
          </w:tcPr>
          <w:p w14:paraId="221E40C3" w14:textId="77777777" w:rsidR="00105E1D" w:rsidRPr="000B20B5" w:rsidRDefault="00105E1D" w:rsidP="000B20B5">
            <w:pPr>
              <w:pStyle w:val="TableText"/>
              <w:rPr>
                <w:rStyle w:val="Strong"/>
              </w:rPr>
            </w:pPr>
            <w:r w:rsidRPr="000B20B5">
              <w:rPr>
                <w:rStyle w:val="Strong"/>
              </w:rPr>
              <w:t>Unsuccessful satisfied</w:t>
            </w:r>
          </w:p>
        </w:tc>
        <w:tc>
          <w:tcPr>
            <w:tcW w:w="1134" w:type="dxa"/>
          </w:tcPr>
          <w:p w14:paraId="7DA73BAC" w14:textId="77777777" w:rsidR="00105E1D" w:rsidRPr="000B20B5" w:rsidRDefault="00105E1D" w:rsidP="000B20B5">
            <w:pPr>
              <w:pStyle w:val="TableText"/>
              <w:rPr>
                <w:rStyle w:val="Strong"/>
              </w:rPr>
            </w:pPr>
            <w:r w:rsidRPr="000B20B5">
              <w:rPr>
                <w:rStyle w:val="Strong"/>
              </w:rPr>
              <w:t>31</w:t>
            </w:r>
          </w:p>
        </w:tc>
        <w:tc>
          <w:tcPr>
            <w:tcW w:w="1134" w:type="dxa"/>
          </w:tcPr>
          <w:p w14:paraId="13A93697" w14:textId="77777777" w:rsidR="00105E1D" w:rsidRPr="000B20B5" w:rsidRDefault="00105E1D" w:rsidP="000B20B5">
            <w:pPr>
              <w:pStyle w:val="TableText"/>
              <w:rPr>
                <w:rStyle w:val="Strong"/>
              </w:rPr>
            </w:pPr>
            <w:r w:rsidRPr="000B20B5">
              <w:rPr>
                <w:rStyle w:val="Strong"/>
              </w:rPr>
              <w:t>25</w:t>
            </w:r>
          </w:p>
        </w:tc>
        <w:tc>
          <w:tcPr>
            <w:tcW w:w="1134" w:type="dxa"/>
          </w:tcPr>
          <w:p w14:paraId="5D9FF122" w14:textId="77777777" w:rsidR="00105E1D" w:rsidRPr="000B20B5" w:rsidRDefault="00105E1D" w:rsidP="000B20B5">
            <w:pPr>
              <w:pStyle w:val="TableText"/>
              <w:rPr>
                <w:rStyle w:val="Strong"/>
              </w:rPr>
            </w:pPr>
            <w:r w:rsidRPr="000B20B5">
              <w:rPr>
                <w:rStyle w:val="Strong"/>
              </w:rPr>
              <w:t>52</w:t>
            </w:r>
          </w:p>
        </w:tc>
      </w:tr>
      <w:tr w:rsidR="00105E1D" w:rsidRPr="00505378" w14:paraId="22E95C05" w14:textId="77777777" w:rsidTr="0096155E">
        <w:tc>
          <w:tcPr>
            <w:tcW w:w="9214" w:type="dxa"/>
            <w:gridSpan w:val="5"/>
          </w:tcPr>
          <w:p w14:paraId="0056F45E" w14:textId="74FA05B5" w:rsidR="00105E1D" w:rsidRPr="00C000FB" w:rsidRDefault="00105E1D" w:rsidP="000B20B5">
            <w:pPr>
              <w:pStyle w:val="TableText"/>
            </w:pPr>
            <w:r w:rsidRPr="00E2046F">
              <w:t>Satisfaction of unsuccessful suppliers rose by nearly 27</w:t>
            </w:r>
            <w:r w:rsidR="00783F0A">
              <w:t xml:space="preserve"> per cent</w:t>
            </w:r>
            <w:r w:rsidRPr="00E2046F">
              <w:t>. Factors affecting</w:t>
            </w:r>
            <w:r>
              <w:t xml:space="preserve"> this</w:t>
            </w:r>
            <w:r w:rsidRPr="00E2046F">
              <w:t xml:space="preserve"> improvement include consistent offers to provide feedback and </w:t>
            </w:r>
            <w:r>
              <w:t xml:space="preserve">continually refining market </w:t>
            </w:r>
            <w:r w:rsidRPr="00E2046F">
              <w:t>approach documents</w:t>
            </w:r>
            <w:r>
              <w:t xml:space="preserve"> based on feedback to make them clearer. DET had a 20</w:t>
            </w:r>
            <w:r w:rsidR="00783F0A">
              <w:t xml:space="preserve"> per cent</w:t>
            </w:r>
            <w:r>
              <w:t xml:space="preserve"> response rate. One area for improvement is giving the market better timeline estimates</w:t>
            </w:r>
            <w:r w:rsidR="001D2ACD">
              <w:t xml:space="preserve">. </w:t>
            </w:r>
          </w:p>
        </w:tc>
      </w:tr>
      <w:tr w:rsidR="00105E1D" w:rsidRPr="000B20B5" w14:paraId="1EA181D5" w14:textId="77777777" w:rsidTr="0096155E">
        <w:tc>
          <w:tcPr>
            <w:tcW w:w="5812" w:type="dxa"/>
            <w:gridSpan w:val="2"/>
          </w:tcPr>
          <w:p w14:paraId="6D7BE330" w14:textId="77777777" w:rsidR="00105E1D" w:rsidRPr="000B20B5" w:rsidRDefault="00105E1D" w:rsidP="000B20B5">
            <w:pPr>
              <w:pStyle w:val="TableText"/>
              <w:rPr>
                <w:rStyle w:val="Strong"/>
              </w:rPr>
            </w:pPr>
            <w:r w:rsidRPr="000B20B5">
              <w:rPr>
                <w:rStyle w:val="Strong"/>
              </w:rPr>
              <w:t>Planned procurement activity as a % of actual procurement activity</w:t>
            </w:r>
          </w:p>
        </w:tc>
        <w:tc>
          <w:tcPr>
            <w:tcW w:w="1134" w:type="dxa"/>
          </w:tcPr>
          <w:p w14:paraId="44C79994" w14:textId="77777777" w:rsidR="00105E1D" w:rsidRPr="000B20B5" w:rsidRDefault="00105E1D" w:rsidP="000B20B5">
            <w:pPr>
              <w:pStyle w:val="TableText"/>
              <w:rPr>
                <w:rStyle w:val="Strong"/>
              </w:rPr>
            </w:pPr>
            <w:r w:rsidRPr="000B20B5">
              <w:rPr>
                <w:rStyle w:val="Strong"/>
              </w:rPr>
              <w:t>52.8</w:t>
            </w:r>
          </w:p>
        </w:tc>
        <w:tc>
          <w:tcPr>
            <w:tcW w:w="1134" w:type="dxa"/>
          </w:tcPr>
          <w:p w14:paraId="385BA765" w14:textId="77777777" w:rsidR="00105E1D" w:rsidRPr="000B20B5" w:rsidRDefault="00105E1D" w:rsidP="000B20B5">
            <w:pPr>
              <w:pStyle w:val="TableText"/>
              <w:rPr>
                <w:rStyle w:val="Strong"/>
              </w:rPr>
            </w:pPr>
            <w:r w:rsidRPr="000B20B5">
              <w:rPr>
                <w:rStyle w:val="Strong"/>
              </w:rPr>
              <w:t>51.9</w:t>
            </w:r>
          </w:p>
        </w:tc>
        <w:tc>
          <w:tcPr>
            <w:tcW w:w="1134" w:type="dxa"/>
          </w:tcPr>
          <w:p w14:paraId="2F31A55C" w14:textId="77777777" w:rsidR="00105E1D" w:rsidRPr="000B20B5" w:rsidRDefault="00105E1D" w:rsidP="000B20B5">
            <w:pPr>
              <w:pStyle w:val="TableText"/>
              <w:rPr>
                <w:rStyle w:val="Strong"/>
              </w:rPr>
            </w:pPr>
            <w:r w:rsidRPr="000B20B5">
              <w:rPr>
                <w:rStyle w:val="Strong"/>
              </w:rPr>
              <w:t>46.7</w:t>
            </w:r>
          </w:p>
        </w:tc>
      </w:tr>
      <w:tr w:rsidR="00105E1D" w:rsidRPr="006C6059" w14:paraId="227AAB61" w14:textId="77777777" w:rsidTr="0096155E">
        <w:tc>
          <w:tcPr>
            <w:tcW w:w="9214" w:type="dxa"/>
            <w:gridSpan w:val="5"/>
          </w:tcPr>
          <w:p w14:paraId="34FE7FD4" w14:textId="22395DFD" w:rsidR="00105E1D" w:rsidRPr="005F2BDA" w:rsidRDefault="00105E1D" w:rsidP="000B20B5">
            <w:pPr>
              <w:pStyle w:val="TableText"/>
            </w:pPr>
            <w:r>
              <w:t>DET c</w:t>
            </w:r>
            <w:r w:rsidRPr="00E2046F">
              <w:t xml:space="preserve">ontinued to engage with business areas </w:t>
            </w:r>
            <w:r>
              <w:t xml:space="preserve">before the </w:t>
            </w:r>
            <w:r w:rsidRPr="00E2046F">
              <w:t xml:space="preserve">business planning period, encouraging them to document and share procurement needs upfront </w:t>
            </w:r>
            <w:r>
              <w:t xml:space="preserve">when </w:t>
            </w:r>
            <w:r w:rsidRPr="00E2046F">
              <w:t xml:space="preserve">planning </w:t>
            </w:r>
            <w:r>
              <w:t xml:space="preserve">their </w:t>
            </w:r>
            <w:r w:rsidRPr="00E2046F">
              <w:t>programs of work.</w:t>
            </w:r>
            <w:r>
              <w:t xml:space="preserve"> This year’s result was affected by the COVID</w:t>
            </w:r>
            <w:r w:rsidR="002A4EB4">
              <w:t>-19</w:t>
            </w:r>
            <w:r>
              <w:t xml:space="preserve"> pandemic and this will likely continue in 2020–21. </w:t>
            </w:r>
          </w:p>
        </w:tc>
      </w:tr>
    </w:tbl>
    <w:p w14:paraId="570D6707" w14:textId="77777777" w:rsidR="00105E1D" w:rsidRDefault="00105E1D" w:rsidP="00105E1D"/>
    <w:p w14:paraId="383659A0" w14:textId="77777777" w:rsidR="00105E1D" w:rsidRPr="00810C0C" w:rsidRDefault="00105E1D" w:rsidP="00105E1D"/>
    <w:p w14:paraId="1819200D" w14:textId="77777777" w:rsidR="00105E1D" w:rsidRDefault="00105E1D" w:rsidP="00105E1D"/>
    <w:p w14:paraId="16EF4CCB" w14:textId="77777777" w:rsidR="00105E1D" w:rsidRDefault="00105E1D" w:rsidP="00105E1D"/>
    <w:p w14:paraId="554BFCC0" w14:textId="77777777" w:rsidR="00D8117A" w:rsidRDefault="00D8117A" w:rsidP="000D687E"/>
    <w:p w14:paraId="5F2C4118" w14:textId="77777777" w:rsidR="000E6DCE" w:rsidRDefault="000E6DCE">
      <w:bookmarkStart w:id="207" w:name="_Toc366693337"/>
      <w:r>
        <w:br w:type="page"/>
      </w:r>
    </w:p>
    <w:p w14:paraId="63E830C1" w14:textId="77777777" w:rsidR="003816CC" w:rsidRDefault="003816CC" w:rsidP="003816CC">
      <w:pPr>
        <w:pStyle w:val="Heading2NoNum"/>
      </w:pPr>
      <w:bookmarkStart w:id="208" w:name="_Toc12719260"/>
      <w:bookmarkStart w:id="209" w:name="_Toc35437751"/>
      <w:bookmarkStart w:id="210" w:name="_Toc52187742"/>
      <w:bookmarkStart w:id="211" w:name="_Hlk47622996"/>
      <w:bookmarkStart w:id="212" w:name="_Hlk489606228"/>
      <w:bookmarkEnd w:id="207"/>
      <w:r w:rsidRPr="00160B30">
        <w:lastRenderedPageBreak/>
        <w:t>Department of Environment, Land, Water and Planning</w:t>
      </w:r>
      <w:bookmarkEnd w:id="208"/>
      <w:bookmarkEnd w:id="209"/>
      <w:bookmarkEnd w:id="210"/>
    </w:p>
    <w:p w14:paraId="5DA35186" w14:textId="77777777" w:rsidR="003816CC" w:rsidRDefault="003816CC" w:rsidP="003816CC">
      <w:pPr>
        <w:pStyle w:val="Normal1"/>
      </w:pPr>
      <w:r w:rsidRPr="00EB40B8">
        <w:t xml:space="preserve">The Department of Environment, Land, Water and Planning (DELWP) employs more than </w:t>
      </w:r>
      <w:r>
        <w:t>4 </w:t>
      </w:r>
      <w:r w:rsidRPr="006621EF">
        <w:t>000</w:t>
      </w:r>
      <w:r>
        <w:t> </w:t>
      </w:r>
      <w:r w:rsidRPr="00EB40B8">
        <w:t xml:space="preserve">staff in 82 locations across Victoria. DELWP brings together </w:t>
      </w:r>
      <w:r w:rsidRPr="0020559C">
        <w:t xml:space="preserve">planning, local government and infrastructure, environment, climate change, energy and water functions, to ensure an integrated approach to the development of long-term </w:t>
      </w:r>
      <w:r>
        <w:t>s</w:t>
      </w:r>
      <w:r w:rsidRPr="0020559C">
        <w:t>tate and regional strategies that build on social, environmental and economic opportunities to provide for future population growth and change</w:t>
      </w:r>
      <w:r w:rsidRPr="00EB40B8">
        <w:t>.</w:t>
      </w:r>
    </w:p>
    <w:p w14:paraId="5D7B73B8" w14:textId="77777777" w:rsidR="003816CC" w:rsidRDefault="003816CC" w:rsidP="003816CC">
      <w:pPr>
        <w:pStyle w:val="Normal1"/>
      </w:pPr>
      <w:r w:rsidRPr="0044449B">
        <w:t>A significant portion of DELWP’s procurement activity focuses on emergency management related to fire and flood recovery, including a contracted fleet of around 50 aircraft.</w:t>
      </w:r>
    </w:p>
    <w:p w14:paraId="64134537" w14:textId="48319CD0" w:rsidR="003816CC" w:rsidRDefault="003816CC" w:rsidP="003816CC">
      <w:pPr>
        <w:pStyle w:val="Normal1"/>
      </w:pPr>
      <w:r>
        <w:t>Solar Victoria was set up as a portfolio agency under DE</w:t>
      </w:r>
      <w:r w:rsidR="00842726">
        <w:t>L</w:t>
      </w:r>
      <w:r>
        <w:t>WP on 1</w:t>
      </w:r>
      <w:r w:rsidR="00FE3B3A">
        <w:t> </w:t>
      </w:r>
      <w:r>
        <w:t>July</w:t>
      </w:r>
      <w:r w:rsidR="00FE3B3A">
        <w:t> </w:t>
      </w:r>
      <w:r>
        <w:t>2019 to deliver the Solar Homes program.</w:t>
      </w:r>
    </w:p>
    <w:p w14:paraId="525333FC" w14:textId="77777777" w:rsidR="003816CC" w:rsidRDefault="003816CC" w:rsidP="003816CC">
      <w:pPr>
        <w:pStyle w:val="Heading3NoNum"/>
      </w:pPr>
      <w:r w:rsidRPr="00CD6245">
        <w:t>Procurement profile</w:t>
      </w:r>
      <w:r>
        <w:t xml:space="preserve"> in 2019–20</w:t>
      </w:r>
    </w:p>
    <w:tbl>
      <w:tblPr>
        <w:tblStyle w:val="TableGrid"/>
        <w:tblW w:w="8840" w:type="dxa"/>
        <w:tblInd w:w="846" w:type="dxa"/>
        <w:tblLook w:val="04A0" w:firstRow="1" w:lastRow="0" w:firstColumn="1" w:lastColumn="0" w:noHBand="0" w:noVBand="1"/>
      </w:tblPr>
      <w:tblGrid>
        <w:gridCol w:w="5438"/>
        <w:gridCol w:w="3402"/>
      </w:tblGrid>
      <w:tr w:rsidR="003816CC" w:rsidRPr="00CC1F98" w14:paraId="7F7AFA2C" w14:textId="77777777" w:rsidTr="00190BC9">
        <w:trPr>
          <w:trHeight w:val="1095"/>
        </w:trPr>
        <w:tc>
          <w:tcPr>
            <w:tcW w:w="5438" w:type="dxa"/>
          </w:tcPr>
          <w:p w14:paraId="5CFE1EB1" w14:textId="3B9C0341" w:rsidR="003816CC" w:rsidRPr="00410204" w:rsidRDefault="003816CC" w:rsidP="00190BC9">
            <w:pPr>
              <w:pStyle w:val="Normal1"/>
              <w:ind w:left="0"/>
              <w:rPr>
                <w:sz w:val="24"/>
                <w:szCs w:val="24"/>
              </w:rPr>
            </w:pPr>
            <w:r w:rsidRPr="00410204">
              <w:rPr>
                <w:sz w:val="24"/>
                <w:szCs w:val="24"/>
              </w:rPr>
              <w:t>211 one-off supply contract approvals valued at $25</w:t>
            </w:r>
            <w:r>
              <w:rPr>
                <w:sz w:val="24"/>
                <w:szCs w:val="24"/>
              </w:rPr>
              <w:t>0.6</w:t>
            </w:r>
            <w:r w:rsidRPr="00410204">
              <w:rPr>
                <w:sz w:val="24"/>
                <w:szCs w:val="24"/>
              </w:rPr>
              <w:t xml:space="preserve"> million*</w:t>
            </w:r>
          </w:p>
        </w:tc>
        <w:tc>
          <w:tcPr>
            <w:tcW w:w="3402" w:type="dxa"/>
            <w:vMerge w:val="restart"/>
          </w:tcPr>
          <w:p w14:paraId="1BEC4578" w14:textId="77777777" w:rsidR="003816CC" w:rsidRPr="00D962DA" w:rsidRDefault="003816CC" w:rsidP="00190BC9">
            <w:pPr>
              <w:pStyle w:val="Normal1"/>
              <w:ind w:left="0"/>
              <w:rPr>
                <w:b/>
              </w:rPr>
            </w:pPr>
            <w:r w:rsidRPr="00D962DA">
              <w:rPr>
                <w:b/>
              </w:rPr>
              <w:t>Top categories of</w:t>
            </w:r>
            <w:r>
              <w:rPr>
                <w:b/>
              </w:rPr>
              <w:t xml:space="preserve"> contract</w:t>
            </w:r>
            <w:r w:rsidRPr="00D962DA">
              <w:rPr>
                <w:b/>
              </w:rPr>
              <w:t xml:space="preserve"> </w:t>
            </w:r>
            <w:r>
              <w:rPr>
                <w:b/>
              </w:rPr>
              <w:t>approval</w:t>
            </w:r>
          </w:p>
          <w:p w14:paraId="5231C5EA" w14:textId="77777777" w:rsidR="003816CC" w:rsidRPr="004C7894" w:rsidRDefault="003816CC" w:rsidP="005C4F4A">
            <w:pPr>
              <w:pStyle w:val="tasblebullet"/>
            </w:pPr>
            <w:r w:rsidRPr="004C7894">
              <w:t>Professional services</w:t>
            </w:r>
          </w:p>
          <w:p w14:paraId="5A827A1F" w14:textId="77777777" w:rsidR="003816CC" w:rsidRDefault="003816CC" w:rsidP="005C4F4A">
            <w:pPr>
              <w:pStyle w:val="tasblebullet"/>
            </w:pPr>
            <w:r>
              <w:t>Aviation services</w:t>
            </w:r>
          </w:p>
          <w:p w14:paraId="5A93E87A" w14:textId="77777777" w:rsidR="003816CC" w:rsidRDefault="003816CC" w:rsidP="005C4F4A">
            <w:pPr>
              <w:pStyle w:val="tasblebullet"/>
            </w:pPr>
            <w:r>
              <w:t>ICT services</w:t>
            </w:r>
          </w:p>
          <w:p w14:paraId="774A7BC4" w14:textId="77777777" w:rsidR="003816CC" w:rsidRPr="00BD351B" w:rsidRDefault="003816CC" w:rsidP="005C4F4A">
            <w:pPr>
              <w:pStyle w:val="tasblebullet"/>
            </w:pPr>
            <w:r>
              <w:t>Fire fleet services</w:t>
            </w:r>
          </w:p>
        </w:tc>
      </w:tr>
      <w:tr w:rsidR="003816CC" w:rsidRPr="00CC1F98" w14:paraId="2A5A76A6" w14:textId="77777777" w:rsidTr="00190BC9">
        <w:trPr>
          <w:trHeight w:val="735"/>
        </w:trPr>
        <w:tc>
          <w:tcPr>
            <w:tcW w:w="5438" w:type="dxa"/>
          </w:tcPr>
          <w:p w14:paraId="2BDC6073" w14:textId="77777777" w:rsidR="003816CC" w:rsidRPr="00410204" w:rsidRDefault="003816CC" w:rsidP="00190BC9">
            <w:pPr>
              <w:pStyle w:val="Normal1"/>
              <w:ind w:left="0"/>
              <w:rPr>
                <w:sz w:val="24"/>
                <w:szCs w:val="24"/>
              </w:rPr>
            </w:pPr>
            <w:r w:rsidRPr="00410204">
              <w:rPr>
                <w:sz w:val="24"/>
                <w:szCs w:val="24"/>
              </w:rPr>
              <w:t>15 SEPC approvals valued at $15</w:t>
            </w:r>
            <w:r>
              <w:rPr>
                <w:sz w:val="24"/>
                <w:szCs w:val="24"/>
              </w:rPr>
              <w:t>.1</w:t>
            </w:r>
            <w:r w:rsidRPr="00410204">
              <w:rPr>
                <w:sz w:val="24"/>
                <w:szCs w:val="24"/>
              </w:rPr>
              <w:t xml:space="preserve"> million*</w:t>
            </w:r>
          </w:p>
        </w:tc>
        <w:tc>
          <w:tcPr>
            <w:tcW w:w="3402" w:type="dxa"/>
            <w:vMerge/>
          </w:tcPr>
          <w:p w14:paraId="406CD5FF" w14:textId="77777777" w:rsidR="003816CC" w:rsidRPr="00D962DA" w:rsidRDefault="003816CC" w:rsidP="00190BC9">
            <w:pPr>
              <w:pStyle w:val="Normal1"/>
              <w:ind w:left="0"/>
              <w:rPr>
                <w:b/>
              </w:rPr>
            </w:pPr>
          </w:p>
        </w:tc>
      </w:tr>
      <w:tr w:rsidR="003816CC" w:rsidRPr="00CC1F98" w14:paraId="75B8611F" w14:textId="77777777" w:rsidTr="00190BC9">
        <w:trPr>
          <w:trHeight w:val="735"/>
        </w:trPr>
        <w:tc>
          <w:tcPr>
            <w:tcW w:w="5438" w:type="dxa"/>
          </w:tcPr>
          <w:p w14:paraId="6B867E11" w14:textId="5D2616CB" w:rsidR="003816CC" w:rsidRPr="00410204" w:rsidRDefault="003816CC" w:rsidP="00190BC9">
            <w:pPr>
              <w:pStyle w:val="Normal1"/>
              <w:ind w:left="0"/>
              <w:rPr>
                <w:sz w:val="24"/>
                <w:szCs w:val="24"/>
              </w:rPr>
            </w:pPr>
            <w:r w:rsidRPr="00410204">
              <w:rPr>
                <w:sz w:val="24"/>
                <w:szCs w:val="24"/>
              </w:rPr>
              <w:t xml:space="preserve">7 critical incident </w:t>
            </w:r>
            <w:r w:rsidR="002A4EB4">
              <w:rPr>
                <w:sz w:val="24"/>
                <w:szCs w:val="24"/>
              </w:rPr>
              <w:t xml:space="preserve">contract </w:t>
            </w:r>
            <w:r w:rsidRPr="00410204">
              <w:rPr>
                <w:sz w:val="24"/>
                <w:szCs w:val="24"/>
              </w:rPr>
              <w:t>approvals valued at $3.9</w:t>
            </w:r>
            <w:r w:rsidR="00676645">
              <w:rPr>
                <w:sz w:val="24"/>
                <w:szCs w:val="24"/>
              </w:rPr>
              <w:t> </w:t>
            </w:r>
            <w:r w:rsidRPr="00410204">
              <w:rPr>
                <w:sz w:val="24"/>
                <w:szCs w:val="24"/>
              </w:rPr>
              <w:t>million*</w:t>
            </w:r>
          </w:p>
        </w:tc>
        <w:tc>
          <w:tcPr>
            <w:tcW w:w="3402" w:type="dxa"/>
            <w:vMerge/>
          </w:tcPr>
          <w:p w14:paraId="219F421F" w14:textId="77777777" w:rsidR="003816CC" w:rsidRPr="00D962DA" w:rsidRDefault="003816CC" w:rsidP="00190BC9">
            <w:pPr>
              <w:pStyle w:val="Normal1"/>
              <w:ind w:left="0"/>
              <w:rPr>
                <w:b/>
              </w:rPr>
            </w:pPr>
          </w:p>
        </w:tc>
      </w:tr>
      <w:tr w:rsidR="003816CC" w:rsidRPr="00CC1F98" w14:paraId="6A3E215D" w14:textId="77777777" w:rsidTr="00190BC9">
        <w:trPr>
          <w:trHeight w:val="442"/>
        </w:trPr>
        <w:tc>
          <w:tcPr>
            <w:tcW w:w="5438" w:type="dxa"/>
            <w:vMerge w:val="restart"/>
          </w:tcPr>
          <w:p w14:paraId="3D72D580" w14:textId="77777777" w:rsidR="003816CC" w:rsidRDefault="003816CC" w:rsidP="00190BC9">
            <w:pPr>
              <w:pStyle w:val="Normal1"/>
              <w:ind w:left="0"/>
              <w:rPr>
                <w:b/>
                <w:lang w:val="en-US"/>
              </w:rPr>
            </w:pPr>
            <w:r w:rsidRPr="0051388F">
              <w:rPr>
                <w:b/>
                <w:lang w:val="en-US"/>
              </w:rPr>
              <w:t>Highlights</w:t>
            </w:r>
          </w:p>
          <w:p w14:paraId="7975776C" w14:textId="3259A39E" w:rsidR="003816CC" w:rsidRPr="002C6411" w:rsidRDefault="003816CC" w:rsidP="005C4F4A">
            <w:pPr>
              <w:pStyle w:val="tasblebullet"/>
            </w:pPr>
            <w:r>
              <w:t>Completed the design for a new procurement operating model.</w:t>
            </w:r>
          </w:p>
          <w:p w14:paraId="2A7367F7" w14:textId="77777777" w:rsidR="003816CC" w:rsidRPr="002C6411" w:rsidRDefault="003816CC" w:rsidP="005C4F4A">
            <w:pPr>
              <w:pStyle w:val="tasblebullet"/>
            </w:pPr>
            <w:r>
              <w:t>DELWP’s Vendor Management System was adopted as the recommended whole-of-government approach.</w:t>
            </w:r>
          </w:p>
          <w:p w14:paraId="286840C7" w14:textId="77777777" w:rsidR="003816CC" w:rsidRPr="0007411D" w:rsidRDefault="003816CC" w:rsidP="005C4F4A">
            <w:pPr>
              <w:pStyle w:val="tasblebullet"/>
              <w:rPr>
                <w:sz w:val="28"/>
                <w:szCs w:val="28"/>
              </w:rPr>
            </w:pPr>
            <w:r>
              <w:t>Enhanced negotiation capability and improved milestones and metrics in contracts.</w:t>
            </w:r>
          </w:p>
          <w:p w14:paraId="4289E829" w14:textId="77777777" w:rsidR="003816CC" w:rsidRDefault="003816CC" w:rsidP="005C4F4A">
            <w:pPr>
              <w:pStyle w:val="tasblebullet"/>
              <w:rPr>
                <w:sz w:val="28"/>
                <w:szCs w:val="28"/>
              </w:rPr>
            </w:pPr>
            <w:r>
              <w:t>Achieved procurement s</w:t>
            </w:r>
            <w:r w:rsidRPr="001D3981">
              <w:t>avings</w:t>
            </w:r>
            <w:r>
              <w:t xml:space="preserve"> of $22 million (including direct and indirect savings).</w:t>
            </w:r>
          </w:p>
        </w:tc>
        <w:tc>
          <w:tcPr>
            <w:tcW w:w="3402" w:type="dxa"/>
            <w:vMerge/>
          </w:tcPr>
          <w:p w14:paraId="3F9C4CE1" w14:textId="77777777" w:rsidR="003816CC" w:rsidRPr="00D962DA" w:rsidRDefault="003816CC" w:rsidP="00190BC9">
            <w:pPr>
              <w:pStyle w:val="Normal1"/>
              <w:ind w:left="0"/>
              <w:rPr>
                <w:b/>
              </w:rPr>
            </w:pPr>
          </w:p>
        </w:tc>
      </w:tr>
      <w:tr w:rsidR="003816CC" w:rsidRPr="00CC1F98" w14:paraId="6464AE96" w14:textId="77777777" w:rsidTr="00190BC9">
        <w:trPr>
          <w:trHeight w:val="662"/>
        </w:trPr>
        <w:tc>
          <w:tcPr>
            <w:tcW w:w="5438" w:type="dxa"/>
            <w:vMerge/>
          </w:tcPr>
          <w:p w14:paraId="6C92CD84" w14:textId="77777777" w:rsidR="003816CC" w:rsidRPr="0051388F" w:rsidRDefault="003816CC" w:rsidP="00190BC9">
            <w:pPr>
              <w:pStyle w:val="Normal1"/>
              <w:ind w:left="0"/>
              <w:rPr>
                <w:b/>
                <w:lang w:val="en-US"/>
              </w:rPr>
            </w:pPr>
          </w:p>
        </w:tc>
        <w:tc>
          <w:tcPr>
            <w:tcW w:w="3402" w:type="dxa"/>
          </w:tcPr>
          <w:p w14:paraId="56E32DE6" w14:textId="77777777" w:rsidR="003816CC" w:rsidRPr="0044449B" w:rsidRDefault="003816CC" w:rsidP="00190BC9">
            <w:pPr>
              <w:pStyle w:val="Normal1"/>
              <w:ind w:left="0"/>
              <w:rPr>
                <w:sz w:val="24"/>
                <w:szCs w:val="24"/>
                <w:lang w:val="en-US"/>
              </w:rPr>
            </w:pPr>
            <w:r w:rsidRPr="0044449B">
              <w:rPr>
                <w:b/>
                <w:bCs/>
                <w:sz w:val="24"/>
                <w:szCs w:val="24"/>
                <w:lang w:val="en-US"/>
              </w:rPr>
              <w:t>Centre-led</w:t>
            </w:r>
            <w:r w:rsidRPr="0044449B">
              <w:rPr>
                <w:sz w:val="24"/>
                <w:szCs w:val="24"/>
                <w:lang w:val="en-US"/>
              </w:rPr>
              <w:t xml:space="preserve"> procurement model</w:t>
            </w:r>
          </w:p>
        </w:tc>
      </w:tr>
      <w:tr w:rsidR="003816CC" w:rsidRPr="00CC1F98" w14:paraId="01612AD3" w14:textId="77777777" w:rsidTr="00FE6219">
        <w:trPr>
          <w:trHeight w:val="1211"/>
        </w:trPr>
        <w:tc>
          <w:tcPr>
            <w:tcW w:w="5438" w:type="dxa"/>
            <w:vMerge/>
          </w:tcPr>
          <w:p w14:paraId="058AAF20" w14:textId="77777777" w:rsidR="003816CC" w:rsidRPr="0051388F" w:rsidRDefault="003816CC" w:rsidP="00190BC9">
            <w:pPr>
              <w:pStyle w:val="Normal1"/>
              <w:ind w:left="0"/>
              <w:rPr>
                <w:b/>
                <w:lang w:val="en-US"/>
              </w:rPr>
            </w:pPr>
          </w:p>
        </w:tc>
        <w:tc>
          <w:tcPr>
            <w:tcW w:w="3402" w:type="dxa"/>
          </w:tcPr>
          <w:p w14:paraId="346D110E" w14:textId="77777777" w:rsidR="003816CC" w:rsidRPr="0044449B" w:rsidRDefault="003816CC" w:rsidP="00190BC9">
            <w:pPr>
              <w:pStyle w:val="Normal1"/>
              <w:ind w:left="0"/>
              <w:rPr>
                <w:sz w:val="24"/>
                <w:szCs w:val="24"/>
                <w:lang w:val="en-US"/>
              </w:rPr>
            </w:pPr>
            <w:r w:rsidRPr="0044449B">
              <w:rPr>
                <w:sz w:val="24"/>
                <w:szCs w:val="24"/>
                <w:lang w:val="en-US"/>
              </w:rPr>
              <w:t xml:space="preserve">Mostly </w:t>
            </w:r>
            <w:r w:rsidRPr="0044449B">
              <w:rPr>
                <w:b/>
                <w:bCs/>
                <w:sz w:val="24"/>
                <w:szCs w:val="24"/>
                <w:lang w:val="en-US"/>
              </w:rPr>
              <w:t>transactional</w:t>
            </w:r>
            <w:r w:rsidRPr="0044449B">
              <w:rPr>
                <w:sz w:val="24"/>
                <w:szCs w:val="24"/>
                <w:lang w:val="en-US"/>
              </w:rPr>
              <w:t xml:space="preserve"> complexity profile</w:t>
            </w:r>
          </w:p>
          <w:p w14:paraId="573402ED" w14:textId="1D92FEDE" w:rsidR="003816CC" w:rsidRPr="0044449B" w:rsidRDefault="00FE6219" w:rsidP="00190BC9">
            <w:pPr>
              <w:pStyle w:val="Normal1"/>
              <w:ind w:left="0"/>
              <w:rPr>
                <w:b/>
                <w:sz w:val="24"/>
                <w:szCs w:val="24"/>
              </w:rPr>
            </w:pPr>
            <w:r>
              <w:rPr>
                <w:noProof/>
              </w:rPr>
              <w:drawing>
                <wp:inline distT="0" distB="0" distL="0" distR="0" wp14:anchorId="2B485FB2" wp14:editId="6FA4011B">
                  <wp:extent cx="1814830" cy="1943100"/>
                  <wp:effectExtent l="0" t="0" r="13970" b="0"/>
                  <wp:docPr id="12" name="Chart 12">
                    <a:extLst xmlns:a="http://schemas.openxmlformats.org/drawingml/2006/main">
                      <a:ext uri="{FF2B5EF4-FFF2-40B4-BE49-F238E27FC236}">
                        <a16:creationId xmlns:a16="http://schemas.microsoft.com/office/drawing/2014/main" id="{9E665D13-E69B-4F4B-9A53-06F83E14D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3816CC" w:rsidRPr="00CC1F98" w14:paraId="4F47A6C5" w14:textId="77777777" w:rsidTr="00190BC9">
        <w:trPr>
          <w:trHeight w:val="366"/>
        </w:trPr>
        <w:tc>
          <w:tcPr>
            <w:tcW w:w="8840" w:type="dxa"/>
            <w:gridSpan w:val="2"/>
          </w:tcPr>
          <w:p w14:paraId="07B48346" w14:textId="77777777" w:rsidR="003816CC" w:rsidRPr="00C000FB" w:rsidRDefault="003816CC" w:rsidP="00190BC9">
            <w:pPr>
              <w:pStyle w:val="Normal1"/>
              <w:ind w:left="0"/>
            </w:pPr>
            <w:r w:rsidRPr="005637EA">
              <w:rPr>
                <w:b/>
                <w:bCs/>
                <w:lang w:val="en-US"/>
              </w:rPr>
              <w:t>AO:</w:t>
            </w:r>
            <w:r w:rsidRPr="00C000FB">
              <w:rPr>
                <w:lang w:val="en-US"/>
              </w:rPr>
              <w:t xml:space="preserve"> </w:t>
            </w:r>
            <w:r w:rsidRPr="00E42844">
              <w:rPr>
                <w:lang w:val="en-US"/>
              </w:rPr>
              <w:t>John Bradley, Secretary, Office of the Secretary</w:t>
            </w:r>
          </w:p>
          <w:p w14:paraId="331CC4C3" w14:textId="77777777" w:rsidR="003816CC" w:rsidRPr="005E5585" w:rsidRDefault="003816CC" w:rsidP="00190BC9">
            <w:pPr>
              <w:spacing w:before="40" w:after="40"/>
              <w:rPr>
                <w:rFonts w:ascii="Calibri" w:hAnsi="Calibri" w:cs="Calibri"/>
                <w:sz w:val="22"/>
                <w:szCs w:val="22"/>
                <w:lang w:val="en-US"/>
              </w:rPr>
            </w:pPr>
            <w:r w:rsidRPr="005637EA">
              <w:rPr>
                <w:rFonts w:ascii="Calibri" w:hAnsi="Calibri" w:cs="Calibri"/>
                <w:b/>
                <w:bCs/>
                <w:sz w:val="22"/>
                <w:szCs w:val="22"/>
                <w:lang w:val="en-US"/>
              </w:rPr>
              <w:t>CPO:</w:t>
            </w:r>
            <w:r w:rsidRPr="005E5585">
              <w:rPr>
                <w:rFonts w:ascii="Calibri" w:hAnsi="Calibri" w:cs="Calibri"/>
                <w:sz w:val="22"/>
                <w:szCs w:val="22"/>
                <w:lang w:val="en-US"/>
              </w:rPr>
              <w:t xml:space="preserve"> A.J. Karliner, CPO, Finance</w:t>
            </w:r>
            <w:r w:rsidRPr="0007411D">
              <w:rPr>
                <w:rFonts w:ascii="Calibri" w:hAnsi="Calibri" w:cs="Calibri"/>
                <w:sz w:val="22"/>
                <w:szCs w:val="22"/>
                <w:lang w:val="en-US"/>
              </w:rPr>
              <w:t>, Corporate Services</w:t>
            </w:r>
          </w:p>
          <w:p w14:paraId="71B531E2" w14:textId="77777777" w:rsidR="003816CC" w:rsidRPr="0051388F" w:rsidRDefault="003816CC" w:rsidP="00190BC9">
            <w:pPr>
              <w:pStyle w:val="Normal1"/>
              <w:ind w:left="0"/>
              <w:rPr>
                <w:lang w:val="en-US"/>
              </w:rPr>
            </w:pPr>
            <w:r w:rsidRPr="005637EA">
              <w:rPr>
                <w:b/>
                <w:bCs/>
                <w:lang w:val="en-US"/>
              </w:rPr>
              <w:t>IPU Chair:</w:t>
            </w:r>
            <w:r w:rsidRPr="005E5585">
              <w:rPr>
                <w:lang w:val="en-US"/>
              </w:rPr>
              <w:t xml:space="preserve"> Helen Vaughan, Deputy Secretary, Water and Catchments</w:t>
            </w:r>
          </w:p>
        </w:tc>
      </w:tr>
    </w:tbl>
    <w:p w14:paraId="0AD5B8F3" w14:textId="77777777" w:rsidR="003816CC" w:rsidRPr="00410204" w:rsidRDefault="003816CC" w:rsidP="003816CC">
      <w:pPr>
        <w:pStyle w:val="Normal1"/>
        <w:rPr>
          <w:sz w:val="20"/>
          <w:szCs w:val="20"/>
        </w:rPr>
      </w:pPr>
      <w:r w:rsidRPr="00410204">
        <w:rPr>
          <w:sz w:val="20"/>
          <w:szCs w:val="20"/>
          <w:lang w:eastAsia="en-US"/>
        </w:rPr>
        <w:t>* Contracts valued at $100</w:t>
      </w:r>
      <w:r w:rsidRPr="00410204">
        <w:rPr>
          <w:sz w:val="20"/>
          <w:szCs w:val="20"/>
        </w:rPr>
        <w:t> 000 or more.</w:t>
      </w:r>
    </w:p>
    <w:p w14:paraId="66D5B30D" w14:textId="77777777" w:rsidR="000019EF" w:rsidRDefault="000019EF">
      <w:pPr>
        <w:rPr>
          <w:rFonts w:ascii="Calibri" w:hAnsi="Calibri" w:cs="Calibri"/>
          <w:b/>
          <w:color w:val="4D4D4D"/>
          <w:kern w:val="28"/>
          <w:sz w:val="26"/>
          <w:szCs w:val="22"/>
          <w:lang w:eastAsia="en-US"/>
        </w:rPr>
      </w:pPr>
      <w:r>
        <w:br w:type="page"/>
      </w:r>
    </w:p>
    <w:p w14:paraId="4424EC89" w14:textId="111ED4C8" w:rsidR="003816CC" w:rsidRDefault="003816CC" w:rsidP="003816CC">
      <w:pPr>
        <w:pStyle w:val="Heading3NoNum"/>
      </w:pPr>
      <w:r w:rsidRPr="00CD6245">
        <w:lastRenderedPageBreak/>
        <w:t>Performance</w:t>
      </w:r>
    </w:p>
    <w:p w14:paraId="57932EB1" w14:textId="4BDE3446" w:rsidR="003816CC" w:rsidRPr="00D0312E" w:rsidRDefault="003816CC" w:rsidP="003816CC">
      <w:pPr>
        <w:pStyle w:val="Normal1"/>
        <w:rPr>
          <w:lang w:eastAsia="en-US"/>
        </w:rPr>
      </w:pPr>
      <w:r>
        <w:rPr>
          <w:lang w:eastAsia="en-US"/>
        </w:rPr>
        <w:t xml:space="preserve">Overall, DELWP performed well in 2019–20 with procurement increasingly being seen as a core function of the department. The </w:t>
      </w:r>
      <w:r w:rsidR="00DB5F73">
        <w:rPr>
          <w:lang w:eastAsia="en-US"/>
        </w:rPr>
        <w:t>Central Procurement Team</w:t>
      </w:r>
      <w:r>
        <w:rPr>
          <w:lang w:eastAsia="en-US"/>
        </w:rPr>
        <w:t xml:space="preserve"> was expanded </w:t>
      </w:r>
      <w:r w:rsidRPr="009B1D91">
        <w:t>to cater for increased procurement requirements.</w:t>
      </w:r>
    </w:p>
    <w:p w14:paraId="44731DDC" w14:textId="7D193417" w:rsidR="003816CC" w:rsidRPr="00CD6245" w:rsidRDefault="003816CC" w:rsidP="003816CC">
      <w:pPr>
        <w:pStyle w:val="Normal1"/>
      </w:pPr>
      <w:r>
        <w:fldChar w:fldCharType="begin"/>
      </w:r>
      <w:r>
        <w:instrText xml:space="preserve"> REF _Ref489542224 \h  \* MERGEFORMAT </w:instrText>
      </w:r>
      <w:r>
        <w:fldChar w:fldCharType="separate"/>
      </w:r>
      <w:r w:rsidR="00152B74" w:rsidRPr="00CD6245">
        <w:t xml:space="preserve">Table </w:t>
      </w:r>
      <w:r w:rsidR="00152B74">
        <w:rPr>
          <w:noProof/>
        </w:rPr>
        <w:t>27</w:t>
      </w:r>
      <w:r>
        <w:fldChar w:fldCharType="end"/>
      </w:r>
      <w:r w:rsidRPr="00CD6245">
        <w:t xml:space="preserve"> </w:t>
      </w:r>
      <w:r>
        <w:t>sets out DELWP’s performance in 2019–20, compared with the two previous years.</w:t>
      </w:r>
    </w:p>
    <w:p w14:paraId="0F4D476F" w14:textId="255F6C1B" w:rsidR="003816CC" w:rsidRDefault="003816CC" w:rsidP="003816CC">
      <w:pPr>
        <w:pStyle w:val="Caption"/>
      </w:pPr>
      <w:bookmarkStart w:id="213" w:name="_Ref489542224"/>
      <w:bookmarkStart w:id="214" w:name="_Toc503949263"/>
      <w:bookmarkStart w:id="215" w:name="_Toc12717991"/>
      <w:bookmarkStart w:id="216" w:name="_Toc17130214"/>
      <w:bookmarkStart w:id="217" w:name="_Toc48837160"/>
      <w:bookmarkStart w:id="218" w:name="_Toc49185550"/>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27</w:t>
      </w:r>
      <w:r>
        <w:rPr>
          <w:noProof/>
        </w:rPr>
        <w:fldChar w:fldCharType="end"/>
      </w:r>
      <w:bookmarkEnd w:id="213"/>
      <w:r w:rsidRPr="00CD6245">
        <w:t xml:space="preserve">: </w:t>
      </w:r>
      <w:r>
        <w:t>DELWP</w:t>
      </w:r>
      <w:r w:rsidRPr="00CD6245">
        <w:t xml:space="preserve"> performance in </w:t>
      </w:r>
      <w:bookmarkEnd w:id="214"/>
      <w:r>
        <w:t>2019–20</w:t>
      </w:r>
      <w:bookmarkEnd w:id="215"/>
      <w:bookmarkEnd w:id="216"/>
      <w:bookmarkEnd w:id="217"/>
      <w:bookmarkEnd w:id="218"/>
    </w:p>
    <w:tbl>
      <w:tblPr>
        <w:tblStyle w:val="TableGrid1"/>
        <w:tblW w:w="8647" w:type="dxa"/>
        <w:tblInd w:w="704" w:type="dxa"/>
        <w:tblLook w:val="04A0" w:firstRow="1" w:lastRow="0" w:firstColumn="1" w:lastColumn="0" w:noHBand="0" w:noVBand="1"/>
      </w:tblPr>
      <w:tblGrid>
        <w:gridCol w:w="2994"/>
        <w:gridCol w:w="2251"/>
        <w:gridCol w:w="1115"/>
        <w:gridCol w:w="1115"/>
        <w:gridCol w:w="1172"/>
      </w:tblGrid>
      <w:tr w:rsidR="003816CC" w:rsidRPr="004E7CDE" w14:paraId="131AC1AC" w14:textId="77777777" w:rsidTr="00DA1E79">
        <w:tc>
          <w:tcPr>
            <w:tcW w:w="5245" w:type="dxa"/>
            <w:gridSpan w:val="2"/>
            <w:vMerge w:val="restart"/>
            <w:shd w:val="clear" w:color="auto" w:fill="FFFFFF" w:themeFill="background1"/>
          </w:tcPr>
          <w:p w14:paraId="22BA1DE1" w14:textId="77777777" w:rsidR="003816CC" w:rsidRPr="00DA1E79" w:rsidRDefault="003816CC" w:rsidP="005C4F4A">
            <w:pPr>
              <w:pStyle w:val="TableHeader"/>
            </w:pPr>
            <w:r w:rsidRPr="00DA1E79">
              <w:t>Performance measure</w:t>
            </w:r>
          </w:p>
        </w:tc>
        <w:tc>
          <w:tcPr>
            <w:tcW w:w="1115" w:type="dxa"/>
            <w:shd w:val="clear" w:color="auto" w:fill="FFFFFF" w:themeFill="background1"/>
          </w:tcPr>
          <w:p w14:paraId="59190F30" w14:textId="77777777" w:rsidR="003816CC" w:rsidRPr="00DA1E79" w:rsidRDefault="003816CC" w:rsidP="005C4F4A">
            <w:pPr>
              <w:pStyle w:val="TableHeader"/>
            </w:pPr>
            <w:r w:rsidRPr="00DA1E79">
              <w:t xml:space="preserve">2017–18 </w:t>
            </w:r>
          </w:p>
        </w:tc>
        <w:tc>
          <w:tcPr>
            <w:tcW w:w="1115" w:type="dxa"/>
            <w:shd w:val="clear" w:color="auto" w:fill="FFFFFF" w:themeFill="background1"/>
          </w:tcPr>
          <w:p w14:paraId="31688519" w14:textId="77777777" w:rsidR="003816CC" w:rsidRPr="00DA1E79" w:rsidRDefault="003816CC" w:rsidP="005C4F4A">
            <w:pPr>
              <w:pStyle w:val="TableHeader"/>
            </w:pPr>
            <w:r w:rsidRPr="00DA1E79">
              <w:t>2018–19</w:t>
            </w:r>
          </w:p>
        </w:tc>
        <w:tc>
          <w:tcPr>
            <w:tcW w:w="1172" w:type="dxa"/>
            <w:shd w:val="clear" w:color="auto" w:fill="FFFFFF" w:themeFill="background1"/>
          </w:tcPr>
          <w:p w14:paraId="11C6CFB3" w14:textId="77777777" w:rsidR="003816CC" w:rsidRPr="00DA1E79" w:rsidRDefault="003816CC" w:rsidP="005C4F4A">
            <w:pPr>
              <w:pStyle w:val="TableHeader"/>
            </w:pPr>
            <w:r w:rsidRPr="00DA1E79">
              <w:t>2019–20</w:t>
            </w:r>
          </w:p>
        </w:tc>
      </w:tr>
      <w:tr w:rsidR="003816CC" w:rsidRPr="006C6059" w14:paraId="6F70C938" w14:textId="77777777" w:rsidTr="00DA1E79">
        <w:tc>
          <w:tcPr>
            <w:tcW w:w="5245" w:type="dxa"/>
            <w:gridSpan w:val="2"/>
            <w:vMerge/>
            <w:shd w:val="clear" w:color="auto" w:fill="FFFFFF" w:themeFill="background1"/>
          </w:tcPr>
          <w:p w14:paraId="0484AD71" w14:textId="77777777" w:rsidR="003816CC" w:rsidRPr="00DA1E79" w:rsidRDefault="003816CC" w:rsidP="005C4F4A">
            <w:pPr>
              <w:pStyle w:val="TableHeader"/>
            </w:pPr>
          </w:p>
        </w:tc>
        <w:tc>
          <w:tcPr>
            <w:tcW w:w="3402" w:type="dxa"/>
            <w:gridSpan w:val="3"/>
            <w:shd w:val="clear" w:color="auto" w:fill="FFFFFF" w:themeFill="background1"/>
          </w:tcPr>
          <w:p w14:paraId="70FE863D" w14:textId="77777777" w:rsidR="003816CC" w:rsidRPr="00DA1E79" w:rsidRDefault="003816CC" w:rsidP="005C4F4A">
            <w:pPr>
              <w:pStyle w:val="TableHeader"/>
            </w:pPr>
            <w:r w:rsidRPr="00DA1E79">
              <w:t>(%)</w:t>
            </w:r>
          </w:p>
        </w:tc>
      </w:tr>
      <w:tr w:rsidR="003816CC" w:rsidRPr="005C4F4A" w14:paraId="04B24618" w14:textId="77777777" w:rsidTr="00DA1E79">
        <w:tc>
          <w:tcPr>
            <w:tcW w:w="5245" w:type="dxa"/>
            <w:gridSpan w:val="2"/>
          </w:tcPr>
          <w:p w14:paraId="54E45B4F" w14:textId="77777777" w:rsidR="003816CC" w:rsidRPr="005C4F4A" w:rsidRDefault="003816CC" w:rsidP="000B20B5">
            <w:pPr>
              <w:pStyle w:val="TableText"/>
              <w:rPr>
                <w:rStyle w:val="Strong"/>
              </w:rPr>
            </w:pPr>
            <w:r w:rsidRPr="005C4F4A">
              <w:rPr>
                <w:rStyle w:val="Strong"/>
              </w:rPr>
              <w:t>Value created from department procurement activity</w:t>
            </w:r>
          </w:p>
        </w:tc>
        <w:tc>
          <w:tcPr>
            <w:tcW w:w="1115" w:type="dxa"/>
          </w:tcPr>
          <w:p w14:paraId="578FCA2D" w14:textId="77777777" w:rsidR="003816CC" w:rsidRPr="005C4F4A" w:rsidRDefault="003816CC" w:rsidP="000B20B5">
            <w:pPr>
              <w:pStyle w:val="TableText"/>
              <w:rPr>
                <w:rStyle w:val="Strong"/>
              </w:rPr>
            </w:pPr>
            <w:r w:rsidRPr="005C4F4A">
              <w:rPr>
                <w:rStyle w:val="Strong"/>
              </w:rPr>
              <w:t>7.5</w:t>
            </w:r>
          </w:p>
        </w:tc>
        <w:tc>
          <w:tcPr>
            <w:tcW w:w="1115" w:type="dxa"/>
          </w:tcPr>
          <w:p w14:paraId="424C1071" w14:textId="77777777" w:rsidR="003816CC" w:rsidRPr="005C4F4A" w:rsidRDefault="003816CC" w:rsidP="000B20B5">
            <w:pPr>
              <w:pStyle w:val="TableText"/>
              <w:rPr>
                <w:rStyle w:val="Strong"/>
              </w:rPr>
            </w:pPr>
            <w:r w:rsidRPr="005C4F4A">
              <w:rPr>
                <w:rStyle w:val="Strong"/>
              </w:rPr>
              <w:t>10.2</w:t>
            </w:r>
          </w:p>
        </w:tc>
        <w:tc>
          <w:tcPr>
            <w:tcW w:w="1172" w:type="dxa"/>
          </w:tcPr>
          <w:p w14:paraId="7B1F8EB2" w14:textId="77777777" w:rsidR="003816CC" w:rsidRPr="005C4F4A" w:rsidRDefault="003816CC" w:rsidP="000B20B5">
            <w:pPr>
              <w:pStyle w:val="TableText"/>
              <w:rPr>
                <w:rStyle w:val="Strong"/>
              </w:rPr>
            </w:pPr>
            <w:r w:rsidRPr="005C4F4A">
              <w:rPr>
                <w:rStyle w:val="Strong"/>
              </w:rPr>
              <w:t>5.3</w:t>
            </w:r>
          </w:p>
        </w:tc>
      </w:tr>
      <w:tr w:rsidR="003816CC" w:rsidRPr="005F2BDA" w14:paraId="60A47C37" w14:textId="77777777" w:rsidTr="00DA1E79">
        <w:tc>
          <w:tcPr>
            <w:tcW w:w="8647" w:type="dxa"/>
            <w:gridSpan w:val="5"/>
          </w:tcPr>
          <w:p w14:paraId="4637AAE9" w14:textId="572FFAEF" w:rsidR="003816CC" w:rsidRPr="005F2BDA" w:rsidRDefault="003816CC" w:rsidP="000B20B5">
            <w:pPr>
              <w:pStyle w:val="TableText"/>
            </w:pPr>
            <w:r w:rsidRPr="009B1D91">
              <w:t xml:space="preserve">The </w:t>
            </w:r>
            <w:r w:rsidR="00B15BF7" w:rsidRPr="009B1D91">
              <w:t xml:space="preserve">Central Procurement Team </w:t>
            </w:r>
            <w:r w:rsidRPr="009B1D91">
              <w:t>continue</w:t>
            </w:r>
            <w:r>
              <w:t>d</w:t>
            </w:r>
            <w:r w:rsidRPr="009B1D91">
              <w:t xml:space="preserve"> </w:t>
            </w:r>
            <w:r w:rsidR="00A10CD5">
              <w:t xml:space="preserve">to </w:t>
            </w:r>
            <w:r w:rsidR="00E7401A" w:rsidRPr="009B1D91">
              <w:t>generate</w:t>
            </w:r>
            <w:r w:rsidR="00E7401A">
              <w:t xml:space="preserve"> </w:t>
            </w:r>
            <w:r w:rsidR="00E7401A" w:rsidRPr="009B1D91">
              <w:t xml:space="preserve">savings </w:t>
            </w:r>
            <w:r w:rsidR="00E7401A">
              <w:t>from the procurements led by the team.</w:t>
            </w:r>
            <w:r>
              <w:t xml:space="preserve"> </w:t>
            </w:r>
            <w:r w:rsidRPr="009B1D91">
              <w:t xml:space="preserve">Actual savings </w:t>
            </w:r>
            <w:r>
              <w:t>across</w:t>
            </w:r>
            <w:r w:rsidRPr="009B1D91">
              <w:t xml:space="preserve"> DELWP would be higher if the savings generated by the </w:t>
            </w:r>
            <w:r w:rsidR="004D2268">
              <w:t>b</w:t>
            </w:r>
            <w:r w:rsidRPr="009B1D91">
              <w:t xml:space="preserve">est and </w:t>
            </w:r>
            <w:r w:rsidR="004D2268">
              <w:t>f</w:t>
            </w:r>
            <w:r w:rsidRPr="009B1D91">
              <w:t xml:space="preserve">inal </w:t>
            </w:r>
            <w:r w:rsidR="004D2268">
              <w:t>o</w:t>
            </w:r>
            <w:r w:rsidRPr="009B1D91">
              <w:t>ffer process conducted by the business w</w:t>
            </w:r>
            <w:r>
              <w:t>ere</w:t>
            </w:r>
            <w:r w:rsidRPr="009B1D91">
              <w:t xml:space="preserve"> recorded. </w:t>
            </w:r>
            <w:r>
              <w:t xml:space="preserve">Rolling out </w:t>
            </w:r>
            <w:r w:rsidRPr="009B1D91">
              <w:t>Zycus</w:t>
            </w:r>
            <w:r>
              <w:t xml:space="preserve"> (</w:t>
            </w:r>
            <w:r w:rsidRPr="009B1D91">
              <w:t>expected in the last quarter of 2020</w:t>
            </w:r>
            <w:r>
              <w:t>)</w:t>
            </w:r>
            <w:r w:rsidRPr="009B1D91">
              <w:t xml:space="preserve"> will enable greater visibility, structure and reporting over sourcing processes and contracts.</w:t>
            </w:r>
          </w:p>
        </w:tc>
      </w:tr>
      <w:tr w:rsidR="001D2ACD" w:rsidRPr="005C4F4A" w14:paraId="4E00977D" w14:textId="77777777" w:rsidTr="00436BFB">
        <w:tc>
          <w:tcPr>
            <w:tcW w:w="5245" w:type="dxa"/>
            <w:gridSpan w:val="2"/>
          </w:tcPr>
          <w:p w14:paraId="213E4670" w14:textId="77777777" w:rsidR="001D2ACD" w:rsidRPr="005C4F4A" w:rsidRDefault="001D2ACD" w:rsidP="000B20B5">
            <w:pPr>
              <w:pStyle w:val="TableText"/>
              <w:rPr>
                <w:rStyle w:val="Strong"/>
              </w:rPr>
            </w:pPr>
            <w:r w:rsidRPr="005C4F4A">
              <w:rPr>
                <w:rStyle w:val="Strong"/>
              </w:rPr>
              <w:t>Managed spend</w:t>
            </w:r>
          </w:p>
        </w:tc>
        <w:tc>
          <w:tcPr>
            <w:tcW w:w="1115" w:type="dxa"/>
            <w:shd w:val="clear" w:color="auto" w:fill="FFFFFF" w:themeFill="background1"/>
          </w:tcPr>
          <w:p w14:paraId="6D210536" w14:textId="670FF090" w:rsidR="001D2ACD" w:rsidRPr="005C4F4A" w:rsidRDefault="001D2ACD" w:rsidP="000B20B5">
            <w:pPr>
              <w:pStyle w:val="TableText"/>
              <w:rPr>
                <w:rStyle w:val="Strong"/>
              </w:rPr>
            </w:pPr>
            <w:r w:rsidRPr="005C4F4A">
              <w:rPr>
                <w:rStyle w:val="Strong"/>
              </w:rPr>
              <w:t>n/a</w:t>
            </w:r>
          </w:p>
        </w:tc>
        <w:tc>
          <w:tcPr>
            <w:tcW w:w="1115" w:type="dxa"/>
            <w:shd w:val="clear" w:color="auto" w:fill="FFFFFF" w:themeFill="background1"/>
          </w:tcPr>
          <w:p w14:paraId="26D1D03F" w14:textId="56EBDE2D" w:rsidR="001D2ACD" w:rsidRPr="005C4F4A" w:rsidRDefault="001D2ACD" w:rsidP="000B20B5">
            <w:pPr>
              <w:pStyle w:val="TableText"/>
              <w:rPr>
                <w:rStyle w:val="Strong"/>
              </w:rPr>
            </w:pPr>
            <w:r w:rsidRPr="005C4F4A">
              <w:rPr>
                <w:rStyle w:val="Strong"/>
              </w:rPr>
              <w:t>n/a</w:t>
            </w:r>
          </w:p>
        </w:tc>
        <w:tc>
          <w:tcPr>
            <w:tcW w:w="1172" w:type="dxa"/>
          </w:tcPr>
          <w:p w14:paraId="5A2EBC74" w14:textId="77777777" w:rsidR="001D2ACD" w:rsidRPr="005C4F4A" w:rsidRDefault="001D2ACD" w:rsidP="000B20B5">
            <w:pPr>
              <w:pStyle w:val="TableText"/>
              <w:rPr>
                <w:rStyle w:val="Strong"/>
              </w:rPr>
            </w:pPr>
            <w:r w:rsidRPr="005C4F4A">
              <w:rPr>
                <w:rStyle w:val="Strong"/>
              </w:rPr>
              <w:t>26.9</w:t>
            </w:r>
          </w:p>
        </w:tc>
      </w:tr>
      <w:tr w:rsidR="003816CC" w:rsidRPr="00505378" w14:paraId="7ED83F50" w14:textId="77777777" w:rsidTr="00DA1E79">
        <w:tc>
          <w:tcPr>
            <w:tcW w:w="8647" w:type="dxa"/>
            <w:gridSpan w:val="5"/>
          </w:tcPr>
          <w:p w14:paraId="07C07F17" w14:textId="36B9F334" w:rsidR="003816CC" w:rsidRPr="009C002C" w:rsidRDefault="009C002C" w:rsidP="000B20B5">
            <w:pPr>
              <w:pStyle w:val="TableText"/>
            </w:pPr>
            <w:r w:rsidRPr="009C002C">
              <w:t>The procurement governance unit reviews all procurement (including construction) with a value greater than $150 000. The number of submissions (including CPO approvals over $150 000 and professional services engagements of any value) processed at the end of 2019–20 was significantly greater (150</w:t>
            </w:r>
            <w:r w:rsidR="00783F0A">
              <w:t xml:space="preserve"> per cent</w:t>
            </w:r>
            <w:r w:rsidRPr="009C002C">
              <w:t xml:space="preserve"> increase) than the previous year. DELWP has set up a Strategic Sourcing team to lead all procurement greater than $3 million, allowing for </w:t>
            </w:r>
            <w:proofErr w:type="spellStart"/>
            <w:r w:rsidRPr="009C002C">
              <w:t>prioritising</w:t>
            </w:r>
            <w:proofErr w:type="spellEnd"/>
            <w:r w:rsidRPr="009C002C">
              <w:t xml:space="preserve"> of planned sourcing events, allocation of appropriate resources and a managed and more effective distribution of submissions to the CPO in 2020–21.</w:t>
            </w:r>
            <w:r w:rsidR="008443AA">
              <w:t xml:space="preserve"> </w:t>
            </w:r>
            <w:r w:rsidRPr="009C002C">
              <w:t xml:space="preserve">Establishing a category management function within the </w:t>
            </w:r>
            <w:r w:rsidR="008466A8" w:rsidRPr="009C002C">
              <w:t>Central Procurement Team</w:t>
            </w:r>
            <w:r w:rsidRPr="009C002C">
              <w:t xml:space="preserve"> has also provided greater oversight and ability to manage spend against DELWP’s three main categories, and this will continue to mature over the next financial year.</w:t>
            </w:r>
          </w:p>
        </w:tc>
      </w:tr>
      <w:tr w:rsidR="003816CC" w:rsidRPr="005C4F4A" w14:paraId="4F6AED48" w14:textId="77777777" w:rsidTr="00DA1E79">
        <w:tc>
          <w:tcPr>
            <w:tcW w:w="5245" w:type="dxa"/>
            <w:gridSpan w:val="2"/>
          </w:tcPr>
          <w:p w14:paraId="4901D57A" w14:textId="77777777" w:rsidR="003816CC" w:rsidRPr="005C4F4A" w:rsidRDefault="003816CC" w:rsidP="000B20B5">
            <w:pPr>
              <w:pStyle w:val="TableText"/>
              <w:rPr>
                <w:rStyle w:val="Strong"/>
              </w:rPr>
            </w:pPr>
            <w:r w:rsidRPr="005C4F4A">
              <w:rPr>
                <w:rStyle w:val="Strong"/>
              </w:rPr>
              <w:t>Increase in procurement capability</w:t>
            </w:r>
          </w:p>
        </w:tc>
        <w:tc>
          <w:tcPr>
            <w:tcW w:w="1115" w:type="dxa"/>
          </w:tcPr>
          <w:p w14:paraId="66677512" w14:textId="77777777" w:rsidR="003816CC" w:rsidRPr="005C4F4A" w:rsidRDefault="003816CC" w:rsidP="000B20B5">
            <w:pPr>
              <w:pStyle w:val="TableText"/>
              <w:rPr>
                <w:rStyle w:val="Strong"/>
              </w:rPr>
            </w:pPr>
            <w:r w:rsidRPr="005C4F4A">
              <w:rPr>
                <w:rStyle w:val="Strong"/>
              </w:rPr>
              <w:t>16</w:t>
            </w:r>
          </w:p>
        </w:tc>
        <w:tc>
          <w:tcPr>
            <w:tcW w:w="1115" w:type="dxa"/>
          </w:tcPr>
          <w:p w14:paraId="2A0325E2" w14:textId="77777777" w:rsidR="003816CC" w:rsidRPr="005C4F4A" w:rsidRDefault="003816CC" w:rsidP="000B20B5">
            <w:pPr>
              <w:pStyle w:val="TableText"/>
              <w:rPr>
                <w:rStyle w:val="Strong"/>
              </w:rPr>
            </w:pPr>
            <w:r w:rsidRPr="005C4F4A">
              <w:rPr>
                <w:rStyle w:val="Strong"/>
              </w:rPr>
              <w:t>11.6</w:t>
            </w:r>
          </w:p>
        </w:tc>
        <w:tc>
          <w:tcPr>
            <w:tcW w:w="1172" w:type="dxa"/>
          </w:tcPr>
          <w:p w14:paraId="55D1099F" w14:textId="77777777" w:rsidR="003816CC" w:rsidRPr="005C4F4A" w:rsidRDefault="003816CC" w:rsidP="000B20B5">
            <w:pPr>
              <w:pStyle w:val="TableText"/>
              <w:rPr>
                <w:rStyle w:val="Strong"/>
              </w:rPr>
            </w:pPr>
            <w:r w:rsidRPr="005C4F4A">
              <w:rPr>
                <w:rStyle w:val="Strong"/>
              </w:rPr>
              <w:t>6.3</w:t>
            </w:r>
          </w:p>
        </w:tc>
      </w:tr>
      <w:tr w:rsidR="003816CC" w:rsidRPr="00505378" w14:paraId="13475B8E" w14:textId="77777777" w:rsidTr="00DA1E79">
        <w:tc>
          <w:tcPr>
            <w:tcW w:w="8647" w:type="dxa"/>
            <w:gridSpan w:val="5"/>
          </w:tcPr>
          <w:p w14:paraId="541DB8CC" w14:textId="1A9E5DD2" w:rsidR="003816CC" w:rsidRPr="00C000FB" w:rsidRDefault="003816CC" w:rsidP="000B20B5">
            <w:pPr>
              <w:pStyle w:val="TableText"/>
            </w:pPr>
            <w:r>
              <w:t xml:space="preserve">Procurement capability increased from 96 to 102 out of 150. Procurement activities now have greater strategic direction with procurement objectives and performance targets built in. Senior management have shifted their view of procurement from an important function to a core function of the department. A total of </w:t>
            </w:r>
            <w:r w:rsidRPr="00952A2D">
              <w:t xml:space="preserve">123 staff attended formal procurement and contract management training courses during the year. In addition, 74 staff took the </w:t>
            </w:r>
            <w:r w:rsidR="00047796">
              <w:t>i</w:t>
            </w:r>
            <w:r w:rsidRPr="00952A2D">
              <w:t xml:space="preserve">ntroduction to </w:t>
            </w:r>
            <w:r w:rsidR="004D2268">
              <w:t>p</w:t>
            </w:r>
            <w:r w:rsidRPr="00952A2D">
              <w:t>rocurement eLearning module.</w:t>
            </w:r>
          </w:p>
        </w:tc>
      </w:tr>
      <w:tr w:rsidR="003816CC" w:rsidRPr="005C4F4A" w14:paraId="58C58BB4" w14:textId="77777777" w:rsidTr="00DA1E79">
        <w:tc>
          <w:tcPr>
            <w:tcW w:w="2994" w:type="dxa"/>
            <w:vMerge w:val="restart"/>
          </w:tcPr>
          <w:p w14:paraId="33900A36" w14:textId="77777777" w:rsidR="003816CC" w:rsidRPr="005C4F4A" w:rsidRDefault="003816CC" w:rsidP="000B20B5">
            <w:pPr>
              <w:pStyle w:val="TableText"/>
              <w:rPr>
                <w:rStyle w:val="Strong"/>
              </w:rPr>
            </w:pPr>
            <w:r w:rsidRPr="005C4F4A">
              <w:rPr>
                <w:rStyle w:val="Strong"/>
              </w:rPr>
              <w:t>Supplier satisfaction assessment</w:t>
            </w:r>
          </w:p>
        </w:tc>
        <w:tc>
          <w:tcPr>
            <w:tcW w:w="2251" w:type="dxa"/>
          </w:tcPr>
          <w:p w14:paraId="37E4993A" w14:textId="77777777" w:rsidR="003816CC" w:rsidRPr="005C4F4A" w:rsidRDefault="003816CC" w:rsidP="000B20B5">
            <w:pPr>
              <w:pStyle w:val="TableText"/>
              <w:rPr>
                <w:rStyle w:val="Strong"/>
              </w:rPr>
            </w:pPr>
            <w:r w:rsidRPr="005C4F4A">
              <w:rPr>
                <w:rStyle w:val="Strong"/>
              </w:rPr>
              <w:t>Successful satisfied</w:t>
            </w:r>
          </w:p>
        </w:tc>
        <w:tc>
          <w:tcPr>
            <w:tcW w:w="1115" w:type="dxa"/>
          </w:tcPr>
          <w:p w14:paraId="57D71737" w14:textId="77777777" w:rsidR="003816CC" w:rsidRPr="005C4F4A" w:rsidRDefault="003816CC" w:rsidP="000B20B5">
            <w:pPr>
              <w:pStyle w:val="TableText"/>
              <w:rPr>
                <w:rStyle w:val="Strong"/>
              </w:rPr>
            </w:pPr>
            <w:r w:rsidRPr="005C4F4A">
              <w:rPr>
                <w:rStyle w:val="Strong"/>
              </w:rPr>
              <w:t>83</w:t>
            </w:r>
          </w:p>
        </w:tc>
        <w:tc>
          <w:tcPr>
            <w:tcW w:w="1115" w:type="dxa"/>
          </w:tcPr>
          <w:p w14:paraId="71A28E51" w14:textId="77777777" w:rsidR="003816CC" w:rsidRPr="005C4F4A" w:rsidRDefault="003816CC" w:rsidP="000B20B5">
            <w:pPr>
              <w:pStyle w:val="TableText"/>
              <w:rPr>
                <w:rStyle w:val="Strong"/>
              </w:rPr>
            </w:pPr>
            <w:r w:rsidRPr="005C4F4A">
              <w:rPr>
                <w:rStyle w:val="Strong"/>
              </w:rPr>
              <w:t>90</w:t>
            </w:r>
          </w:p>
        </w:tc>
        <w:tc>
          <w:tcPr>
            <w:tcW w:w="1172" w:type="dxa"/>
          </w:tcPr>
          <w:p w14:paraId="043AA481" w14:textId="77777777" w:rsidR="003816CC" w:rsidRPr="005C4F4A" w:rsidRDefault="003816CC" w:rsidP="000B20B5">
            <w:pPr>
              <w:pStyle w:val="TableText"/>
              <w:rPr>
                <w:rStyle w:val="Strong"/>
              </w:rPr>
            </w:pPr>
            <w:r w:rsidRPr="005C4F4A">
              <w:rPr>
                <w:rStyle w:val="Strong"/>
              </w:rPr>
              <w:t>60</w:t>
            </w:r>
          </w:p>
        </w:tc>
      </w:tr>
      <w:tr w:rsidR="003816CC" w:rsidRPr="005C4F4A" w14:paraId="375A5A74" w14:textId="77777777" w:rsidTr="00DA1E79">
        <w:tc>
          <w:tcPr>
            <w:tcW w:w="2994" w:type="dxa"/>
            <w:vMerge/>
          </w:tcPr>
          <w:p w14:paraId="2D8D63FD" w14:textId="77777777" w:rsidR="003816CC" w:rsidRPr="005C4F4A" w:rsidRDefault="003816CC" w:rsidP="000B20B5">
            <w:pPr>
              <w:pStyle w:val="TableText"/>
              <w:rPr>
                <w:rStyle w:val="Strong"/>
              </w:rPr>
            </w:pPr>
          </w:p>
        </w:tc>
        <w:tc>
          <w:tcPr>
            <w:tcW w:w="2251" w:type="dxa"/>
          </w:tcPr>
          <w:p w14:paraId="2441B475" w14:textId="77777777" w:rsidR="003816CC" w:rsidRPr="005C4F4A" w:rsidRDefault="003816CC" w:rsidP="000B20B5">
            <w:pPr>
              <w:pStyle w:val="TableText"/>
              <w:rPr>
                <w:rStyle w:val="Strong"/>
              </w:rPr>
            </w:pPr>
            <w:r w:rsidRPr="005C4F4A">
              <w:rPr>
                <w:rStyle w:val="Strong"/>
              </w:rPr>
              <w:t>Unsuccessful satisfied</w:t>
            </w:r>
          </w:p>
        </w:tc>
        <w:tc>
          <w:tcPr>
            <w:tcW w:w="1115" w:type="dxa"/>
          </w:tcPr>
          <w:p w14:paraId="07B4B44A" w14:textId="77777777" w:rsidR="003816CC" w:rsidRPr="005C4F4A" w:rsidRDefault="003816CC" w:rsidP="000B20B5">
            <w:pPr>
              <w:pStyle w:val="TableText"/>
              <w:rPr>
                <w:rStyle w:val="Strong"/>
              </w:rPr>
            </w:pPr>
            <w:r w:rsidRPr="005C4F4A">
              <w:rPr>
                <w:rStyle w:val="Strong"/>
              </w:rPr>
              <w:t>42</w:t>
            </w:r>
          </w:p>
        </w:tc>
        <w:tc>
          <w:tcPr>
            <w:tcW w:w="1115" w:type="dxa"/>
          </w:tcPr>
          <w:p w14:paraId="3A752ECF" w14:textId="77777777" w:rsidR="003816CC" w:rsidRPr="005C4F4A" w:rsidRDefault="003816CC" w:rsidP="000B20B5">
            <w:pPr>
              <w:pStyle w:val="TableText"/>
              <w:rPr>
                <w:rStyle w:val="Strong"/>
              </w:rPr>
            </w:pPr>
            <w:r w:rsidRPr="005C4F4A">
              <w:rPr>
                <w:rStyle w:val="Strong"/>
              </w:rPr>
              <w:t>36</w:t>
            </w:r>
          </w:p>
        </w:tc>
        <w:tc>
          <w:tcPr>
            <w:tcW w:w="1172" w:type="dxa"/>
          </w:tcPr>
          <w:p w14:paraId="3C919051" w14:textId="77777777" w:rsidR="003816CC" w:rsidRPr="005C4F4A" w:rsidRDefault="003816CC" w:rsidP="000B20B5">
            <w:pPr>
              <w:pStyle w:val="TableText"/>
              <w:rPr>
                <w:rStyle w:val="Strong"/>
              </w:rPr>
            </w:pPr>
            <w:r w:rsidRPr="005C4F4A">
              <w:rPr>
                <w:rStyle w:val="Strong"/>
              </w:rPr>
              <w:t>32</w:t>
            </w:r>
          </w:p>
        </w:tc>
      </w:tr>
      <w:tr w:rsidR="003816CC" w:rsidRPr="00505378" w14:paraId="40EB3805" w14:textId="77777777" w:rsidTr="00DA1E79">
        <w:tc>
          <w:tcPr>
            <w:tcW w:w="8647" w:type="dxa"/>
            <w:gridSpan w:val="5"/>
          </w:tcPr>
          <w:p w14:paraId="204CE49E" w14:textId="77777777" w:rsidR="003816CC" w:rsidRPr="00C000FB" w:rsidRDefault="003816CC" w:rsidP="000B20B5">
            <w:pPr>
              <w:pStyle w:val="TableText"/>
            </w:pPr>
            <w:r w:rsidRPr="00B2716F">
              <w:t xml:space="preserve">Overall satisfaction declined in </w:t>
            </w:r>
            <w:r>
              <w:t>2019–</w:t>
            </w:r>
            <w:r w:rsidRPr="00B2716F">
              <w:t xml:space="preserve">20. </w:t>
            </w:r>
            <w:r>
              <w:t>T</w:t>
            </w:r>
            <w:r w:rsidRPr="00B2716F">
              <w:t>he</w:t>
            </w:r>
            <w:r>
              <w:t>se</w:t>
            </w:r>
            <w:r w:rsidRPr="00B2716F">
              <w:t xml:space="preserve"> results reinforce the requirement for supplier feedback to be provided to unsuccessful suppliers.</w:t>
            </w:r>
            <w:r>
              <w:t xml:space="preserve"> Areas where DELWP scored lower than the average for all organisations include l</w:t>
            </w:r>
            <w:r w:rsidRPr="00952A2D">
              <w:t>evels of satisfaction with the invitation to supply documents and submission process</w:t>
            </w:r>
            <w:r>
              <w:t xml:space="preserve"> and </w:t>
            </w:r>
            <w:r w:rsidRPr="00952A2D">
              <w:t>all aspects of the evaluation process</w:t>
            </w:r>
            <w:r>
              <w:t>. Higher scoring areas include s</w:t>
            </w:r>
            <w:r w:rsidRPr="00952A2D">
              <w:t>atisfaction with the feedback process</w:t>
            </w:r>
            <w:r>
              <w:t xml:space="preserve">, </w:t>
            </w:r>
            <w:r w:rsidRPr="00952A2D">
              <w:t>contract management</w:t>
            </w:r>
            <w:r>
              <w:t xml:space="preserve">, </w:t>
            </w:r>
            <w:r w:rsidRPr="00952A2D">
              <w:t xml:space="preserve">all areas of the procurement process </w:t>
            </w:r>
            <w:r>
              <w:t xml:space="preserve">and </w:t>
            </w:r>
            <w:r w:rsidRPr="00952A2D">
              <w:t xml:space="preserve">the helpfulness and quality of feedback among successful suppliers. </w:t>
            </w:r>
          </w:p>
        </w:tc>
      </w:tr>
      <w:tr w:rsidR="003816CC" w:rsidRPr="005C4F4A" w14:paraId="62F76286" w14:textId="77777777" w:rsidTr="00DA1E79">
        <w:tc>
          <w:tcPr>
            <w:tcW w:w="5245" w:type="dxa"/>
            <w:gridSpan w:val="2"/>
          </w:tcPr>
          <w:p w14:paraId="1AD1019E" w14:textId="77777777" w:rsidR="003816CC" w:rsidRPr="005C4F4A" w:rsidRDefault="003816CC" w:rsidP="000B20B5">
            <w:pPr>
              <w:pStyle w:val="TableText"/>
              <w:rPr>
                <w:rStyle w:val="Strong"/>
              </w:rPr>
            </w:pPr>
            <w:r w:rsidRPr="005C4F4A">
              <w:rPr>
                <w:rStyle w:val="Strong"/>
              </w:rPr>
              <w:t>Planned procurement activity as a % of actual procurement activity</w:t>
            </w:r>
          </w:p>
        </w:tc>
        <w:tc>
          <w:tcPr>
            <w:tcW w:w="1115" w:type="dxa"/>
          </w:tcPr>
          <w:p w14:paraId="5F37D028" w14:textId="77777777" w:rsidR="003816CC" w:rsidRPr="005C4F4A" w:rsidRDefault="003816CC" w:rsidP="000B20B5">
            <w:pPr>
              <w:pStyle w:val="TableText"/>
              <w:rPr>
                <w:rStyle w:val="Strong"/>
              </w:rPr>
            </w:pPr>
            <w:r w:rsidRPr="005C4F4A">
              <w:rPr>
                <w:rStyle w:val="Strong"/>
              </w:rPr>
              <w:t>28.6</w:t>
            </w:r>
          </w:p>
        </w:tc>
        <w:tc>
          <w:tcPr>
            <w:tcW w:w="1115" w:type="dxa"/>
          </w:tcPr>
          <w:p w14:paraId="7B396C7D" w14:textId="77777777" w:rsidR="003816CC" w:rsidRPr="005C4F4A" w:rsidRDefault="003816CC" w:rsidP="000B20B5">
            <w:pPr>
              <w:pStyle w:val="TableText"/>
              <w:rPr>
                <w:rStyle w:val="Strong"/>
              </w:rPr>
            </w:pPr>
            <w:r w:rsidRPr="005C4F4A">
              <w:rPr>
                <w:rStyle w:val="Strong"/>
              </w:rPr>
              <w:t>17.8</w:t>
            </w:r>
          </w:p>
        </w:tc>
        <w:tc>
          <w:tcPr>
            <w:tcW w:w="1172" w:type="dxa"/>
          </w:tcPr>
          <w:p w14:paraId="6503EF12" w14:textId="77777777" w:rsidR="003816CC" w:rsidRPr="005C4F4A" w:rsidRDefault="003816CC" w:rsidP="000B20B5">
            <w:pPr>
              <w:pStyle w:val="TableText"/>
              <w:rPr>
                <w:rStyle w:val="Strong"/>
              </w:rPr>
            </w:pPr>
            <w:r w:rsidRPr="005C4F4A">
              <w:rPr>
                <w:rStyle w:val="Strong"/>
              </w:rPr>
              <w:t>71.7</w:t>
            </w:r>
          </w:p>
        </w:tc>
      </w:tr>
      <w:tr w:rsidR="003816CC" w:rsidRPr="006C6059" w14:paraId="51656C71" w14:textId="77777777" w:rsidTr="00DA1E79">
        <w:tc>
          <w:tcPr>
            <w:tcW w:w="8647" w:type="dxa"/>
            <w:gridSpan w:val="5"/>
          </w:tcPr>
          <w:p w14:paraId="478B987A" w14:textId="468AD6C1" w:rsidR="003816CC" w:rsidRPr="00260994" w:rsidRDefault="003816CC" w:rsidP="000B20B5">
            <w:pPr>
              <w:pStyle w:val="TableText"/>
            </w:pPr>
            <w:r w:rsidRPr="00260994">
              <w:t xml:space="preserve">DELWP publishes a procurement activity plan for all planned procurement greater than $500 000, which is reviewed every six months. In 2019–20, 46 goods and services procurements were conducted at this value, including four procurements from SPCs. Thirty-three of these were published in the procurement activity plan. The 13 remaining procurements were not included as they were either not captured by the business or were unplanned at the start of the year due to policy and budget issues. </w:t>
            </w:r>
          </w:p>
        </w:tc>
      </w:tr>
    </w:tbl>
    <w:p w14:paraId="3AFE0903" w14:textId="77777777" w:rsidR="003816CC" w:rsidRPr="00755D1C" w:rsidRDefault="003816CC" w:rsidP="003816CC"/>
    <w:p w14:paraId="3EAC8963" w14:textId="77777777" w:rsidR="003816CC" w:rsidRPr="0044449B" w:rsidRDefault="003816CC" w:rsidP="003816CC">
      <w:pPr>
        <w:rPr>
          <w:rFonts w:ascii="Calibri" w:hAnsi="Calibri" w:cs="Calibri"/>
          <w:color w:val="4D4D4D"/>
          <w:kern w:val="28"/>
          <w:sz w:val="30"/>
          <w:szCs w:val="22"/>
          <w:lang w:eastAsia="en-US"/>
        </w:rPr>
      </w:pPr>
    </w:p>
    <w:p w14:paraId="3D1376A2" w14:textId="2EBB012A" w:rsidR="00755D1C" w:rsidRDefault="00755D1C" w:rsidP="00755D1C"/>
    <w:p w14:paraId="572879B4" w14:textId="77777777" w:rsidR="00755D1C" w:rsidRPr="00755D1C" w:rsidRDefault="00755D1C" w:rsidP="00755D1C"/>
    <w:p w14:paraId="2725AB78" w14:textId="77777777" w:rsidR="003618D4" w:rsidRPr="006C6059" w:rsidRDefault="003618D4" w:rsidP="003618D4">
      <w:pPr>
        <w:rPr>
          <w:lang w:val="en-US"/>
        </w:rPr>
      </w:pPr>
    </w:p>
    <w:p w14:paraId="6B2FE05A" w14:textId="77777777" w:rsidR="003618D4" w:rsidRPr="003A146C" w:rsidRDefault="003618D4" w:rsidP="003618D4">
      <w:pPr>
        <w:rPr>
          <w:rFonts w:ascii="Calibri" w:hAnsi="Calibri" w:cs="Calibri"/>
          <w:color w:val="4D4D4D"/>
          <w:kern w:val="28"/>
          <w:sz w:val="30"/>
          <w:szCs w:val="22"/>
          <w:lang w:eastAsia="en-US"/>
        </w:rPr>
      </w:pPr>
    </w:p>
    <w:p w14:paraId="26BEBAA8" w14:textId="77777777" w:rsidR="008F7F71" w:rsidRDefault="008F7F71">
      <w:pPr>
        <w:rPr>
          <w:rFonts w:ascii="Calibri" w:hAnsi="Calibri" w:cs="Calibri"/>
          <w:color w:val="4D4D4D"/>
          <w:kern w:val="28"/>
          <w:sz w:val="30"/>
          <w:szCs w:val="22"/>
          <w:lang w:eastAsia="en-US"/>
        </w:rPr>
      </w:pPr>
      <w:r>
        <w:br w:type="page"/>
      </w:r>
    </w:p>
    <w:p w14:paraId="672AAA00" w14:textId="77777777" w:rsidR="00046F98" w:rsidRPr="00565500" w:rsidRDefault="00046F98" w:rsidP="00046F98">
      <w:pPr>
        <w:keepNext/>
        <w:keepLines/>
        <w:widowControl w:val="0"/>
        <w:spacing w:before="280" w:after="120" w:line="216" w:lineRule="auto"/>
        <w:ind w:left="794"/>
        <w:outlineLvl w:val="1"/>
        <w:rPr>
          <w:rFonts w:ascii="Calibri" w:eastAsia="MS Gothic" w:hAnsi="Calibri" w:cs="Calibri"/>
          <w:color w:val="4D4D4D"/>
          <w:kern w:val="28"/>
          <w:sz w:val="30"/>
        </w:rPr>
      </w:pPr>
      <w:bookmarkStart w:id="219" w:name="_Toc52187743"/>
      <w:bookmarkStart w:id="220" w:name="_Hlk522701023"/>
      <w:bookmarkStart w:id="221" w:name="_Hlk521916401"/>
      <w:bookmarkStart w:id="222" w:name="_Hlk522704168"/>
      <w:bookmarkEnd w:id="211"/>
      <w:bookmarkEnd w:id="212"/>
      <w:r w:rsidRPr="00565500">
        <w:rPr>
          <w:rFonts w:ascii="Calibri" w:eastAsia="MS Gothic" w:hAnsi="Calibri" w:cs="Calibri"/>
          <w:color w:val="4D4D4D"/>
          <w:kern w:val="28"/>
          <w:sz w:val="30"/>
        </w:rPr>
        <w:lastRenderedPageBreak/>
        <w:t>Department of Health and Human Services</w:t>
      </w:r>
      <w:bookmarkEnd w:id="219"/>
    </w:p>
    <w:p w14:paraId="6AC8BC35" w14:textId="77777777" w:rsidR="00046F98" w:rsidRPr="00446CA1" w:rsidRDefault="00046F98" w:rsidP="00046F98">
      <w:pPr>
        <w:pStyle w:val="Normal1"/>
      </w:pPr>
      <w:r w:rsidRPr="00446CA1">
        <w:t>The Department of Health and Human Services (DHHS) is responsible for developing and delivering policies, programs and services that support the health, wellbeing and safety of all Victorians.</w:t>
      </w:r>
    </w:p>
    <w:p w14:paraId="31E920E9" w14:textId="77777777" w:rsidR="00046F98" w:rsidRPr="00446CA1" w:rsidRDefault="00046F98" w:rsidP="00046F98">
      <w:pPr>
        <w:keepNext/>
        <w:keepLines/>
        <w:widowControl w:val="0"/>
        <w:spacing w:before="200" w:after="120" w:line="216" w:lineRule="auto"/>
        <w:ind w:left="794"/>
        <w:outlineLvl w:val="2"/>
        <w:rPr>
          <w:rFonts w:ascii="Calibri" w:hAnsi="Calibri" w:cs="Calibri"/>
          <w:b/>
          <w:color w:val="4D4D4D"/>
          <w:kern w:val="28"/>
          <w:sz w:val="26"/>
        </w:rPr>
      </w:pPr>
      <w:r w:rsidRPr="00446CA1">
        <w:rPr>
          <w:rFonts w:ascii="Calibri" w:hAnsi="Calibri" w:cs="Calibri"/>
          <w:b/>
          <w:color w:val="4D4D4D"/>
          <w:kern w:val="28"/>
          <w:sz w:val="26"/>
        </w:rPr>
        <w:t>Procurement profile in 2019–20</w:t>
      </w:r>
    </w:p>
    <w:tbl>
      <w:tblPr>
        <w:tblStyle w:val="TableGrid"/>
        <w:tblW w:w="8647" w:type="dxa"/>
        <w:tblInd w:w="846" w:type="dxa"/>
        <w:tblLook w:val="04A0" w:firstRow="1" w:lastRow="0" w:firstColumn="1" w:lastColumn="0" w:noHBand="0" w:noVBand="1"/>
      </w:tblPr>
      <w:tblGrid>
        <w:gridCol w:w="5086"/>
        <w:gridCol w:w="3561"/>
      </w:tblGrid>
      <w:tr w:rsidR="00046F98" w:rsidRPr="00446CA1" w14:paraId="235E779D" w14:textId="77777777" w:rsidTr="00046F98">
        <w:trPr>
          <w:trHeight w:val="970"/>
        </w:trPr>
        <w:tc>
          <w:tcPr>
            <w:tcW w:w="5086" w:type="dxa"/>
          </w:tcPr>
          <w:p w14:paraId="57A05499" w14:textId="344B8D5D" w:rsidR="00046F98" w:rsidRPr="00001376" w:rsidRDefault="00046F98" w:rsidP="00046F98">
            <w:pPr>
              <w:spacing w:before="100" w:after="100"/>
              <w:rPr>
                <w:rFonts w:ascii="Calibri" w:hAnsi="Calibri" w:cs="Calibri"/>
              </w:rPr>
            </w:pPr>
            <w:r w:rsidRPr="00001376">
              <w:rPr>
                <w:rFonts w:ascii="Calibri" w:hAnsi="Calibri" w:cs="Calibri"/>
              </w:rPr>
              <w:t>75 one-off supply contract approvals valued at $54</w:t>
            </w:r>
            <w:r w:rsidR="001C1034">
              <w:rPr>
                <w:rFonts w:ascii="Calibri" w:hAnsi="Calibri" w:cs="Calibri"/>
              </w:rPr>
              <w:t>.4</w:t>
            </w:r>
            <w:r w:rsidRPr="00001376">
              <w:rPr>
                <w:rFonts w:ascii="Calibri" w:hAnsi="Calibri" w:cs="Calibri"/>
              </w:rPr>
              <w:t xml:space="preserve"> million*</w:t>
            </w:r>
          </w:p>
        </w:tc>
        <w:tc>
          <w:tcPr>
            <w:tcW w:w="3561" w:type="dxa"/>
            <w:vMerge w:val="restart"/>
          </w:tcPr>
          <w:p w14:paraId="3CDA5623" w14:textId="77777777" w:rsidR="00046F98" w:rsidRPr="00446CA1" w:rsidRDefault="00046F98" w:rsidP="00046F98">
            <w:pPr>
              <w:spacing w:before="100" w:after="100"/>
              <w:rPr>
                <w:rFonts w:ascii="Calibri" w:hAnsi="Calibri" w:cs="Calibri"/>
                <w:b/>
              </w:rPr>
            </w:pPr>
            <w:r w:rsidRPr="00446CA1">
              <w:rPr>
                <w:rFonts w:ascii="Calibri" w:hAnsi="Calibri" w:cs="Calibri"/>
                <w:b/>
              </w:rPr>
              <w:t>Top categories of contract approvals</w:t>
            </w:r>
          </w:p>
          <w:p w14:paraId="1F274D6A" w14:textId="77777777" w:rsidR="00046F98" w:rsidRPr="00446CA1" w:rsidRDefault="00046F98" w:rsidP="005C4F4A">
            <w:pPr>
              <w:pStyle w:val="tasblebullet"/>
            </w:pPr>
            <w:r w:rsidRPr="00446CA1">
              <w:t>Specialist providers</w:t>
            </w:r>
          </w:p>
          <w:p w14:paraId="41D1A709" w14:textId="77777777" w:rsidR="00046F98" w:rsidRPr="00446CA1" w:rsidRDefault="00046F98" w:rsidP="005C4F4A">
            <w:pPr>
              <w:pStyle w:val="tasblebullet"/>
            </w:pPr>
            <w:r w:rsidRPr="00446CA1">
              <w:t>IT systems, software and support</w:t>
            </w:r>
          </w:p>
          <w:p w14:paraId="2301E1B5" w14:textId="77777777" w:rsidR="00046F98" w:rsidRPr="00446CA1" w:rsidRDefault="00046F98" w:rsidP="005C4F4A">
            <w:pPr>
              <w:pStyle w:val="tasblebullet"/>
            </w:pPr>
            <w:r w:rsidRPr="00446CA1">
              <w:t>Training</w:t>
            </w:r>
          </w:p>
          <w:p w14:paraId="1A3CA3A4" w14:textId="77777777" w:rsidR="00046F98" w:rsidRPr="00446CA1" w:rsidRDefault="00046F98" w:rsidP="005C4F4A">
            <w:pPr>
              <w:pStyle w:val="tasblebullet"/>
            </w:pPr>
            <w:r w:rsidRPr="00446CA1">
              <w:t xml:space="preserve">Medical supplies </w:t>
            </w:r>
          </w:p>
        </w:tc>
      </w:tr>
      <w:tr w:rsidR="00046F98" w:rsidRPr="00446CA1" w14:paraId="4B67B083" w14:textId="77777777" w:rsidTr="00046F98">
        <w:trPr>
          <w:trHeight w:val="983"/>
        </w:trPr>
        <w:tc>
          <w:tcPr>
            <w:tcW w:w="5086" w:type="dxa"/>
          </w:tcPr>
          <w:p w14:paraId="7A1F7BE0" w14:textId="336C13D0" w:rsidR="00046F98" w:rsidRPr="00001376" w:rsidRDefault="00046F98" w:rsidP="00046F98">
            <w:pPr>
              <w:spacing w:before="100" w:after="100"/>
              <w:rPr>
                <w:rFonts w:ascii="Calibri" w:hAnsi="Calibri" w:cs="Calibri"/>
              </w:rPr>
            </w:pPr>
            <w:r>
              <w:rPr>
                <w:rFonts w:ascii="Calibri" w:hAnsi="Calibri" w:cs="Calibri"/>
              </w:rPr>
              <w:t>7</w:t>
            </w:r>
            <w:r w:rsidRPr="00001376">
              <w:rPr>
                <w:rFonts w:ascii="Calibri" w:hAnsi="Calibri" w:cs="Calibri"/>
              </w:rPr>
              <w:t xml:space="preserve">1 critical incident </w:t>
            </w:r>
            <w:r w:rsidR="002A4EB4">
              <w:rPr>
                <w:rFonts w:ascii="Calibri" w:hAnsi="Calibri" w:cs="Calibri"/>
              </w:rPr>
              <w:t>contract</w:t>
            </w:r>
            <w:r w:rsidR="002A4EB4" w:rsidRPr="00001376">
              <w:rPr>
                <w:rFonts w:ascii="Calibri" w:hAnsi="Calibri" w:cs="Calibri"/>
              </w:rPr>
              <w:t xml:space="preserve"> </w:t>
            </w:r>
            <w:r>
              <w:rPr>
                <w:rFonts w:ascii="Calibri" w:hAnsi="Calibri" w:cs="Calibri"/>
              </w:rPr>
              <w:t xml:space="preserve">approvals </w:t>
            </w:r>
            <w:r w:rsidRPr="00001376">
              <w:rPr>
                <w:rFonts w:ascii="Calibri" w:hAnsi="Calibri" w:cs="Calibri"/>
              </w:rPr>
              <w:t>valued at $</w:t>
            </w:r>
            <w:r>
              <w:rPr>
                <w:rFonts w:ascii="Calibri" w:hAnsi="Calibri" w:cs="Calibri"/>
              </w:rPr>
              <w:t>50</w:t>
            </w:r>
            <w:r w:rsidR="001C1034">
              <w:rPr>
                <w:rFonts w:ascii="Calibri" w:hAnsi="Calibri" w:cs="Calibri"/>
              </w:rPr>
              <w:t>.4</w:t>
            </w:r>
            <w:r w:rsidRPr="00001376">
              <w:rPr>
                <w:rFonts w:ascii="Calibri" w:hAnsi="Calibri" w:cs="Calibri"/>
              </w:rPr>
              <w:t xml:space="preserve"> million</w:t>
            </w:r>
            <w:r w:rsidR="00C3564B">
              <w:rPr>
                <w:rFonts w:ascii="Calibri" w:hAnsi="Calibri" w:cs="Calibri"/>
              </w:rPr>
              <w:t>*</w:t>
            </w:r>
          </w:p>
        </w:tc>
        <w:tc>
          <w:tcPr>
            <w:tcW w:w="3561" w:type="dxa"/>
            <w:vMerge/>
          </w:tcPr>
          <w:p w14:paraId="24E04945" w14:textId="77777777" w:rsidR="00046F98" w:rsidRPr="00446CA1" w:rsidRDefault="00046F98" w:rsidP="00046F98">
            <w:pPr>
              <w:spacing w:before="100" w:after="100"/>
              <w:rPr>
                <w:rFonts w:ascii="Calibri" w:hAnsi="Calibri" w:cs="Calibri"/>
                <w:b/>
              </w:rPr>
            </w:pPr>
          </w:p>
        </w:tc>
      </w:tr>
      <w:tr w:rsidR="00046F98" w:rsidRPr="00446CA1" w14:paraId="36127A88" w14:textId="77777777" w:rsidTr="00046F98">
        <w:trPr>
          <w:trHeight w:val="638"/>
        </w:trPr>
        <w:tc>
          <w:tcPr>
            <w:tcW w:w="5086" w:type="dxa"/>
          </w:tcPr>
          <w:p w14:paraId="63EB6043" w14:textId="09262898" w:rsidR="00046F98" w:rsidRPr="00001376" w:rsidRDefault="00046F98" w:rsidP="00046F98">
            <w:pPr>
              <w:spacing w:before="100" w:after="100"/>
              <w:rPr>
                <w:rFonts w:ascii="Calibri" w:hAnsi="Calibri" w:cs="Calibri"/>
              </w:rPr>
            </w:pPr>
            <w:r w:rsidRPr="00001376">
              <w:rPr>
                <w:rFonts w:ascii="Calibri" w:hAnsi="Calibri" w:cs="Calibri"/>
              </w:rPr>
              <w:t>1 SEPC approval valued at $3.5 million*</w:t>
            </w:r>
          </w:p>
        </w:tc>
        <w:tc>
          <w:tcPr>
            <w:tcW w:w="3561" w:type="dxa"/>
            <w:vMerge w:val="restart"/>
          </w:tcPr>
          <w:p w14:paraId="57D8DFE7" w14:textId="77777777" w:rsidR="00046F98" w:rsidRPr="00001376" w:rsidRDefault="00046F98" w:rsidP="00046F98">
            <w:pPr>
              <w:spacing w:before="100" w:after="100"/>
              <w:rPr>
                <w:rFonts w:ascii="Calibri" w:hAnsi="Calibri" w:cs="Calibri"/>
                <w:b/>
              </w:rPr>
            </w:pPr>
            <w:r w:rsidRPr="00001376">
              <w:rPr>
                <w:rFonts w:ascii="Calibri" w:hAnsi="Calibri" w:cs="Calibri"/>
                <w:b/>
                <w:bCs/>
                <w:lang w:val="en-US"/>
              </w:rPr>
              <w:t>Centre-led</w:t>
            </w:r>
            <w:r w:rsidRPr="00001376">
              <w:rPr>
                <w:rFonts w:ascii="Calibri" w:hAnsi="Calibri" w:cs="Calibri"/>
                <w:lang w:val="en-US"/>
              </w:rPr>
              <w:t xml:space="preserve"> procurement function</w:t>
            </w:r>
          </w:p>
        </w:tc>
      </w:tr>
      <w:tr w:rsidR="00046F98" w:rsidRPr="00446CA1" w14:paraId="7A657CEC" w14:textId="77777777" w:rsidTr="00046F98">
        <w:trPr>
          <w:trHeight w:val="393"/>
        </w:trPr>
        <w:tc>
          <w:tcPr>
            <w:tcW w:w="5086" w:type="dxa"/>
            <w:vMerge w:val="restart"/>
          </w:tcPr>
          <w:p w14:paraId="7DF39688" w14:textId="77777777" w:rsidR="00046F98" w:rsidRPr="00446CA1" w:rsidRDefault="00046F98" w:rsidP="00046F98">
            <w:pPr>
              <w:spacing w:before="100" w:after="100"/>
              <w:rPr>
                <w:rFonts w:ascii="Calibri" w:hAnsi="Calibri" w:cs="Calibri"/>
                <w:bCs/>
                <w:sz w:val="28"/>
                <w:szCs w:val="28"/>
                <w:lang w:val="en-US"/>
              </w:rPr>
            </w:pPr>
            <w:r w:rsidRPr="00446CA1">
              <w:rPr>
                <w:rFonts w:ascii="Calibri" w:hAnsi="Calibri" w:cs="Calibri"/>
                <w:bCs/>
                <w:sz w:val="28"/>
                <w:szCs w:val="28"/>
                <w:lang w:val="en-US"/>
              </w:rPr>
              <w:t>Highlights</w:t>
            </w:r>
          </w:p>
          <w:p w14:paraId="04E2EB87" w14:textId="5984ABB5" w:rsidR="00046F98" w:rsidRPr="00446CA1" w:rsidRDefault="00046F98" w:rsidP="005C4F4A">
            <w:pPr>
              <w:pStyle w:val="tasblebullet"/>
            </w:pPr>
            <w:r w:rsidRPr="00446CA1">
              <w:t xml:space="preserve">Procurement officers took on substantial work to help deliver the </w:t>
            </w:r>
            <w:r w:rsidR="001D2ACD">
              <w:t>G</w:t>
            </w:r>
            <w:r w:rsidRPr="00446CA1">
              <w:t>overnment’s response to COVID-19.</w:t>
            </w:r>
          </w:p>
          <w:p w14:paraId="107240EF" w14:textId="1191854E" w:rsidR="00046F98" w:rsidRPr="00446CA1" w:rsidRDefault="00046F98" w:rsidP="005C4F4A">
            <w:pPr>
              <w:pStyle w:val="tasblebullet"/>
            </w:pPr>
            <w:r w:rsidRPr="00446CA1">
              <w:t>Procurement was involved in establishing 447 contracts and received no complaints during the year.</w:t>
            </w:r>
          </w:p>
          <w:p w14:paraId="0A31CEB8" w14:textId="4F4EFA9E" w:rsidR="00046F98" w:rsidRPr="00446CA1" w:rsidRDefault="00046F98" w:rsidP="005C4F4A">
            <w:pPr>
              <w:pStyle w:val="tasblebullet"/>
            </w:pPr>
            <w:r w:rsidRPr="00446CA1">
              <w:t xml:space="preserve">The </w:t>
            </w:r>
            <w:r w:rsidR="008466A8" w:rsidRPr="00446CA1">
              <w:t>Procurement Branch</w:t>
            </w:r>
            <w:r w:rsidRPr="00446CA1">
              <w:t xml:space="preserve"> used the new Office 365 tools to improve many functions and process, including automating procurement support for low-value procurements, online forms and workflows systems.</w:t>
            </w:r>
          </w:p>
          <w:p w14:paraId="33D41DAB" w14:textId="16B3C8E5" w:rsidR="00046F98" w:rsidRPr="00446CA1" w:rsidRDefault="00046F98" w:rsidP="005C4F4A">
            <w:pPr>
              <w:pStyle w:val="tasblebullet"/>
            </w:pPr>
            <w:r w:rsidRPr="00446CA1">
              <w:t>Procurement officers completed Procurement Fundamentals Skillset training.</w:t>
            </w:r>
          </w:p>
          <w:p w14:paraId="6B830521" w14:textId="77777777" w:rsidR="00046F98" w:rsidRPr="00446CA1" w:rsidRDefault="00046F98" w:rsidP="005C4F4A">
            <w:pPr>
              <w:pStyle w:val="tasblebullet"/>
            </w:pPr>
            <w:r w:rsidRPr="00446CA1">
              <w:t>DHHS continued to implement social procurement and completed the department’s Aboriginal Procurement Target Implementation Plan.</w:t>
            </w:r>
          </w:p>
        </w:tc>
        <w:tc>
          <w:tcPr>
            <w:tcW w:w="3561" w:type="dxa"/>
            <w:vMerge/>
          </w:tcPr>
          <w:p w14:paraId="1C68C54B" w14:textId="77777777" w:rsidR="00046F98" w:rsidRPr="00001376" w:rsidRDefault="00046F98" w:rsidP="00046F98">
            <w:pPr>
              <w:spacing w:before="100" w:after="100"/>
              <w:rPr>
                <w:rFonts w:ascii="Calibri" w:hAnsi="Calibri" w:cs="Calibri"/>
                <w:b/>
              </w:rPr>
            </w:pPr>
          </w:p>
        </w:tc>
      </w:tr>
      <w:tr w:rsidR="00046F98" w:rsidRPr="00446CA1" w14:paraId="4A5ECFAB" w14:textId="77777777" w:rsidTr="001A4935">
        <w:trPr>
          <w:trHeight w:val="4565"/>
        </w:trPr>
        <w:tc>
          <w:tcPr>
            <w:tcW w:w="5086" w:type="dxa"/>
            <w:vMerge/>
          </w:tcPr>
          <w:p w14:paraId="22767028" w14:textId="77777777" w:rsidR="00046F98" w:rsidRPr="00446CA1" w:rsidRDefault="00046F98" w:rsidP="006F3D3F">
            <w:pPr>
              <w:numPr>
                <w:ilvl w:val="0"/>
                <w:numId w:val="12"/>
              </w:numPr>
              <w:spacing w:before="100" w:after="100"/>
              <w:ind w:left="321"/>
              <w:rPr>
                <w:rFonts w:ascii="Calibri" w:hAnsi="Calibri" w:cs="Calibri"/>
              </w:rPr>
            </w:pPr>
          </w:p>
        </w:tc>
        <w:tc>
          <w:tcPr>
            <w:tcW w:w="3561" w:type="dxa"/>
          </w:tcPr>
          <w:p w14:paraId="34B98347" w14:textId="77777777" w:rsidR="00046F98" w:rsidRPr="00001376" w:rsidRDefault="00046F98" w:rsidP="00046F98">
            <w:pPr>
              <w:spacing w:before="100" w:after="100"/>
              <w:ind w:left="45"/>
              <w:rPr>
                <w:rFonts w:ascii="Calibri" w:hAnsi="Calibri" w:cs="Calibri"/>
                <w:lang w:val="en-US"/>
              </w:rPr>
            </w:pPr>
            <w:r w:rsidRPr="00001376">
              <w:rPr>
                <w:rFonts w:ascii="Calibri" w:hAnsi="Calibri" w:cs="Calibri"/>
                <w:lang w:val="en-US"/>
              </w:rPr>
              <w:t xml:space="preserve">Predominantly </w:t>
            </w:r>
            <w:r w:rsidRPr="00001376">
              <w:rPr>
                <w:rFonts w:ascii="Calibri" w:hAnsi="Calibri" w:cs="Calibri"/>
                <w:b/>
                <w:bCs/>
                <w:lang w:val="en-US"/>
              </w:rPr>
              <w:t>strategic</w:t>
            </w:r>
            <w:r w:rsidRPr="00001376">
              <w:rPr>
                <w:rFonts w:ascii="Calibri" w:hAnsi="Calibri" w:cs="Calibri"/>
                <w:lang w:val="en-US"/>
              </w:rPr>
              <w:t xml:space="preserve"> complexity profile</w:t>
            </w:r>
          </w:p>
          <w:p w14:paraId="045BA1E7" w14:textId="4F6BD6F2" w:rsidR="00046F98" w:rsidRPr="00001376" w:rsidRDefault="001A4935" w:rsidP="001A4935">
            <w:pPr>
              <w:spacing w:before="100" w:after="100"/>
              <w:ind w:left="45"/>
              <w:rPr>
                <w:rFonts w:ascii="Calibri" w:hAnsi="Calibri" w:cs="Calibri"/>
              </w:rPr>
            </w:pPr>
            <w:r>
              <w:rPr>
                <w:noProof/>
              </w:rPr>
              <w:drawing>
                <wp:inline distT="0" distB="0" distL="0" distR="0" wp14:anchorId="2BE5BDD4" wp14:editId="47E7BEB8">
                  <wp:extent cx="1842880" cy="2290971"/>
                  <wp:effectExtent l="0" t="0" r="5080" b="14605"/>
                  <wp:docPr id="25" name="Chart 25">
                    <a:extLst xmlns:a="http://schemas.openxmlformats.org/drawingml/2006/main">
                      <a:ext uri="{FF2B5EF4-FFF2-40B4-BE49-F238E27FC236}">
                        <a16:creationId xmlns:a16="http://schemas.microsoft.com/office/drawing/2014/main" id="{9C6C730C-53E7-4934-89A6-BE594EE863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046F98" w:rsidRPr="00565500" w14:paraId="6493BF6E" w14:textId="77777777" w:rsidTr="00046F98">
        <w:tc>
          <w:tcPr>
            <w:tcW w:w="8647" w:type="dxa"/>
            <w:gridSpan w:val="2"/>
          </w:tcPr>
          <w:p w14:paraId="3251A82A" w14:textId="77777777" w:rsidR="00046F98" w:rsidRPr="00565500" w:rsidRDefault="00046F98" w:rsidP="00046F98">
            <w:pPr>
              <w:spacing w:before="100" w:after="100"/>
              <w:rPr>
                <w:rFonts w:ascii="Calibri" w:hAnsi="Calibri" w:cs="Calibri"/>
              </w:rPr>
            </w:pPr>
            <w:r w:rsidRPr="00565500">
              <w:rPr>
                <w:rFonts w:ascii="Calibri" w:hAnsi="Calibri" w:cs="Calibri"/>
                <w:b/>
                <w:bCs/>
                <w:lang w:val="en-US"/>
              </w:rPr>
              <w:t>AO:</w:t>
            </w:r>
            <w:r w:rsidRPr="00565500">
              <w:rPr>
                <w:rFonts w:ascii="Calibri" w:hAnsi="Calibri" w:cs="Calibri"/>
                <w:lang w:val="en-US"/>
              </w:rPr>
              <w:t xml:space="preserve"> </w:t>
            </w:r>
            <w:r w:rsidRPr="00565500">
              <w:rPr>
                <w:rFonts w:ascii="Calibri" w:hAnsi="Calibri" w:cs="Calibri"/>
              </w:rPr>
              <w:t>Kym Peake, Secretary</w:t>
            </w:r>
          </w:p>
          <w:p w14:paraId="01AD3352" w14:textId="77777777" w:rsidR="00046F98" w:rsidRPr="00565500" w:rsidRDefault="00046F98" w:rsidP="00046F98">
            <w:pPr>
              <w:spacing w:before="100" w:after="100"/>
              <w:rPr>
                <w:rFonts w:ascii="Calibri" w:hAnsi="Calibri" w:cs="Calibri"/>
              </w:rPr>
            </w:pPr>
            <w:r w:rsidRPr="00565500">
              <w:rPr>
                <w:rFonts w:ascii="Calibri" w:hAnsi="Calibri" w:cs="Calibri"/>
                <w:b/>
                <w:bCs/>
              </w:rPr>
              <w:t>CPO:</w:t>
            </w:r>
            <w:r w:rsidRPr="00565500">
              <w:rPr>
                <w:rFonts w:ascii="Calibri" w:hAnsi="Calibri" w:cs="Calibri"/>
              </w:rPr>
              <w:t xml:space="preserve"> </w:t>
            </w:r>
            <w:proofErr w:type="spellStart"/>
            <w:r w:rsidRPr="00565500">
              <w:rPr>
                <w:rFonts w:ascii="Calibri" w:hAnsi="Calibri" w:cs="Calibri"/>
              </w:rPr>
              <w:t>Genine</w:t>
            </w:r>
            <w:proofErr w:type="spellEnd"/>
            <w:r w:rsidRPr="00565500">
              <w:rPr>
                <w:rFonts w:ascii="Calibri" w:hAnsi="Calibri" w:cs="Calibri"/>
              </w:rPr>
              <w:t xml:space="preserve"> </w:t>
            </w:r>
            <w:proofErr w:type="spellStart"/>
            <w:r w:rsidRPr="00565500">
              <w:rPr>
                <w:rFonts w:ascii="Calibri" w:hAnsi="Calibri" w:cs="Calibri"/>
              </w:rPr>
              <w:t>Wallinga</w:t>
            </w:r>
            <w:proofErr w:type="spellEnd"/>
            <w:r w:rsidRPr="00565500">
              <w:rPr>
                <w:rFonts w:ascii="Calibri" w:hAnsi="Calibri" w:cs="Calibri"/>
              </w:rPr>
              <w:t>, Director</w:t>
            </w:r>
            <w:r>
              <w:rPr>
                <w:rFonts w:ascii="Calibri" w:hAnsi="Calibri" w:cs="Calibri"/>
              </w:rPr>
              <w:t xml:space="preserve"> and Chief </w:t>
            </w:r>
            <w:r w:rsidRPr="00565500">
              <w:rPr>
                <w:rFonts w:ascii="Calibri" w:hAnsi="Calibri" w:cs="Calibri"/>
              </w:rPr>
              <w:t>Procurement</w:t>
            </w:r>
            <w:r>
              <w:rPr>
                <w:rFonts w:ascii="Calibri" w:hAnsi="Calibri" w:cs="Calibri"/>
              </w:rPr>
              <w:t xml:space="preserve"> Officer</w:t>
            </w:r>
            <w:r w:rsidRPr="00565500">
              <w:rPr>
                <w:rFonts w:ascii="Calibri" w:hAnsi="Calibri" w:cs="Calibri"/>
              </w:rPr>
              <w:t xml:space="preserve">, </w:t>
            </w:r>
            <w:r>
              <w:rPr>
                <w:rFonts w:ascii="Calibri" w:hAnsi="Calibri" w:cs="Calibri"/>
              </w:rPr>
              <w:t xml:space="preserve">Procurement, </w:t>
            </w:r>
            <w:r w:rsidRPr="00565500">
              <w:rPr>
                <w:rFonts w:ascii="Calibri" w:hAnsi="Calibri" w:cs="Calibri"/>
              </w:rPr>
              <w:t>Contract and Business Services</w:t>
            </w:r>
          </w:p>
          <w:p w14:paraId="6C967F04" w14:textId="77777777" w:rsidR="00046F98" w:rsidRPr="00565500" w:rsidRDefault="00046F98" w:rsidP="00046F98">
            <w:pPr>
              <w:spacing w:before="100" w:after="100"/>
              <w:rPr>
                <w:rFonts w:ascii="Calibri" w:hAnsi="Calibri" w:cs="Calibri"/>
                <w:b/>
                <w:lang w:val="en-US"/>
              </w:rPr>
            </w:pPr>
            <w:r w:rsidRPr="00565500">
              <w:rPr>
                <w:rFonts w:ascii="Calibri" w:hAnsi="Calibri" w:cs="Calibri"/>
                <w:b/>
                <w:bCs/>
                <w:lang w:val="en-US"/>
              </w:rPr>
              <w:t>IPU Chair:</w:t>
            </w:r>
            <w:r w:rsidRPr="00565500">
              <w:rPr>
                <w:rFonts w:ascii="Calibri" w:hAnsi="Calibri" w:cs="Calibri"/>
                <w:lang w:val="en-US"/>
              </w:rPr>
              <w:t xml:space="preserve"> </w:t>
            </w:r>
            <w:r w:rsidRPr="00565500">
              <w:rPr>
                <w:rFonts w:ascii="Calibri" w:hAnsi="Calibri" w:cs="Calibri"/>
              </w:rPr>
              <w:t xml:space="preserve">Greg </w:t>
            </w:r>
            <w:proofErr w:type="spellStart"/>
            <w:r w:rsidRPr="00565500">
              <w:rPr>
                <w:rFonts w:ascii="Calibri" w:hAnsi="Calibri" w:cs="Calibri"/>
              </w:rPr>
              <w:t>Stenton</w:t>
            </w:r>
            <w:proofErr w:type="spellEnd"/>
            <w:r w:rsidRPr="00565500">
              <w:rPr>
                <w:rFonts w:ascii="Calibri" w:hAnsi="Calibri" w:cs="Calibri"/>
              </w:rPr>
              <w:t>, Deputy Secretary, Corporate Services</w:t>
            </w:r>
          </w:p>
        </w:tc>
      </w:tr>
    </w:tbl>
    <w:p w14:paraId="1323BD00" w14:textId="77777777" w:rsidR="00046F98" w:rsidRPr="00565500" w:rsidRDefault="00046F98" w:rsidP="00046F98">
      <w:pPr>
        <w:keepNext/>
        <w:keepLines/>
        <w:tabs>
          <w:tab w:val="left" w:pos="851"/>
        </w:tabs>
        <w:spacing w:before="60" w:after="60" w:line="228" w:lineRule="auto"/>
        <w:ind w:left="794"/>
        <w:rPr>
          <w:rFonts w:ascii="Calibri" w:hAnsi="Calibri" w:cs="Calibri"/>
          <w:bCs/>
        </w:rPr>
      </w:pPr>
      <w:r w:rsidRPr="00565500">
        <w:rPr>
          <w:rFonts w:ascii="Calibri" w:hAnsi="Calibri" w:cs="Calibri"/>
          <w:bCs/>
        </w:rPr>
        <w:t>* Contracts valued at $100 000 or more.</w:t>
      </w:r>
    </w:p>
    <w:p w14:paraId="5D165AE7" w14:textId="77777777" w:rsidR="00046F98" w:rsidRPr="00565500" w:rsidRDefault="00046F98" w:rsidP="00046F98">
      <w:pPr>
        <w:rPr>
          <w:rFonts w:ascii="Calibri" w:hAnsi="Calibri" w:cs="Calibri"/>
          <w:b/>
          <w:color w:val="4D4D4D"/>
          <w:kern w:val="28"/>
          <w:sz w:val="26"/>
          <w:lang w:val="en-US"/>
        </w:rPr>
      </w:pPr>
      <w:r w:rsidRPr="00565500">
        <w:br w:type="page"/>
      </w:r>
    </w:p>
    <w:p w14:paraId="3DAA28B5" w14:textId="77777777" w:rsidR="00046F98" w:rsidRPr="00565500" w:rsidRDefault="00046F98" w:rsidP="00046F98">
      <w:pPr>
        <w:keepNext/>
        <w:keepLines/>
        <w:widowControl w:val="0"/>
        <w:spacing w:before="200" w:after="120" w:line="216" w:lineRule="auto"/>
        <w:ind w:left="794"/>
        <w:outlineLvl w:val="2"/>
        <w:rPr>
          <w:rFonts w:ascii="Calibri" w:hAnsi="Calibri" w:cs="Calibri"/>
          <w:b/>
          <w:color w:val="4D4D4D"/>
          <w:kern w:val="28"/>
          <w:sz w:val="26"/>
        </w:rPr>
      </w:pPr>
      <w:r w:rsidRPr="00565500">
        <w:rPr>
          <w:rFonts w:ascii="Calibri" w:hAnsi="Calibri" w:cs="Calibri"/>
          <w:b/>
          <w:color w:val="4D4D4D"/>
          <w:kern w:val="28"/>
          <w:sz w:val="26"/>
        </w:rPr>
        <w:lastRenderedPageBreak/>
        <w:t>Performance</w:t>
      </w:r>
    </w:p>
    <w:p w14:paraId="43E88AF6" w14:textId="51BC2794" w:rsidR="00046F98" w:rsidRDefault="00046F98" w:rsidP="00046F98">
      <w:pPr>
        <w:pStyle w:val="Normal1"/>
        <w:rPr>
          <w:lang w:val="en-US"/>
        </w:rPr>
      </w:pPr>
      <w:r>
        <w:rPr>
          <w:lang w:val="en-US"/>
        </w:rPr>
        <w:t>Most performance measure</w:t>
      </w:r>
      <w:r w:rsidR="00C3564B">
        <w:rPr>
          <w:lang w:val="en-US"/>
        </w:rPr>
        <w:t xml:space="preserve"> results</w:t>
      </w:r>
      <w:r>
        <w:rPr>
          <w:lang w:val="en-US"/>
        </w:rPr>
        <w:t xml:space="preserve"> increased in 2019–20 due to embedding DHHS’ c</w:t>
      </w:r>
      <w:r w:rsidRPr="002E2B07">
        <w:rPr>
          <w:lang w:val="en-US"/>
        </w:rPr>
        <w:t>entre</w:t>
      </w:r>
      <w:r>
        <w:rPr>
          <w:lang w:val="en-US"/>
        </w:rPr>
        <w:t>-</w:t>
      </w:r>
      <w:r w:rsidRPr="002E2B07">
        <w:rPr>
          <w:lang w:val="en-US"/>
        </w:rPr>
        <w:t xml:space="preserve">led approach within department operations. The </w:t>
      </w:r>
      <w:r w:rsidR="00B15BF7" w:rsidRPr="002E2B07">
        <w:rPr>
          <w:lang w:val="en-US"/>
        </w:rPr>
        <w:t xml:space="preserve">Procurement Branch </w:t>
      </w:r>
      <w:r w:rsidRPr="002E2B07">
        <w:rPr>
          <w:lang w:val="en-US"/>
        </w:rPr>
        <w:t>has a strong commitment to continuous improvement which drives greater performance on all procurement functions</w:t>
      </w:r>
      <w:r>
        <w:rPr>
          <w:lang w:val="en-US"/>
        </w:rPr>
        <w:t xml:space="preserve">, </w:t>
      </w:r>
      <w:r w:rsidRPr="002E2B07">
        <w:rPr>
          <w:lang w:val="en-US"/>
        </w:rPr>
        <w:t>includ</w:t>
      </w:r>
      <w:r>
        <w:rPr>
          <w:lang w:val="en-US"/>
        </w:rPr>
        <w:t>ing</w:t>
      </w:r>
      <w:r w:rsidRPr="002E2B07">
        <w:rPr>
          <w:lang w:val="en-US"/>
        </w:rPr>
        <w:t xml:space="preserve"> the performance measures.</w:t>
      </w:r>
    </w:p>
    <w:p w14:paraId="3CFB289A" w14:textId="00287315" w:rsidR="00C3564B" w:rsidRPr="00565500" w:rsidRDefault="00C3564B" w:rsidP="00046F98">
      <w:pPr>
        <w:pStyle w:val="Normal1"/>
        <w:rPr>
          <w:lang w:val="en-US"/>
        </w:rPr>
      </w:pPr>
      <w:r>
        <w:fldChar w:fldCharType="begin"/>
      </w:r>
      <w:r>
        <w:instrText xml:space="preserve"> REF _Ref17123217 \h </w:instrText>
      </w:r>
      <w:r>
        <w:fldChar w:fldCharType="separate"/>
      </w:r>
      <w:r w:rsidR="00152B74" w:rsidRPr="00565500">
        <w:t xml:space="preserve">Table </w:t>
      </w:r>
      <w:r w:rsidR="00152B74">
        <w:rPr>
          <w:noProof/>
        </w:rPr>
        <w:t>28</w:t>
      </w:r>
      <w:r>
        <w:fldChar w:fldCharType="end"/>
      </w:r>
      <w:r>
        <w:t xml:space="preserve"> sets out DHHS’ performance in 2019–20, compared with the previous two years.</w:t>
      </w:r>
    </w:p>
    <w:p w14:paraId="4B27C5B9" w14:textId="20BEC162" w:rsidR="00046F98" w:rsidRPr="00565500" w:rsidRDefault="00046F98" w:rsidP="00046F98">
      <w:pPr>
        <w:pStyle w:val="Caption"/>
        <w:rPr>
          <w:lang w:val="en-US"/>
        </w:rPr>
      </w:pPr>
      <w:bookmarkStart w:id="223" w:name="_Ref17123217"/>
      <w:bookmarkStart w:id="224" w:name="_Toc17130215"/>
      <w:bookmarkStart w:id="225" w:name="_Toc48837161"/>
      <w:bookmarkStart w:id="226" w:name="_Toc49185551"/>
      <w:bookmarkStart w:id="227" w:name="_Ref51160161"/>
      <w:r w:rsidRPr="00565500">
        <w:t xml:space="preserve">Table </w:t>
      </w:r>
      <w:r w:rsidR="00BE0754">
        <w:fldChar w:fldCharType="begin"/>
      </w:r>
      <w:r w:rsidR="00BE0754">
        <w:instrText xml:space="preserve"> SEQ Table \* ARABIC </w:instrText>
      </w:r>
      <w:r w:rsidR="00BE0754">
        <w:fldChar w:fldCharType="separate"/>
      </w:r>
      <w:r w:rsidR="00152B74">
        <w:rPr>
          <w:noProof/>
        </w:rPr>
        <w:t>28</w:t>
      </w:r>
      <w:r w:rsidR="00BE0754">
        <w:rPr>
          <w:noProof/>
        </w:rPr>
        <w:fldChar w:fldCharType="end"/>
      </w:r>
      <w:bookmarkEnd w:id="223"/>
      <w:r w:rsidRPr="00565500">
        <w:t xml:space="preserve">: </w:t>
      </w:r>
      <w:r w:rsidRPr="00565500">
        <w:rPr>
          <w:lang w:val="en-US"/>
        </w:rPr>
        <w:t>DHHS performance in 2019–20</w:t>
      </w:r>
      <w:bookmarkEnd w:id="224"/>
      <w:bookmarkEnd w:id="225"/>
      <w:bookmarkEnd w:id="226"/>
      <w:bookmarkEnd w:id="227"/>
    </w:p>
    <w:tbl>
      <w:tblPr>
        <w:tblStyle w:val="TableGrid1"/>
        <w:tblW w:w="8182" w:type="dxa"/>
        <w:tblInd w:w="704" w:type="dxa"/>
        <w:tblLook w:val="04A0" w:firstRow="1" w:lastRow="0" w:firstColumn="1" w:lastColumn="0" w:noHBand="0" w:noVBand="1"/>
      </w:tblPr>
      <w:tblGrid>
        <w:gridCol w:w="2980"/>
        <w:gridCol w:w="2265"/>
        <w:gridCol w:w="1105"/>
        <w:gridCol w:w="977"/>
        <w:gridCol w:w="855"/>
      </w:tblGrid>
      <w:tr w:rsidR="00046F98" w:rsidRPr="00DA1E79" w14:paraId="43ED0366" w14:textId="77777777" w:rsidTr="006C30F6">
        <w:tc>
          <w:tcPr>
            <w:tcW w:w="5245" w:type="dxa"/>
            <w:gridSpan w:val="2"/>
            <w:vMerge w:val="restart"/>
          </w:tcPr>
          <w:p w14:paraId="4FD9398D" w14:textId="77777777" w:rsidR="00046F98" w:rsidRPr="00DA1E79" w:rsidRDefault="00046F98" w:rsidP="005C4F4A">
            <w:pPr>
              <w:pStyle w:val="TableHeader"/>
            </w:pPr>
            <w:r w:rsidRPr="00DA1E79">
              <w:t>Performance measure</w:t>
            </w:r>
          </w:p>
        </w:tc>
        <w:tc>
          <w:tcPr>
            <w:tcW w:w="1105" w:type="dxa"/>
          </w:tcPr>
          <w:p w14:paraId="5B81ACEA" w14:textId="77777777" w:rsidR="00046F98" w:rsidRPr="00DA1E79" w:rsidRDefault="00046F98" w:rsidP="005C4F4A">
            <w:pPr>
              <w:pStyle w:val="TableHeader"/>
            </w:pPr>
            <w:r w:rsidRPr="00DA1E79">
              <w:t xml:space="preserve">2017–18 </w:t>
            </w:r>
          </w:p>
        </w:tc>
        <w:tc>
          <w:tcPr>
            <w:tcW w:w="977" w:type="dxa"/>
          </w:tcPr>
          <w:p w14:paraId="18D36CEB" w14:textId="77777777" w:rsidR="00046F98" w:rsidRPr="00DA1E79" w:rsidRDefault="00046F98" w:rsidP="005C4F4A">
            <w:pPr>
              <w:pStyle w:val="TableHeader"/>
            </w:pPr>
            <w:r w:rsidRPr="00DA1E79">
              <w:t>2018–19</w:t>
            </w:r>
          </w:p>
        </w:tc>
        <w:tc>
          <w:tcPr>
            <w:tcW w:w="855" w:type="dxa"/>
          </w:tcPr>
          <w:p w14:paraId="02063A08" w14:textId="77777777" w:rsidR="00046F98" w:rsidRPr="00DA1E79" w:rsidRDefault="00046F98" w:rsidP="005C4F4A">
            <w:pPr>
              <w:pStyle w:val="TableHeader"/>
            </w:pPr>
            <w:r w:rsidRPr="00DA1E79">
              <w:t>2019–20</w:t>
            </w:r>
          </w:p>
        </w:tc>
      </w:tr>
      <w:tr w:rsidR="00046F98" w:rsidRPr="00DA1E79" w14:paraId="04E52BB2" w14:textId="77777777" w:rsidTr="006C30F6">
        <w:tc>
          <w:tcPr>
            <w:tcW w:w="5245" w:type="dxa"/>
            <w:gridSpan w:val="2"/>
            <w:vMerge/>
          </w:tcPr>
          <w:p w14:paraId="76A82643" w14:textId="77777777" w:rsidR="00046F98" w:rsidRPr="00DA1E79" w:rsidRDefault="00046F98" w:rsidP="005C4F4A">
            <w:pPr>
              <w:pStyle w:val="TableHeader"/>
            </w:pPr>
          </w:p>
        </w:tc>
        <w:tc>
          <w:tcPr>
            <w:tcW w:w="2937" w:type="dxa"/>
            <w:gridSpan w:val="3"/>
          </w:tcPr>
          <w:p w14:paraId="2BD0D0C0" w14:textId="77777777" w:rsidR="00046F98" w:rsidRPr="00DA1E79" w:rsidRDefault="00046F98" w:rsidP="005C4F4A">
            <w:pPr>
              <w:pStyle w:val="TableHeader"/>
            </w:pPr>
            <w:r w:rsidRPr="00DA1E79">
              <w:t>(%)</w:t>
            </w:r>
          </w:p>
        </w:tc>
      </w:tr>
      <w:tr w:rsidR="00046F98" w:rsidRPr="005C4F4A" w14:paraId="2F5850AA" w14:textId="77777777" w:rsidTr="006C30F6">
        <w:tc>
          <w:tcPr>
            <w:tcW w:w="5245" w:type="dxa"/>
            <w:gridSpan w:val="2"/>
          </w:tcPr>
          <w:p w14:paraId="66CA0C40" w14:textId="77777777" w:rsidR="00046F98" w:rsidRPr="005C4F4A" w:rsidRDefault="00046F98" w:rsidP="005C4F4A">
            <w:pPr>
              <w:pStyle w:val="TableText"/>
              <w:rPr>
                <w:rStyle w:val="Strong"/>
              </w:rPr>
            </w:pPr>
            <w:r w:rsidRPr="005C4F4A">
              <w:rPr>
                <w:rStyle w:val="Strong"/>
              </w:rPr>
              <w:t>Value created from department procurement activity</w:t>
            </w:r>
          </w:p>
        </w:tc>
        <w:tc>
          <w:tcPr>
            <w:tcW w:w="1105" w:type="dxa"/>
          </w:tcPr>
          <w:p w14:paraId="7044E31E" w14:textId="77777777" w:rsidR="00046F98" w:rsidRPr="005C4F4A" w:rsidRDefault="00046F98" w:rsidP="005C4F4A">
            <w:pPr>
              <w:pStyle w:val="TableText"/>
              <w:rPr>
                <w:rStyle w:val="Strong"/>
              </w:rPr>
            </w:pPr>
            <w:r w:rsidRPr="005C4F4A">
              <w:rPr>
                <w:rStyle w:val="Strong"/>
              </w:rPr>
              <w:t>0.8</w:t>
            </w:r>
          </w:p>
        </w:tc>
        <w:tc>
          <w:tcPr>
            <w:tcW w:w="977" w:type="dxa"/>
          </w:tcPr>
          <w:p w14:paraId="1DC9D702" w14:textId="77777777" w:rsidR="00046F98" w:rsidRPr="005C4F4A" w:rsidRDefault="00046F98" w:rsidP="005C4F4A">
            <w:pPr>
              <w:pStyle w:val="TableText"/>
              <w:rPr>
                <w:rStyle w:val="Strong"/>
              </w:rPr>
            </w:pPr>
            <w:r w:rsidRPr="005C4F4A">
              <w:rPr>
                <w:rStyle w:val="Strong"/>
              </w:rPr>
              <w:t>2.0</w:t>
            </w:r>
          </w:p>
        </w:tc>
        <w:tc>
          <w:tcPr>
            <w:tcW w:w="855" w:type="dxa"/>
          </w:tcPr>
          <w:p w14:paraId="634A2AC9" w14:textId="77777777" w:rsidR="00046F98" w:rsidRPr="005C4F4A" w:rsidRDefault="00046F98" w:rsidP="005C4F4A">
            <w:pPr>
              <w:pStyle w:val="TableText"/>
              <w:rPr>
                <w:rStyle w:val="Strong"/>
              </w:rPr>
            </w:pPr>
            <w:r w:rsidRPr="005C4F4A">
              <w:rPr>
                <w:rStyle w:val="Strong"/>
              </w:rPr>
              <w:t>4.1</w:t>
            </w:r>
          </w:p>
        </w:tc>
      </w:tr>
      <w:tr w:rsidR="00046F98" w:rsidRPr="00DA1E79" w14:paraId="35BD8DCB" w14:textId="77777777" w:rsidTr="00046F98">
        <w:tc>
          <w:tcPr>
            <w:tcW w:w="8182" w:type="dxa"/>
            <w:gridSpan w:val="5"/>
          </w:tcPr>
          <w:p w14:paraId="6A1B55F5" w14:textId="77777777" w:rsidR="00046F98" w:rsidRPr="00DA1E79" w:rsidRDefault="00046F98" w:rsidP="005C4F4A">
            <w:pPr>
              <w:pStyle w:val="TableText"/>
            </w:pPr>
            <w:r w:rsidRPr="00DA1E79">
              <w:t xml:space="preserve">DHHS has doubled its result from last year. The centralised procurement team has encouraged customers to engage with them in the early stages of their projects to get advice on sourcing and where to look for savings. </w:t>
            </w:r>
          </w:p>
        </w:tc>
      </w:tr>
      <w:tr w:rsidR="001D2ACD" w:rsidRPr="005C4F4A" w14:paraId="73287613" w14:textId="77777777" w:rsidTr="00436BFB">
        <w:tc>
          <w:tcPr>
            <w:tcW w:w="5245" w:type="dxa"/>
            <w:gridSpan w:val="2"/>
          </w:tcPr>
          <w:p w14:paraId="43F56CE7" w14:textId="77777777" w:rsidR="001D2ACD" w:rsidRPr="005C4F4A" w:rsidRDefault="001D2ACD" w:rsidP="005C4F4A">
            <w:pPr>
              <w:pStyle w:val="TableText"/>
              <w:rPr>
                <w:rStyle w:val="Strong"/>
              </w:rPr>
            </w:pPr>
            <w:r w:rsidRPr="005C4F4A">
              <w:rPr>
                <w:rStyle w:val="Strong"/>
              </w:rPr>
              <w:t>Managed spend</w:t>
            </w:r>
          </w:p>
        </w:tc>
        <w:tc>
          <w:tcPr>
            <w:tcW w:w="1105" w:type="dxa"/>
            <w:shd w:val="clear" w:color="auto" w:fill="FFFFFF" w:themeFill="background1"/>
          </w:tcPr>
          <w:p w14:paraId="395FB0B0" w14:textId="514A9213" w:rsidR="001D2ACD" w:rsidRPr="005C4F4A" w:rsidRDefault="001D2ACD" w:rsidP="005C4F4A">
            <w:pPr>
              <w:pStyle w:val="TableText"/>
              <w:rPr>
                <w:rStyle w:val="Strong"/>
              </w:rPr>
            </w:pPr>
            <w:r w:rsidRPr="005C4F4A">
              <w:rPr>
                <w:rStyle w:val="Strong"/>
              </w:rPr>
              <w:t>n/a</w:t>
            </w:r>
          </w:p>
        </w:tc>
        <w:tc>
          <w:tcPr>
            <w:tcW w:w="977" w:type="dxa"/>
            <w:shd w:val="clear" w:color="auto" w:fill="FFFFFF" w:themeFill="background1"/>
          </w:tcPr>
          <w:p w14:paraId="270A1074" w14:textId="174E6C47" w:rsidR="001D2ACD" w:rsidRPr="005C4F4A" w:rsidRDefault="001D2ACD" w:rsidP="005C4F4A">
            <w:pPr>
              <w:pStyle w:val="TableText"/>
              <w:rPr>
                <w:rStyle w:val="Strong"/>
              </w:rPr>
            </w:pPr>
            <w:r w:rsidRPr="005C4F4A">
              <w:rPr>
                <w:rStyle w:val="Strong"/>
              </w:rPr>
              <w:t>n/a</w:t>
            </w:r>
          </w:p>
        </w:tc>
        <w:tc>
          <w:tcPr>
            <w:tcW w:w="855" w:type="dxa"/>
          </w:tcPr>
          <w:p w14:paraId="4825F4AD" w14:textId="77777777" w:rsidR="001D2ACD" w:rsidRPr="005C4F4A" w:rsidRDefault="001D2ACD" w:rsidP="005C4F4A">
            <w:pPr>
              <w:pStyle w:val="TableText"/>
              <w:rPr>
                <w:rStyle w:val="Strong"/>
              </w:rPr>
            </w:pPr>
            <w:r w:rsidRPr="005C4F4A">
              <w:rPr>
                <w:rStyle w:val="Strong"/>
              </w:rPr>
              <w:t>93.0</w:t>
            </w:r>
          </w:p>
        </w:tc>
      </w:tr>
      <w:tr w:rsidR="00046F98" w:rsidRPr="00DA1E79" w14:paraId="1A732098" w14:textId="77777777" w:rsidTr="00046F98">
        <w:tc>
          <w:tcPr>
            <w:tcW w:w="8182" w:type="dxa"/>
            <w:gridSpan w:val="5"/>
          </w:tcPr>
          <w:p w14:paraId="72469FF3" w14:textId="16B3F4E0" w:rsidR="00046F98" w:rsidRPr="00DA1E79" w:rsidRDefault="00046F98" w:rsidP="005C4F4A">
            <w:pPr>
              <w:pStyle w:val="TableText"/>
            </w:pPr>
            <w:r w:rsidRPr="00DA1E79">
              <w:t>The result of 93</w:t>
            </w:r>
            <w:r w:rsidR="00783F0A">
              <w:t xml:space="preserve"> per cent</w:t>
            </w:r>
            <w:r w:rsidRPr="00DA1E79">
              <w:t xml:space="preserve"> is considered a good outcome. The department has strong processes and systems in place to ensure the significant majority of spend is managed in some manner by the central procurement function.</w:t>
            </w:r>
          </w:p>
        </w:tc>
      </w:tr>
      <w:tr w:rsidR="00046F98" w:rsidRPr="005C4F4A" w14:paraId="75E94755" w14:textId="77777777" w:rsidTr="006C30F6">
        <w:tc>
          <w:tcPr>
            <w:tcW w:w="5245" w:type="dxa"/>
            <w:gridSpan w:val="2"/>
          </w:tcPr>
          <w:p w14:paraId="4DB62FAD" w14:textId="77777777" w:rsidR="00046F98" w:rsidRPr="005C4F4A" w:rsidRDefault="00046F98" w:rsidP="005C4F4A">
            <w:pPr>
              <w:pStyle w:val="TableText"/>
              <w:rPr>
                <w:rStyle w:val="Strong"/>
              </w:rPr>
            </w:pPr>
            <w:r w:rsidRPr="005C4F4A">
              <w:rPr>
                <w:rStyle w:val="Strong"/>
              </w:rPr>
              <w:t>Increase in procurement capability</w:t>
            </w:r>
          </w:p>
        </w:tc>
        <w:tc>
          <w:tcPr>
            <w:tcW w:w="1105" w:type="dxa"/>
          </w:tcPr>
          <w:p w14:paraId="614FCC1F" w14:textId="77777777" w:rsidR="00046F98" w:rsidRPr="005C4F4A" w:rsidRDefault="00046F98" w:rsidP="005C4F4A">
            <w:pPr>
              <w:pStyle w:val="TableText"/>
              <w:rPr>
                <w:rStyle w:val="Strong"/>
              </w:rPr>
            </w:pPr>
            <w:r w:rsidRPr="005C4F4A">
              <w:rPr>
                <w:rStyle w:val="Strong"/>
              </w:rPr>
              <w:t>2.7</w:t>
            </w:r>
          </w:p>
        </w:tc>
        <w:tc>
          <w:tcPr>
            <w:tcW w:w="977" w:type="dxa"/>
          </w:tcPr>
          <w:p w14:paraId="4D56BE04" w14:textId="4AC32531" w:rsidR="00046F98" w:rsidRPr="005C4F4A" w:rsidRDefault="00146183" w:rsidP="005C4F4A">
            <w:pPr>
              <w:pStyle w:val="TableText"/>
              <w:rPr>
                <w:rStyle w:val="Strong"/>
              </w:rPr>
            </w:pPr>
            <w:r w:rsidRPr="005C4F4A">
              <w:rPr>
                <w:rStyle w:val="Strong"/>
              </w:rPr>
              <w:t>−</w:t>
            </w:r>
            <w:r w:rsidR="00046F98" w:rsidRPr="005C4F4A">
              <w:rPr>
                <w:rStyle w:val="Strong"/>
              </w:rPr>
              <w:t>4.0</w:t>
            </w:r>
          </w:p>
        </w:tc>
        <w:tc>
          <w:tcPr>
            <w:tcW w:w="855" w:type="dxa"/>
          </w:tcPr>
          <w:p w14:paraId="13C489DB" w14:textId="77777777" w:rsidR="00046F98" w:rsidRPr="005C4F4A" w:rsidRDefault="00046F98" w:rsidP="005C4F4A">
            <w:pPr>
              <w:pStyle w:val="TableText"/>
              <w:rPr>
                <w:rStyle w:val="Strong"/>
              </w:rPr>
            </w:pPr>
            <w:r w:rsidRPr="005C4F4A">
              <w:rPr>
                <w:rStyle w:val="Strong"/>
              </w:rPr>
              <w:t>2.8</w:t>
            </w:r>
          </w:p>
        </w:tc>
      </w:tr>
      <w:tr w:rsidR="00046F98" w:rsidRPr="00DA1E79" w14:paraId="0D786F08" w14:textId="77777777" w:rsidTr="00046F98">
        <w:tc>
          <w:tcPr>
            <w:tcW w:w="8182" w:type="dxa"/>
            <w:gridSpan w:val="5"/>
          </w:tcPr>
          <w:p w14:paraId="1162919A" w14:textId="5E7360B8" w:rsidR="00046F98" w:rsidRPr="00DA1E79" w:rsidRDefault="00C3564B" w:rsidP="005C4F4A">
            <w:pPr>
              <w:pStyle w:val="TableText"/>
            </w:pPr>
            <w:r>
              <w:t xml:space="preserve">Procurement capability increased from </w:t>
            </w:r>
            <w:r w:rsidR="00046F98" w:rsidRPr="00DA1E79">
              <w:t xml:space="preserve">144 out of 148 (out of 150). DHHS made a big effort to embed new and updated policies like the Social Procurement Framework across the department. All procurement officers completed a procurement fundamental skillset training. </w:t>
            </w:r>
          </w:p>
        </w:tc>
      </w:tr>
      <w:tr w:rsidR="00046F98" w:rsidRPr="005C4F4A" w14:paraId="49741BAC" w14:textId="77777777" w:rsidTr="006C30F6">
        <w:tc>
          <w:tcPr>
            <w:tcW w:w="2980" w:type="dxa"/>
            <w:vMerge w:val="restart"/>
          </w:tcPr>
          <w:p w14:paraId="60482E37" w14:textId="77777777" w:rsidR="00046F98" w:rsidRPr="005C4F4A" w:rsidRDefault="00046F98" w:rsidP="005C4F4A">
            <w:pPr>
              <w:pStyle w:val="TableText"/>
              <w:rPr>
                <w:rStyle w:val="Strong"/>
              </w:rPr>
            </w:pPr>
            <w:r w:rsidRPr="005C4F4A">
              <w:rPr>
                <w:rStyle w:val="Strong"/>
              </w:rPr>
              <w:t>Supplier satisfaction assessment</w:t>
            </w:r>
          </w:p>
        </w:tc>
        <w:tc>
          <w:tcPr>
            <w:tcW w:w="2265" w:type="dxa"/>
          </w:tcPr>
          <w:p w14:paraId="4C21E98B" w14:textId="77777777" w:rsidR="00046F98" w:rsidRPr="005C4F4A" w:rsidRDefault="00046F98" w:rsidP="005C4F4A">
            <w:pPr>
              <w:pStyle w:val="TableText"/>
              <w:rPr>
                <w:rStyle w:val="Strong"/>
              </w:rPr>
            </w:pPr>
            <w:r w:rsidRPr="005C4F4A">
              <w:rPr>
                <w:rStyle w:val="Strong"/>
              </w:rPr>
              <w:t>Successful satisfied</w:t>
            </w:r>
          </w:p>
        </w:tc>
        <w:tc>
          <w:tcPr>
            <w:tcW w:w="1105" w:type="dxa"/>
          </w:tcPr>
          <w:p w14:paraId="4C09531C" w14:textId="77777777" w:rsidR="00046F98" w:rsidRPr="005C4F4A" w:rsidRDefault="00046F98" w:rsidP="005C4F4A">
            <w:pPr>
              <w:pStyle w:val="TableText"/>
              <w:rPr>
                <w:rStyle w:val="Strong"/>
              </w:rPr>
            </w:pPr>
            <w:r w:rsidRPr="005C4F4A">
              <w:rPr>
                <w:rStyle w:val="Strong"/>
              </w:rPr>
              <w:t>78</w:t>
            </w:r>
          </w:p>
        </w:tc>
        <w:tc>
          <w:tcPr>
            <w:tcW w:w="977" w:type="dxa"/>
          </w:tcPr>
          <w:p w14:paraId="1CC63C4E" w14:textId="77777777" w:rsidR="00046F98" w:rsidRPr="005C4F4A" w:rsidRDefault="00046F98" w:rsidP="005C4F4A">
            <w:pPr>
              <w:pStyle w:val="TableText"/>
              <w:rPr>
                <w:rStyle w:val="Strong"/>
              </w:rPr>
            </w:pPr>
            <w:r w:rsidRPr="005C4F4A">
              <w:rPr>
                <w:rStyle w:val="Strong"/>
              </w:rPr>
              <w:t>74</w:t>
            </w:r>
          </w:p>
        </w:tc>
        <w:tc>
          <w:tcPr>
            <w:tcW w:w="855" w:type="dxa"/>
          </w:tcPr>
          <w:p w14:paraId="7C043BB9" w14:textId="77777777" w:rsidR="00046F98" w:rsidRPr="005C4F4A" w:rsidRDefault="00046F98" w:rsidP="005C4F4A">
            <w:pPr>
              <w:pStyle w:val="TableText"/>
              <w:rPr>
                <w:rStyle w:val="Strong"/>
              </w:rPr>
            </w:pPr>
            <w:r w:rsidRPr="005C4F4A">
              <w:rPr>
                <w:rStyle w:val="Strong"/>
              </w:rPr>
              <w:t>83</w:t>
            </w:r>
          </w:p>
        </w:tc>
      </w:tr>
      <w:tr w:rsidR="00046F98" w:rsidRPr="005C4F4A" w14:paraId="7031B2E3" w14:textId="77777777" w:rsidTr="006C30F6">
        <w:tc>
          <w:tcPr>
            <w:tcW w:w="2980" w:type="dxa"/>
            <w:vMerge/>
          </w:tcPr>
          <w:p w14:paraId="06566BE1" w14:textId="77777777" w:rsidR="00046F98" w:rsidRPr="005C4F4A" w:rsidRDefault="00046F98" w:rsidP="005C4F4A">
            <w:pPr>
              <w:pStyle w:val="TableText"/>
              <w:rPr>
                <w:rStyle w:val="Strong"/>
              </w:rPr>
            </w:pPr>
          </w:p>
        </w:tc>
        <w:tc>
          <w:tcPr>
            <w:tcW w:w="2265" w:type="dxa"/>
          </w:tcPr>
          <w:p w14:paraId="3C755AC6" w14:textId="77777777" w:rsidR="00046F98" w:rsidRPr="005C4F4A" w:rsidRDefault="00046F98" w:rsidP="005C4F4A">
            <w:pPr>
              <w:pStyle w:val="TableText"/>
              <w:rPr>
                <w:rStyle w:val="Strong"/>
              </w:rPr>
            </w:pPr>
            <w:r w:rsidRPr="005C4F4A">
              <w:rPr>
                <w:rStyle w:val="Strong"/>
              </w:rPr>
              <w:t>Unsuccessful satisfied</w:t>
            </w:r>
          </w:p>
        </w:tc>
        <w:tc>
          <w:tcPr>
            <w:tcW w:w="1105" w:type="dxa"/>
          </w:tcPr>
          <w:p w14:paraId="7D283511" w14:textId="77777777" w:rsidR="00046F98" w:rsidRPr="005C4F4A" w:rsidRDefault="00046F98" w:rsidP="005C4F4A">
            <w:pPr>
              <w:pStyle w:val="TableText"/>
              <w:rPr>
                <w:rStyle w:val="Strong"/>
              </w:rPr>
            </w:pPr>
            <w:r w:rsidRPr="005C4F4A">
              <w:rPr>
                <w:rStyle w:val="Strong"/>
              </w:rPr>
              <w:t>38</w:t>
            </w:r>
          </w:p>
        </w:tc>
        <w:tc>
          <w:tcPr>
            <w:tcW w:w="977" w:type="dxa"/>
          </w:tcPr>
          <w:p w14:paraId="0A88D6E6" w14:textId="77777777" w:rsidR="00046F98" w:rsidRPr="005C4F4A" w:rsidRDefault="00046F98" w:rsidP="005C4F4A">
            <w:pPr>
              <w:pStyle w:val="TableText"/>
              <w:rPr>
                <w:rStyle w:val="Strong"/>
              </w:rPr>
            </w:pPr>
            <w:r w:rsidRPr="005C4F4A">
              <w:rPr>
                <w:rStyle w:val="Strong"/>
              </w:rPr>
              <w:t>73</w:t>
            </w:r>
          </w:p>
        </w:tc>
        <w:tc>
          <w:tcPr>
            <w:tcW w:w="855" w:type="dxa"/>
          </w:tcPr>
          <w:p w14:paraId="3EA8E3A3" w14:textId="77777777" w:rsidR="00046F98" w:rsidRPr="005C4F4A" w:rsidRDefault="00046F98" w:rsidP="005C4F4A">
            <w:pPr>
              <w:pStyle w:val="TableText"/>
              <w:rPr>
                <w:rStyle w:val="Strong"/>
              </w:rPr>
            </w:pPr>
            <w:r w:rsidRPr="005C4F4A">
              <w:rPr>
                <w:rStyle w:val="Strong"/>
              </w:rPr>
              <w:t>38</w:t>
            </w:r>
          </w:p>
        </w:tc>
      </w:tr>
      <w:tr w:rsidR="00046F98" w:rsidRPr="00DA1E79" w14:paraId="09A97A3C" w14:textId="77777777" w:rsidTr="00046F98">
        <w:tc>
          <w:tcPr>
            <w:tcW w:w="8182" w:type="dxa"/>
            <w:gridSpan w:val="5"/>
          </w:tcPr>
          <w:p w14:paraId="3DA8A407" w14:textId="39D9A990" w:rsidR="00046F98" w:rsidRPr="00DA1E79" w:rsidRDefault="00046F98" w:rsidP="005C4F4A">
            <w:pPr>
              <w:pStyle w:val="TableText"/>
            </w:pPr>
            <w:r w:rsidRPr="00DA1E79">
              <w:t>DHHS sent the survey to all bidders/suppliers at the end of the procurement process and achieved a 16</w:t>
            </w:r>
            <w:r w:rsidR="00783F0A">
              <w:t xml:space="preserve"> per cent</w:t>
            </w:r>
            <w:r w:rsidRPr="00DA1E79">
              <w:t xml:space="preserve"> response rate – </w:t>
            </w:r>
            <w:r w:rsidR="00783F0A">
              <w:t>six</w:t>
            </w:r>
            <w:r w:rsidR="005C4F4A">
              <w:t> </w:t>
            </w:r>
            <w:r w:rsidR="00783F0A">
              <w:t>per cent</w:t>
            </w:r>
            <w:r w:rsidRPr="00DA1E79">
              <w:t xml:space="preserve"> higher than their target response rate. Unsuccessful suppliers were less satisfied than last year. The lowest ratings related to helpfulness of feedback and lack of opportunity to provide feedback about the process. DHHS offers debriefings to unsuccessful suppliers, but without much uptake. The department will look at ways to improve both the quality of debriefs and uptake from suppliers. This should help unsuccessful suppliers understand the process followed, the rationale for the decision made and improvement opportunities for future bids.</w:t>
            </w:r>
          </w:p>
        </w:tc>
      </w:tr>
      <w:tr w:rsidR="00046F98" w:rsidRPr="005C4F4A" w14:paraId="44F1B3EB" w14:textId="77777777" w:rsidTr="006C30F6">
        <w:tc>
          <w:tcPr>
            <w:tcW w:w="5245" w:type="dxa"/>
            <w:gridSpan w:val="2"/>
          </w:tcPr>
          <w:p w14:paraId="45C31388" w14:textId="77777777" w:rsidR="00046F98" w:rsidRPr="005C4F4A" w:rsidRDefault="00046F98" w:rsidP="005C4F4A">
            <w:pPr>
              <w:pStyle w:val="TableText"/>
              <w:rPr>
                <w:rStyle w:val="Strong"/>
              </w:rPr>
            </w:pPr>
            <w:r w:rsidRPr="005C4F4A">
              <w:rPr>
                <w:rStyle w:val="Strong"/>
              </w:rPr>
              <w:t>Planned procurement activity as a % of actual procurement activity</w:t>
            </w:r>
          </w:p>
        </w:tc>
        <w:tc>
          <w:tcPr>
            <w:tcW w:w="1105" w:type="dxa"/>
          </w:tcPr>
          <w:p w14:paraId="67D12A09" w14:textId="77777777" w:rsidR="00046F98" w:rsidRPr="005C4F4A" w:rsidRDefault="00046F98" w:rsidP="005C4F4A">
            <w:pPr>
              <w:pStyle w:val="TableText"/>
              <w:rPr>
                <w:rStyle w:val="Strong"/>
              </w:rPr>
            </w:pPr>
            <w:r w:rsidRPr="005C4F4A">
              <w:rPr>
                <w:rStyle w:val="Strong"/>
              </w:rPr>
              <w:t>9.3</w:t>
            </w:r>
          </w:p>
        </w:tc>
        <w:tc>
          <w:tcPr>
            <w:tcW w:w="977" w:type="dxa"/>
          </w:tcPr>
          <w:p w14:paraId="5E468F1B" w14:textId="77777777" w:rsidR="00046F98" w:rsidRPr="005C4F4A" w:rsidRDefault="00046F98" w:rsidP="005C4F4A">
            <w:pPr>
              <w:pStyle w:val="TableText"/>
              <w:rPr>
                <w:rStyle w:val="Strong"/>
              </w:rPr>
            </w:pPr>
            <w:r w:rsidRPr="005C4F4A">
              <w:rPr>
                <w:rStyle w:val="Strong"/>
              </w:rPr>
              <w:t>11.6</w:t>
            </w:r>
          </w:p>
        </w:tc>
        <w:tc>
          <w:tcPr>
            <w:tcW w:w="855" w:type="dxa"/>
          </w:tcPr>
          <w:p w14:paraId="53ECF7F7" w14:textId="77777777" w:rsidR="00046F98" w:rsidRPr="005C4F4A" w:rsidRDefault="00046F98" w:rsidP="005C4F4A">
            <w:pPr>
              <w:pStyle w:val="TableText"/>
              <w:rPr>
                <w:rStyle w:val="Strong"/>
              </w:rPr>
            </w:pPr>
            <w:r w:rsidRPr="005C4F4A">
              <w:rPr>
                <w:rStyle w:val="Strong"/>
              </w:rPr>
              <w:t>22.4</w:t>
            </w:r>
          </w:p>
        </w:tc>
      </w:tr>
      <w:tr w:rsidR="00046F98" w:rsidRPr="00DA1E79" w14:paraId="3E7C1B99" w14:textId="77777777" w:rsidTr="00046F98">
        <w:tc>
          <w:tcPr>
            <w:tcW w:w="8182" w:type="dxa"/>
            <w:gridSpan w:val="5"/>
          </w:tcPr>
          <w:p w14:paraId="07901B83" w14:textId="77777777" w:rsidR="00046F98" w:rsidRPr="00DA1E79" w:rsidRDefault="00046F98" w:rsidP="005C4F4A">
            <w:pPr>
              <w:pStyle w:val="TableText"/>
            </w:pPr>
            <w:r w:rsidRPr="00DA1E79">
              <w:t xml:space="preserve">The procurement team’s efforts to improve relationships with customers across the business has led to a year-on-year increase in this performance measure. Procurement Services continues to refine procurement planning, particularly encouraging business owners to identify procurement jobs well in advance. </w:t>
            </w:r>
          </w:p>
        </w:tc>
      </w:tr>
    </w:tbl>
    <w:p w14:paraId="3A3BA076" w14:textId="77777777" w:rsidR="00046F98" w:rsidRPr="00565500" w:rsidRDefault="00046F98" w:rsidP="00046F98">
      <w:pPr>
        <w:rPr>
          <w:lang w:val="en-US"/>
        </w:rPr>
      </w:pPr>
    </w:p>
    <w:p w14:paraId="1C87AD94" w14:textId="77777777" w:rsidR="00046F98" w:rsidRPr="00565500" w:rsidRDefault="00046F98" w:rsidP="00046F98">
      <w:pPr>
        <w:rPr>
          <w:lang w:val="en-US"/>
        </w:rPr>
      </w:pPr>
    </w:p>
    <w:p w14:paraId="1C1AD106" w14:textId="77777777" w:rsidR="00046F98" w:rsidRPr="00565500" w:rsidRDefault="00046F98" w:rsidP="00046F98">
      <w:pPr>
        <w:rPr>
          <w:lang w:val="en-US"/>
        </w:rPr>
      </w:pPr>
    </w:p>
    <w:p w14:paraId="4BD186E1" w14:textId="77777777" w:rsidR="00046F98" w:rsidRPr="00565500" w:rsidRDefault="00046F98" w:rsidP="00046F98">
      <w:pPr>
        <w:rPr>
          <w:lang w:val="en-US"/>
        </w:rPr>
      </w:pPr>
    </w:p>
    <w:p w14:paraId="40304C51" w14:textId="77777777" w:rsidR="00046F98" w:rsidRPr="00565500" w:rsidRDefault="00046F98" w:rsidP="00046F98">
      <w:pPr>
        <w:rPr>
          <w:lang w:val="en-US"/>
        </w:rPr>
      </w:pPr>
    </w:p>
    <w:p w14:paraId="7FB3029C" w14:textId="77777777" w:rsidR="00D269B1" w:rsidRDefault="00D269B1">
      <w:pPr>
        <w:rPr>
          <w:rFonts w:ascii="Calibri" w:hAnsi="Calibri" w:cs="Calibri"/>
          <w:color w:val="4D4D4D"/>
          <w:kern w:val="28"/>
          <w:sz w:val="30"/>
          <w:szCs w:val="22"/>
          <w:lang w:eastAsia="en-US"/>
        </w:rPr>
      </w:pPr>
      <w:r>
        <w:br w:type="page"/>
      </w:r>
    </w:p>
    <w:p w14:paraId="41831889" w14:textId="77777777" w:rsidR="001A4935" w:rsidRPr="008F7F71" w:rsidRDefault="001A4935" w:rsidP="001A4935">
      <w:pPr>
        <w:pStyle w:val="Heading2NoNum"/>
      </w:pPr>
      <w:bookmarkStart w:id="228" w:name="_Toc35437753"/>
      <w:bookmarkStart w:id="229" w:name="_Toc52187744"/>
      <w:bookmarkStart w:id="230" w:name="_Hlk47445633"/>
      <w:r w:rsidRPr="008F7F71">
        <w:lastRenderedPageBreak/>
        <w:t>Department of Jobs, Precincts and Regions</w:t>
      </w:r>
      <w:bookmarkEnd w:id="228"/>
      <w:bookmarkEnd w:id="229"/>
    </w:p>
    <w:p w14:paraId="5D510BF8" w14:textId="77777777" w:rsidR="001A4935" w:rsidRPr="008B7338" w:rsidRDefault="001A4935" w:rsidP="001A4935">
      <w:pPr>
        <w:pStyle w:val="Normal1"/>
        <w:rPr>
          <w:highlight w:val="yellow"/>
        </w:rPr>
      </w:pPr>
    </w:p>
    <w:p w14:paraId="09451EE2" w14:textId="77777777" w:rsidR="001A4935" w:rsidRDefault="001A4935" w:rsidP="001A4935">
      <w:pPr>
        <w:pStyle w:val="Normal1"/>
      </w:pPr>
      <w:r>
        <w:t>The Department of Jobs, Precincts and Regions (DJPR) is firmly focused on growing Victoria’s economy and ensuring it benefits all Victorians – by creating more jobs for more people, building thriving places and regions, and supporting inclusive communities.</w:t>
      </w:r>
    </w:p>
    <w:p w14:paraId="3BBE8C42" w14:textId="08342E7C" w:rsidR="001A4935" w:rsidRPr="00905976" w:rsidRDefault="001A4935" w:rsidP="001A4935">
      <w:pPr>
        <w:pStyle w:val="Normal1"/>
        <w:rPr>
          <w:lang w:val="en-US"/>
        </w:rPr>
      </w:pPr>
      <w:r>
        <w:t>DJPR was established on 1</w:t>
      </w:r>
      <w:r w:rsidR="00FE3B3A">
        <w:t> </w:t>
      </w:r>
      <w:r w:rsidRPr="00421545">
        <w:t>January</w:t>
      </w:r>
      <w:r w:rsidR="00FE3B3A">
        <w:t> </w:t>
      </w:r>
      <w:r w:rsidRPr="00421545">
        <w:t>2019 and</w:t>
      </w:r>
      <w:r>
        <w:t xml:space="preserve"> is expected to achieve VGPB </w:t>
      </w:r>
      <w:r>
        <w:rPr>
          <w:lang w:val="en-US"/>
        </w:rPr>
        <w:t>accreditation by December 2020.</w:t>
      </w:r>
    </w:p>
    <w:p w14:paraId="181796BF" w14:textId="77777777" w:rsidR="001A4935" w:rsidRDefault="001A4935" w:rsidP="001A4935">
      <w:pPr>
        <w:pStyle w:val="Heading3NoNum"/>
      </w:pPr>
      <w:r w:rsidRPr="00CD6245">
        <w:t>Procurement profile</w:t>
      </w:r>
      <w:r>
        <w:t xml:space="preserve"> in 2019–20</w:t>
      </w:r>
    </w:p>
    <w:tbl>
      <w:tblPr>
        <w:tblStyle w:val="TableGrid"/>
        <w:tblW w:w="9072" w:type="dxa"/>
        <w:tblInd w:w="704" w:type="dxa"/>
        <w:tblLook w:val="04A0" w:firstRow="1" w:lastRow="0" w:firstColumn="1" w:lastColumn="0" w:noHBand="0" w:noVBand="1"/>
      </w:tblPr>
      <w:tblGrid>
        <w:gridCol w:w="5438"/>
        <w:gridCol w:w="3634"/>
      </w:tblGrid>
      <w:tr w:rsidR="001A4935" w:rsidRPr="00CC1F98" w14:paraId="4EB9750B" w14:textId="77777777" w:rsidTr="001A4935">
        <w:trPr>
          <w:trHeight w:val="773"/>
        </w:trPr>
        <w:tc>
          <w:tcPr>
            <w:tcW w:w="5438" w:type="dxa"/>
          </w:tcPr>
          <w:p w14:paraId="5BFEDDE6" w14:textId="0D10AB85" w:rsidR="001A4935" w:rsidRPr="001207BA" w:rsidRDefault="001A4935" w:rsidP="00190BC9">
            <w:pPr>
              <w:pStyle w:val="Normal1"/>
              <w:ind w:left="0"/>
              <w:rPr>
                <w:sz w:val="24"/>
                <w:szCs w:val="24"/>
              </w:rPr>
            </w:pPr>
            <w:r w:rsidRPr="001207BA">
              <w:rPr>
                <w:sz w:val="24"/>
                <w:szCs w:val="24"/>
              </w:rPr>
              <w:t>158 one-off supply contract approvals valued at $84.8 million*</w:t>
            </w:r>
          </w:p>
        </w:tc>
        <w:tc>
          <w:tcPr>
            <w:tcW w:w="3634" w:type="dxa"/>
            <w:vMerge w:val="restart"/>
          </w:tcPr>
          <w:p w14:paraId="5B93A974" w14:textId="77777777" w:rsidR="001A4935" w:rsidRPr="00D962DA" w:rsidRDefault="001A4935" w:rsidP="00190BC9">
            <w:pPr>
              <w:pStyle w:val="Normal1"/>
              <w:ind w:left="0"/>
              <w:rPr>
                <w:b/>
              </w:rPr>
            </w:pPr>
            <w:r w:rsidRPr="00D962DA">
              <w:rPr>
                <w:b/>
              </w:rPr>
              <w:t xml:space="preserve">Top categories of </w:t>
            </w:r>
            <w:r>
              <w:rPr>
                <w:b/>
              </w:rPr>
              <w:t>contract approval</w:t>
            </w:r>
          </w:p>
          <w:p w14:paraId="4AD8AC5E" w14:textId="77777777" w:rsidR="001A4935" w:rsidRPr="004C7894" w:rsidRDefault="001A4935" w:rsidP="005C4F4A">
            <w:pPr>
              <w:pStyle w:val="tasblebullet"/>
            </w:pPr>
            <w:r w:rsidRPr="004C7894">
              <w:t>Professional services</w:t>
            </w:r>
          </w:p>
          <w:p w14:paraId="75597B32" w14:textId="77777777" w:rsidR="001A4935" w:rsidRPr="004C7894" w:rsidRDefault="001A4935" w:rsidP="005C4F4A">
            <w:pPr>
              <w:pStyle w:val="tasblebullet"/>
            </w:pPr>
            <w:r w:rsidRPr="004C7894">
              <w:t>IT and telecoms</w:t>
            </w:r>
          </w:p>
          <w:p w14:paraId="04D82055" w14:textId="77777777" w:rsidR="001A4935" w:rsidRPr="004C7894" w:rsidRDefault="001A4935" w:rsidP="005C4F4A">
            <w:pPr>
              <w:pStyle w:val="tasblebullet"/>
            </w:pPr>
            <w:r w:rsidRPr="004C7894">
              <w:t>Staffing services</w:t>
            </w:r>
          </w:p>
          <w:p w14:paraId="725D1765" w14:textId="77777777" w:rsidR="001A4935" w:rsidRPr="004C7894" w:rsidRDefault="001A4935" w:rsidP="005C4F4A">
            <w:pPr>
              <w:pStyle w:val="tasblebullet"/>
            </w:pPr>
            <w:r w:rsidRPr="004C7894">
              <w:t>Utilities, property and land</w:t>
            </w:r>
          </w:p>
          <w:p w14:paraId="78577892" w14:textId="77777777" w:rsidR="001A4935" w:rsidRPr="00BD351B" w:rsidRDefault="001A4935" w:rsidP="005C4F4A">
            <w:pPr>
              <w:pStyle w:val="tasblebullet"/>
            </w:pPr>
            <w:r>
              <w:t>Agriculture and marine</w:t>
            </w:r>
          </w:p>
        </w:tc>
      </w:tr>
      <w:tr w:rsidR="001A4935" w:rsidRPr="00CC1F98" w14:paraId="5233E859" w14:textId="77777777" w:rsidTr="001A4935">
        <w:trPr>
          <w:trHeight w:val="772"/>
        </w:trPr>
        <w:tc>
          <w:tcPr>
            <w:tcW w:w="5438" w:type="dxa"/>
          </w:tcPr>
          <w:p w14:paraId="3BCC1883" w14:textId="5916CE59" w:rsidR="001A4935" w:rsidRPr="001207BA" w:rsidRDefault="002A4EB4" w:rsidP="00190BC9">
            <w:pPr>
              <w:pStyle w:val="Normal1"/>
              <w:ind w:left="0"/>
              <w:rPr>
                <w:sz w:val="24"/>
                <w:szCs w:val="24"/>
              </w:rPr>
            </w:pPr>
            <w:r>
              <w:rPr>
                <w:sz w:val="24"/>
                <w:szCs w:val="24"/>
              </w:rPr>
              <w:t>33</w:t>
            </w:r>
            <w:r w:rsidR="001A4935" w:rsidRPr="001207BA">
              <w:rPr>
                <w:sz w:val="24"/>
                <w:szCs w:val="24"/>
              </w:rPr>
              <w:t xml:space="preserve"> critical incident </w:t>
            </w:r>
            <w:r>
              <w:rPr>
                <w:sz w:val="24"/>
                <w:szCs w:val="24"/>
              </w:rPr>
              <w:t>contract</w:t>
            </w:r>
            <w:r w:rsidRPr="001207BA">
              <w:rPr>
                <w:sz w:val="24"/>
                <w:szCs w:val="24"/>
              </w:rPr>
              <w:t xml:space="preserve"> </w:t>
            </w:r>
            <w:r w:rsidR="001A4935" w:rsidRPr="001207BA">
              <w:rPr>
                <w:sz w:val="24"/>
                <w:szCs w:val="24"/>
              </w:rPr>
              <w:t>approvals valued at $1</w:t>
            </w:r>
            <w:r w:rsidR="00D107C1">
              <w:rPr>
                <w:sz w:val="24"/>
                <w:szCs w:val="24"/>
              </w:rPr>
              <w:t>16.8</w:t>
            </w:r>
            <w:r w:rsidR="001A4935" w:rsidRPr="001207BA">
              <w:rPr>
                <w:sz w:val="24"/>
                <w:szCs w:val="24"/>
              </w:rPr>
              <w:t xml:space="preserve"> million</w:t>
            </w:r>
            <w:r w:rsidR="00D107C1" w:rsidRPr="00D107C1">
              <w:rPr>
                <w:sz w:val="24"/>
                <w:szCs w:val="24"/>
              </w:rPr>
              <w:t>†</w:t>
            </w:r>
          </w:p>
        </w:tc>
        <w:tc>
          <w:tcPr>
            <w:tcW w:w="3634" w:type="dxa"/>
            <w:vMerge/>
          </w:tcPr>
          <w:p w14:paraId="1FD53A8D" w14:textId="77777777" w:rsidR="001A4935" w:rsidRPr="00D962DA" w:rsidRDefault="001A4935" w:rsidP="00190BC9">
            <w:pPr>
              <w:pStyle w:val="Normal1"/>
              <w:ind w:left="0"/>
              <w:rPr>
                <w:b/>
              </w:rPr>
            </w:pPr>
          </w:p>
        </w:tc>
      </w:tr>
      <w:tr w:rsidR="001A4935" w:rsidRPr="00CC1F98" w14:paraId="648CA2B3" w14:textId="77777777" w:rsidTr="001A4935">
        <w:trPr>
          <w:trHeight w:val="1155"/>
        </w:trPr>
        <w:tc>
          <w:tcPr>
            <w:tcW w:w="5438" w:type="dxa"/>
            <w:vMerge w:val="restart"/>
          </w:tcPr>
          <w:p w14:paraId="2C656FDB" w14:textId="77777777" w:rsidR="001A4935" w:rsidRDefault="001A4935" w:rsidP="00190BC9">
            <w:pPr>
              <w:pStyle w:val="Normal1"/>
              <w:ind w:left="0"/>
              <w:rPr>
                <w:b/>
                <w:lang w:val="en-US"/>
              </w:rPr>
            </w:pPr>
            <w:r w:rsidRPr="0051388F">
              <w:rPr>
                <w:b/>
                <w:lang w:val="en-US"/>
              </w:rPr>
              <w:t>Highlights</w:t>
            </w:r>
          </w:p>
          <w:p w14:paraId="19B71BB2" w14:textId="77777777" w:rsidR="002A4EB4" w:rsidRPr="005C4F4A" w:rsidRDefault="002A4EB4" w:rsidP="005C4F4A">
            <w:pPr>
              <w:pStyle w:val="tasblebullet"/>
            </w:pPr>
            <w:r>
              <w:t>C</w:t>
            </w:r>
            <w:r w:rsidRPr="005C4F4A">
              <w:t>onducted a procurement model review</w:t>
            </w:r>
            <w:r w:rsidRPr="005C4F4A" w:rsidDel="00852F9B">
              <w:t xml:space="preserve"> </w:t>
            </w:r>
            <w:r w:rsidRPr="005C4F4A">
              <w:t xml:space="preserve">to ensure the recommended model </w:t>
            </w:r>
            <w:proofErr w:type="spellStart"/>
            <w:r w:rsidRPr="005C4F4A">
              <w:t>maximises</w:t>
            </w:r>
            <w:proofErr w:type="spellEnd"/>
            <w:r w:rsidRPr="005C4F4A">
              <w:t xml:space="preserve"> return on investment from procurement activities and aligns with organisational priorities such as Social Procurement and Local Jobs First.</w:t>
            </w:r>
          </w:p>
          <w:p w14:paraId="20AE458C" w14:textId="12BE4D38" w:rsidR="002A4EB4" w:rsidRPr="005C4F4A" w:rsidRDefault="002A4EB4" w:rsidP="005C4F4A">
            <w:pPr>
              <w:pStyle w:val="tasblebullet"/>
            </w:pPr>
            <w:r w:rsidRPr="005C4F4A">
              <w:t>Delivered face-to-face knowledge sharing sessions to internal procurement stakeholders.</w:t>
            </w:r>
          </w:p>
          <w:p w14:paraId="58AEC315" w14:textId="77777777" w:rsidR="002A4EB4" w:rsidRPr="005C4F4A" w:rsidRDefault="002A4EB4" w:rsidP="005C4F4A">
            <w:pPr>
              <w:pStyle w:val="tasblebullet"/>
            </w:pPr>
            <w:r w:rsidRPr="005C4F4A">
              <w:t>Created a dedicated procurement intranet portal.</w:t>
            </w:r>
          </w:p>
          <w:p w14:paraId="437ED173" w14:textId="77777777" w:rsidR="002A4EB4" w:rsidRPr="005C4F4A" w:rsidRDefault="002A4EB4" w:rsidP="005C4F4A">
            <w:pPr>
              <w:pStyle w:val="tasblebullet"/>
            </w:pPr>
            <w:r w:rsidRPr="005C4F4A">
              <w:t>Updated online procurement evaluation training to reflect current policies and best practice.</w:t>
            </w:r>
          </w:p>
          <w:p w14:paraId="711D831F" w14:textId="21845085" w:rsidR="001A4935" w:rsidRPr="005C4F4A" w:rsidRDefault="002A4EB4" w:rsidP="005C4F4A">
            <w:pPr>
              <w:pStyle w:val="tasblebullet"/>
            </w:pPr>
            <w:r w:rsidRPr="005C4F4A">
              <w:t>Launched DJPR’s social procurement strategy.</w:t>
            </w:r>
          </w:p>
        </w:tc>
        <w:tc>
          <w:tcPr>
            <w:tcW w:w="3634" w:type="dxa"/>
            <w:vMerge/>
          </w:tcPr>
          <w:p w14:paraId="143C3367" w14:textId="77777777" w:rsidR="001A4935" w:rsidRPr="00D962DA" w:rsidRDefault="001A4935" w:rsidP="00190BC9">
            <w:pPr>
              <w:pStyle w:val="Normal1"/>
              <w:ind w:left="0"/>
              <w:rPr>
                <w:b/>
              </w:rPr>
            </w:pPr>
          </w:p>
        </w:tc>
      </w:tr>
      <w:tr w:rsidR="001A4935" w:rsidRPr="00CC1F98" w14:paraId="38C8619C" w14:textId="77777777" w:rsidTr="001A4935">
        <w:trPr>
          <w:trHeight w:val="918"/>
        </w:trPr>
        <w:tc>
          <w:tcPr>
            <w:tcW w:w="5438" w:type="dxa"/>
            <w:vMerge/>
          </w:tcPr>
          <w:p w14:paraId="024A9448" w14:textId="77777777" w:rsidR="001A4935" w:rsidRDefault="001A4935" w:rsidP="00190BC9">
            <w:pPr>
              <w:pStyle w:val="Normal1"/>
              <w:ind w:left="0"/>
            </w:pPr>
          </w:p>
        </w:tc>
        <w:tc>
          <w:tcPr>
            <w:tcW w:w="3634" w:type="dxa"/>
            <w:tcBorders>
              <w:bottom w:val="single" w:sz="4" w:space="0" w:color="auto"/>
            </w:tcBorders>
          </w:tcPr>
          <w:p w14:paraId="02274D2D" w14:textId="77777777" w:rsidR="001A4935" w:rsidRPr="005E5585" w:rsidRDefault="001A4935" w:rsidP="001A4935">
            <w:pPr>
              <w:pStyle w:val="Normal1"/>
              <w:numPr>
                <w:ilvl w:val="0"/>
                <w:numId w:val="11"/>
              </w:numPr>
              <w:rPr>
                <w:sz w:val="24"/>
                <w:szCs w:val="24"/>
              </w:rPr>
            </w:pPr>
            <w:r w:rsidRPr="003E406E">
              <w:rPr>
                <w:sz w:val="36"/>
                <w:szCs w:val="36"/>
              </w:rPr>
              <w:t>Centre-led</w:t>
            </w:r>
            <w:r>
              <w:t xml:space="preserve"> procurement function</w:t>
            </w:r>
          </w:p>
        </w:tc>
      </w:tr>
      <w:tr w:rsidR="001A4935" w:rsidRPr="00CC1F98" w14:paraId="732C04D3" w14:textId="77777777" w:rsidTr="001A4935">
        <w:trPr>
          <w:trHeight w:val="918"/>
        </w:trPr>
        <w:tc>
          <w:tcPr>
            <w:tcW w:w="5438" w:type="dxa"/>
            <w:vMerge/>
            <w:tcBorders>
              <w:bottom w:val="single" w:sz="4" w:space="0" w:color="auto"/>
            </w:tcBorders>
          </w:tcPr>
          <w:p w14:paraId="7A55793A" w14:textId="77777777" w:rsidR="001A4935" w:rsidRDefault="001A4935" w:rsidP="00190BC9">
            <w:pPr>
              <w:pStyle w:val="Normal1"/>
              <w:ind w:left="0"/>
            </w:pPr>
          </w:p>
        </w:tc>
        <w:tc>
          <w:tcPr>
            <w:tcW w:w="3634" w:type="dxa"/>
            <w:tcBorders>
              <w:bottom w:val="single" w:sz="4" w:space="0" w:color="auto"/>
            </w:tcBorders>
          </w:tcPr>
          <w:p w14:paraId="3C189D48" w14:textId="77777777" w:rsidR="001A4935" w:rsidRDefault="001A4935" w:rsidP="00190BC9">
            <w:pPr>
              <w:pStyle w:val="Normal1"/>
              <w:ind w:left="0"/>
            </w:pPr>
            <w:r w:rsidRPr="003E406E">
              <w:t>M</w:t>
            </w:r>
            <w:r>
              <w:t>ost</w:t>
            </w:r>
            <w:r w:rsidRPr="003E406E">
              <w:t xml:space="preserve">ly </w:t>
            </w:r>
            <w:r w:rsidRPr="003E406E">
              <w:rPr>
                <w:sz w:val="36"/>
                <w:szCs w:val="36"/>
              </w:rPr>
              <w:t>transactional</w:t>
            </w:r>
            <w:r w:rsidRPr="003E406E">
              <w:t xml:space="preserve"> procurement profile</w:t>
            </w:r>
          </w:p>
          <w:p w14:paraId="1756ACB3" w14:textId="77777777" w:rsidR="001A4935" w:rsidRDefault="001A4935" w:rsidP="00190BC9">
            <w:pPr>
              <w:pStyle w:val="Normal1"/>
              <w:ind w:left="0"/>
            </w:pPr>
            <w:r>
              <w:rPr>
                <w:noProof/>
              </w:rPr>
              <w:drawing>
                <wp:inline distT="0" distB="0" distL="0" distR="0" wp14:anchorId="564632F1" wp14:editId="27E42AB0">
                  <wp:extent cx="1881505" cy="2019300"/>
                  <wp:effectExtent l="0" t="0" r="4445" b="0"/>
                  <wp:docPr id="22" name="Chart 22">
                    <a:extLst xmlns:a="http://schemas.openxmlformats.org/drawingml/2006/main">
                      <a:ext uri="{FF2B5EF4-FFF2-40B4-BE49-F238E27FC236}">
                        <a16:creationId xmlns:a16="http://schemas.microsoft.com/office/drawing/2014/main" id="{9B26E220-5431-427A-9DE3-0F43EED007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1A4935" w:rsidRPr="00CC1F98" w14:paraId="40A79F4A" w14:textId="77777777" w:rsidTr="001A4935">
        <w:tc>
          <w:tcPr>
            <w:tcW w:w="9072" w:type="dxa"/>
            <w:gridSpan w:val="2"/>
          </w:tcPr>
          <w:p w14:paraId="7AC1FC86" w14:textId="77777777" w:rsidR="001A4935" w:rsidRPr="00C000FB" w:rsidRDefault="001A4935" w:rsidP="00190BC9">
            <w:pPr>
              <w:pStyle w:val="Normal1"/>
              <w:ind w:left="0"/>
            </w:pPr>
            <w:r w:rsidRPr="00860EFA">
              <w:rPr>
                <w:b/>
                <w:bCs/>
                <w:lang w:val="en-US"/>
              </w:rPr>
              <w:t>AO:</w:t>
            </w:r>
            <w:r w:rsidRPr="00C000FB">
              <w:rPr>
                <w:lang w:val="en-US"/>
              </w:rPr>
              <w:t xml:space="preserve"> </w:t>
            </w:r>
            <w:r w:rsidRPr="003E406E">
              <w:rPr>
                <w:lang w:val="en-US"/>
              </w:rPr>
              <w:t xml:space="preserve">Simon </w:t>
            </w:r>
            <w:proofErr w:type="spellStart"/>
            <w:r w:rsidRPr="003E406E">
              <w:rPr>
                <w:lang w:val="en-US"/>
              </w:rPr>
              <w:t>Phemister</w:t>
            </w:r>
            <w:proofErr w:type="spellEnd"/>
            <w:r>
              <w:rPr>
                <w:lang w:val="en-US"/>
              </w:rPr>
              <w:t xml:space="preserve">, </w:t>
            </w:r>
            <w:r w:rsidRPr="003E406E">
              <w:rPr>
                <w:lang w:val="en-US"/>
              </w:rPr>
              <w:t>Secretary</w:t>
            </w:r>
          </w:p>
          <w:p w14:paraId="7F0193D7" w14:textId="77777777" w:rsidR="001A4935" w:rsidRPr="005E5585" w:rsidRDefault="001A4935" w:rsidP="00190BC9">
            <w:pPr>
              <w:spacing w:before="40" w:after="40"/>
              <w:rPr>
                <w:rFonts w:ascii="Calibri" w:hAnsi="Calibri" w:cs="Calibri"/>
                <w:sz w:val="22"/>
                <w:szCs w:val="22"/>
                <w:lang w:val="en-US"/>
              </w:rPr>
            </w:pPr>
            <w:r w:rsidRPr="00860EFA">
              <w:rPr>
                <w:rFonts w:ascii="Calibri" w:hAnsi="Calibri" w:cs="Calibri"/>
                <w:b/>
                <w:bCs/>
                <w:sz w:val="22"/>
                <w:szCs w:val="22"/>
                <w:lang w:val="en-US"/>
              </w:rPr>
              <w:t>CPO:</w:t>
            </w:r>
            <w:r w:rsidRPr="005E5585">
              <w:rPr>
                <w:rFonts w:ascii="Calibri" w:hAnsi="Calibri" w:cs="Calibri"/>
                <w:sz w:val="22"/>
                <w:szCs w:val="22"/>
                <w:lang w:val="en-US"/>
              </w:rPr>
              <w:t xml:space="preserve"> </w:t>
            </w:r>
            <w:r w:rsidRPr="003E406E">
              <w:rPr>
                <w:rFonts w:ascii="Calibri" w:hAnsi="Calibri" w:cs="Calibri"/>
                <w:sz w:val="22"/>
                <w:szCs w:val="22"/>
                <w:lang w:val="en-US"/>
              </w:rPr>
              <w:t xml:space="preserve">Jessica </w:t>
            </w:r>
            <w:proofErr w:type="spellStart"/>
            <w:r w:rsidRPr="003E406E">
              <w:rPr>
                <w:rFonts w:ascii="Calibri" w:hAnsi="Calibri" w:cs="Calibri"/>
                <w:sz w:val="22"/>
                <w:szCs w:val="22"/>
                <w:lang w:val="en-US"/>
              </w:rPr>
              <w:t>Lambous</w:t>
            </w:r>
            <w:proofErr w:type="spellEnd"/>
            <w:r>
              <w:rPr>
                <w:rFonts w:ascii="Calibri" w:hAnsi="Calibri" w:cs="Calibri"/>
                <w:sz w:val="22"/>
                <w:szCs w:val="22"/>
                <w:lang w:val="en-US"/>
              </w:rPr>
              <w:t xml:space="preserve">, </w:t>
            </w:r>
            <w:r w:rsidRPr="003E406E">
              <w:rPr>
                <w:rFonts w:ascii="Calibri" w:hAnsi="Calibri" w:cs="Calibri"/>
                <w:sz w:val="22"/>
                <w:szCs w:val="22"/>
                <w:lang w:val="en-US"/>
              </w:rPr>
              <w:t>Executive Director</w:t>
            </w:r>
            <w:r>
              <w:rPr>
                <w:rFonts w:ascii="Calibri" w:hAnsi="Calibri" w:cs="Calibri"/>
                <w:sz w:val="22"/>
                <w:szCs w:val="22"/>
                <w:lang w:val="en-US"/>
              </w:rPr>
              <w:t>, Investment and</w:t>
            </w:r>
            <w:r w:rsidRPr="003E406E">
              <w:rPr>
                <w:rFonts w:ascii="Calibri" w:hAnsi="Calibri" w:cs="Calibri"/>
                <w:sz w:val="22"/>
                <w:szCs w:val="22"/>
                <w:lang w:val="en-US"/>
              </w:rPr>
              <w:t xml:space="preserve"> Procurement</w:t>
            </w:r>
            <w:r>
              <w:rPr>
                <w:rFonts w:ascii="Calibri" w:hAnsi="Calibri" w:cs="Calibri"/>
                <w:sz w:val="22"/>
                <w:szCs w:val="22"/>
                <w:lang w:val="en-US"/>
              </w:rPr>
              <w:t xml:space="preserve">, </w:t>
            </w:r>
            <w:r w:rsidRPr="003E406E">
              <w:rPr>
                <w:rFonts w:ascii="Calibri" w:hAnsi="Calibri" w:cs="Calibri"/>
                <w:sz w:val="22"/>
                <w:szCs w:val="22"/>
                <w:lang w:val="en-US"/>
              </w:rPr>
              <w:t>Corporate Services</w:t>
            </w:r>
            <w:r>
              <w:rPr>
                <w:rFonts w:ascii="Calibri" w:hAnsi="Calibri" w:cs="Calibri"/>
                <w:sz w:val="22"/>
                <w:szCs w:val="22"/>
                <w:lang w:val="en-US"/>
              </w:rPr>
              <w:t xml:space="preserve"> Group</w:t>
            </w:r>
          </w:p>
          <w:p w14:paraId="7A91A659" w14:textId="77777777" w:rsidR="001A4935" w:rsidRPr="00EC599C" w:rsidRDefault="001A4935" w:rsidP="00190BC9">
            <w:pPr>
              <w:spacing w:before="40" w:after="40"/>
              <w:rPr>
                <w:rFonts w:asciiTheme="majorHAnsi" w:hAnsiTheme="majorHAnsi" w:cstheme="majorHAnsi"/>
                <w:b/>
                <w:sz w:val="20"/>
                <w:szCs w:val="20"/>
              </w:rPr>
            </w:pPr>
            <w:r w:rsidRPr="00860EFA">
              <w:rPr>
                <w:rFonts w:ascii="Calibri" w:hAnsi="Calibri" w:cs="Calibri"/>
                <w:b/>
                <w:bCs/>
                <w:sz w:val="22"/>
                <w:szCs w:val="22"/>
                <w:lang w:val="en-US"/>
              </w:rPr>
              <w:t>IPU Chair:</w:t>
            </w:r>
            <w:r w:rsidRPr="005E5585">
              <w:rPr>
                <w:rFonts w:ascii="Calibri" w:hAnsi="Calibri" w:cs="Calibri"/>
                <w:sz w:val="22"/>
                <w:szCs w:val="22"/>
                <w:lang w:val="en-US"/>
              </w:rPr>
              <w:t xml:space="preserve"> </w:t>
            </w:r>
            <w:r>
              <w:rPr>
                <w:rFonts w:ascii="Calibri" w:hAnsi="Calibri" w:cs="Calibri"/>
                <w:sz w:val="22"/>
                <w:szCs w:val="22"/>
                <w:lang w:val="en-US"/>
              </w:rPr>
              <w:t>TBC</w:t>
            </w:r>
          </w:p>
        </w:tc>
      </w:tr>
    </w:tbl>
    <w:p w14:paraId="7996B691" w14:textId="1ED5B29A" w:rsidR="001A4935" w:rsidRDefault="001A4935" w:rsidP="004E6E3F">
      <w:pPr>
        <w:pStyle w:val="Tablenotes"/>
      </w:pPr>
      <w:r>
        <w:t>* Contracts valued at $100 000 or more.</w:t>
      </w:r>
    </w:p>
    <w:p w14:paraId="07317F49" w14:textId="3EF8567D" w:rsidR="00D107C1" w:rsidRDefault="00D107C1" w:rsidP="004E6E3F">
      <w:pPr>
        <w:pStyle w:val="Tablenotes"/>
      </w:pPr>
      <w:r w:rsidRPr="00D107C1">
        <w:rPr>
          <w:sz w:val="24"/>
          <w:szCs w:val="24"/>
        </w:rPr>
        <w:t>†</w:t>
      </w:r>
      <w:r>
        <w:rPr>
          <w:sz w:val="24"/>
          <w:szCs w:val="24"/>
        </w:rPr>
        <w:t xml:space="preserve"> </w:t>
      </w:r>
      <w:r w:rsidRPr="002A1E3B">
        <w:t xml:space="preserve">Contract value </w:t>
      </w:r>
      <w:r w:rsidR="00FD21F8">
        <w:t>excludes</w:t>
      </w:r>
      <w:r w:rsidRPr="002A1E3B">
        <w:t xml:space="preserve"> contracts</w:t>
      </w:r>
      <w:r>
        <w:t xml:space="preserve"> where value is still to be finalis</w:t>
      </w:r>
      <w:r w:rsidRPr="002A1E3B">
        <w:t>ed.</w:t>
      </w:r>
    </w:p>
    <w:p w14:paraId="6EAB0600" w14:textId="77777777" w:rsidR="001A4935" w:rsidRDefault="001A4935">
      <w:pPr>
        <w:rPr>
          <w:rFonts w:ascii="Calibri" w:hAnsi="Calibri" w:cs="Calibri"/>
          <w:b/>
          <w:color w:val="4D4D4D"/>
          <w:kern w:val="28"/>
          <w:sz w:val="26"/>
          <w:szCs w:val="22"/>
          <w:lang w:eastAsia="en-US"/>
        </w:rPr>
      </w:pPr>
      <w:r>
        <w:br w:type="page"/>
      </w:r>
    </w:p>
    <w:p w14:paraId="25E6CCF7" w14:textId="264CE2F1" w:rsidR="001A4935" w:rsidRDefault="001A4935" w:rsidP="001A4935">
      <w:pPr>
        <w:pStyle w:val="Heading3NoNum"/>
      </w:pPr>
      <w:r w:rsidRPr="00CD6245">
        <w:lastRenderedPageBreak/>
        <w:t>Performance</w:t>
      </w:r>
    </w:p>
    <w:p w14:paraId="2251F5FA" w14:textId="29A51F48" w:rsidR="001A4935" w:rsidRPr="0066156B" w:rsidRDefault="001A4935" w:rsidP="001A4935">
      <w:pPr>
        <w:pStyle w:val="Normal1"/>
        <w:rPr>
          <w:lang w:eastAsia="en-US"/>
        </w:rPr>
      </w:pPr>
      <w:r w:rsidRPr="0066156B">
        <w:rPr>
          <w:lang w:eastAsia="en-US"/>
        </w:rPr>
        <w:t xml:space="preserve">DJPR has improved its procurement capability and is continuing to work towards VGPB accreditation. Procurement </w:t>
      </w:r>
      <w:r>
        <w:rPr>
          <w:lang w:eastAsia="en-US"/>
        </w:rPr>
        <w:t xml:space="preserve">in </w:t>
      </w:r>
      <w:r w:rsidRPr="0066156B">
        <w:rPr>
          <w:lang w:eastAsia="en-US"/>
        </w:rPr>
        <w:t>2019</w:t>
      </w:r>
      <w:r>
        <w:rPr>
          <w:lang w:eastAsia="en-US"/>
        </w:rPr>
        <w:t>–</w:t>
      </w:r>
      <w:r w:rsidRPr="0066156B">
        <w:rPr>
          <w:lang w:eastAsia="en-US"/>
        </w:rPr>
        <w:t>20 w</w:t>
      </w:r>
      <w:r w:rsidR="00C3564B">
        <w:rPr>
          <w:lang w:eastAsia="en-US"/>
        </w:rPr>
        <w:t>as</w:t>
      </w:r>
      <w:r w:rsidRPr="0066156B">
        <w:rPr>
          <w:lang w:eastAsia="en-US"/>
        </w:rPr>
        <w:t xml:space="preserve"> largely influenced by the procurement activities relating to response and recovery efforts for critical incidents</w:t>
      </w:r>
      <w:r w:rsidR="002A4EB4">
        <w:rPr>
          <w:lang w:eastAsia="en-US"/>
        </w:rPr>
        <w:t>.</w:t>
      </w:r>
    </w:p>
    <w:p w14:paraId="3D562DEB" w14:textId="3670315C" w:rsidR="001A4935" w:rsidRDefault="00C3564B" w:rsidP="001A4935">
      <w:pPr>
        <w:pStyle w:val="Normal1"/>
      </w:pPr>
      <w:r>
        <w:fldChar w:fldCharType="begin"/>
      </w:r>
      <w:r>
        <w:instrText xml:space="preserve"> REF _Ref51160252 \h </w:instrText>
      </w:r>
      <w:r>
        <w:fldChar w:fldCharType="separate"/>
      </w:r>
      <w:r w:rsidR="00152B74" w:rsidRPr="00CD6245">
        <w:t xml:space="preserve">Table </w:t>
      </w:r>
      <w:r w:rsidR="00152B74">
        <w:rPr>
          <w:noProof/>
        </w:rPr>
        <w:t>29</w:t>
      </w:r>
      <w:r>
        <w:fldChar w:fldCharType="end"/>
      </w:r>
      <w:r w:rsidR="001A4935" w:rsidRPr="00CD6245">
        <w:t xml:space="preserve"> </w:t>
      </w:r>
      <w:r w:rsidR="001A4935">
        <w:t>sets out DJPR’s performance in 2019–20. DJPR was established on 1</w:t>
      </w:r>
      <w:r w:rsidR="00FE3B3A">
        <w:t> </w:t>
      </w:r>
      <w:r w:rsidR="001A4935">
        <w:t>January</w:t>
      </w:r>
      <w:r w:rsidR="00FE3B3A">
        <w:t> </w:t>
      </w:r>
      <w:r w:rsidR="001A4935">
        <w:t xml:space="preserve">2019 so </w:t>
      </w:r>
      <w:r w:rsidR="002A4EB4">
        <w:t>no previous performance data is available.</w:t>
      </w:r>
    </w:p>
    <w:p w14:paraId="2E2C6FC2" w14:textId="7F3B943E" w:rsidR="001A4935" w:rsidRDefault="001A4935" w:rsidP="001A4935">
      <w:pPr>
        <w:pStyle w:val="Caption"/>
      </w:pPr>
      <w:bookmarkStart w:id="231" w:name="_Ref51160252"/>
      <w:bookmarkStart w:id="232" w:name="_Toc48837162"/>
      <w:bookmarkStart w:id="233" w:name="_Toc49185552"/>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29</w:t>
      </w:r>
      <w:r>
        <w:rPr>
          <w:noProof/>
        </w:rPr>
        <w:fldChar w:fldCharType="end"/>
      </w:r>
      <w:bookmarkEnd w:id="231"/>
      <w:r w:rsidRPr="00CD6245">
        <w:t xml:space="preserve">: </w:t>
      </w:r>
      <w:r>
        <w:t>DJPR</w:t>
      </w:r>
      <w:r w:rsidRPr="00CD6245">
        <w:t xml:space="preserve"> performance in </w:t>
      </w:r>
      <w:r>
        <w:t>2019–20</w:t>
      </w:r>
      <w:bookmarkEnd w:id="232"/>
      <w:bookmarkEnd w:id="233"/>
    </w:p>
    <w:tbl>
      <w:tblPr>
        <w:tblStyle w:val="TableGrid1"/>
        <w:tblW w:w="8363" w:type="dxa"/>
        <w:tblInd w:w="704" w:type="dxa"/>
        <w:tblLook w:val="04A0" w:firstRow="1" w:lastRow="0" w:firstColumn="1" w:lastColumn="0" w:noHBand="0" w:noVBand="1"/>
      </w:tblPr>
      <w:tblGrid>
        <w:gridCol w:w="3119"/>
        <w:gridCol w:w="2693"/>
        <w:gridCol w:w="2551"/>
      </w:tblGrid>
      <w:tr w:rsidR="001A4935" w:rsidRPr="00DA1E79" w14:paraId="7696ADBB" w14:textId="77777777" w:rsidTr="00190BC9">
        <w:tc>
          <w:tcPr>
            <w:tcW w:w="5812" w:type="dxa"/>
            <w:gridSpan w:val="2"/>
            <w:vMerge w:val="restart"/>
          </w:tcPr>
          <w:p w14:paraId="79C821B7" w14:textId="77777777" w:rsidR="001A4935" w:rsidRPr="00DA1E79" w:rsidRDefault="001A4935" w:rsidP="005C4F4A">
            <w:pPr>
              <w:pStyle w:val="TableHeader"/>
            </w:pPr>
            <w:r w:rsidRPr="00DA1E79">
              <w:t>Performance measure</w:t>
            </w:r>
          </w:p>
        </w:tc>
        <w:tc>
          <w:tcPr>
            <w:tcW w:w="2551" w:type="dxa"/>
          </w:tcPr>
          <w:p w14:paraId="0DC26B2F" w14:textId="77777777" w:rsidR="001A4935" w:rsidRPr="00DA1E79" w:rsidRDefault="001A4935" w:rsidP="005C4F4A">
            <w:pPr>
              <w:pStyle w:val="TableHeader"/>
            </w:pPr>
            <w:r w:rsidRPr="00DA1E79">
              <w:t>2019–20</w:t>
            </w:r>
          </w:p>
        </w:tc>
      </w:tr>
      <w:tr w:rsidR="001A4935" w:rsidRPr="00DA1E79" w14:paraId="11D4E2E5" w14:textId="77777777" w:rsidTr="00190BC9">
        <w:tc>
          <w:tcPr>
            <w:tcW w:w="5812" w:type="dxa"/>
            <w:gridSpan w:val="2"/>
            <w:vMerge/>
          </w:tcPr>
          <w:p w14:paraId="0D93DFF7" w14:textId="77777777" w:rsidR="001A4935" w:rsidRPr="00DA1E79" w:rsidRDefault="001A4935" w:rsidP="005C4F4A">
            <w:pPr>
              <w:pStyle w:val="TableHeader"/>
            </w:pPr>
          </w:p>
        </w:tc>
        <w:tc>
          <w:tcPr>
            <w:tcW w:w="2551" w:type="dxa"/>
          </w:tcPr>
          <w:p w14:paraId="7D03B21C" w14:textId="77777777" w:rsidR="001A4935" w:rsidRPr="00DA1E79" w:rsidRDefault="001A4935" w:rsidP="005C4F4A">
            <w:pPr>
              <w:pStyle w:val="TableHeader"/>
            </w:pPr>
            <w:r w:rsidRPr="00DA1E79">
              <w:t>%</w:t>
            </w:r>
          </w:p>
        </w:tc>
      </w:tr>
      <w:tr w:rsidR="001A4935" w:rsidRPr="005C4F4A" w14:paraId="1A1C9EE6" w14:textId="77777777" w:rsidTr="00190BC9">
        <w:tc>
          <w:tcPr>
            <w:tcW w:w="5812" w:type="dxa"/>
            <w:gridSpan w:val="2"/>
          </w:tcPr>
          <w:p w14:paraId="2F113572" w14:textId="77777777" w:rsidR="001A4935" w:rsidRPr="005C4F4A" w:rsidRDefault="001A4935" w:rsidP="000B20B5">
            <w:pPr>
              <w:pStyle w:val="TableText"/>
              <w:rPr>
                <w:rStyle w:val="Strong"/>
              </w:rPr>
            </w:pPr>
            <w:r w:rsidRPr="005C4F4A">
              <w:rPr>
                <w:rStyle w:val="Strong"/>
              </w:rPr>
              <w:t>Value created from department procurement activity</w:t>
            </w:r>
          </w:p>
        </w:tc>
        <w:tc>
          <w:tcPr>
            <w:tcW w:w="2551" w:type="dxa"/>
          </w:tcPr>
          <w:p w14:paraId="423C307A" w14:textId="5AF71F1F" w:rsidR="001A4935" w:rsidRPr="005C4F4A" w:rsidRDefault="00A7030D" w:rsidP="000B20B5">
            <w:pPr>
              <w:pStyle w:val="TableText"/>
              <w:rPr>
                <w:rStyle w:val="Strong"/>
              </w:rPr>
            </w:pPr>
            <w:r w:rsidRPr="005C4F4A">
              <w:rPr>
                <w:rStyle w:val="Strong"/>
              </w:rPr>
              <w:t xml:space="preserve"> –</w:t>
            </w:r>
          </w:p>
        </w:tc>
      </w:tr>
      <w:tr w:rsidR="001A4935" w:rsidRPr="005F2BDA" w14:paraId="0284E57B" w14:textId="77777777" w:rsidTr="00190BC9">
        <w:tc>
          <w:tcPr>
            <w:tcW w:w="8363" w:type="dxa"/>
            <w:gridSpan w:val="3"/>
          </w:tcPr>
          <w:p w14:paraId="5708AA94" w14:textId="42BB5DEE" w:rsidR="001A4935" w:rsidRPr="005F2BDA" w:rsidRDefault="00684472" w:rsidP="000B20B5">
            <w:pPr>
              <w:pStyle w:val="TableText"/>
            </w:pPr>
            <w:r w:rsidRPr="007A12CC">
              <w:t xml:space="preserve">DJPR operates a decentralised procurement model with mandatory requirements to demonstrate value for money. However, the model does not currently capture monetary value from procurement activity. DJPR is considering initiatives to increase visibility of cost saving achievements across the </w:t>
            </w:r>
            <w:r w:rsidR="00EE5B77">
              <w:t>d</w:t>
            </w:r>
            <w:r w:rsidRPr="007A12CC">
              <w:t>epartment.</w:t>
            </w:r>
          </w:p>
        </w:tc>
      </w:tr>
      <w:tr w:rsidR="001A4935" w:rsidRPr="005C4F4A" w14:paraId="59EBE60F" w14:textId="77777777" w:rsidTr="00190BC9">
        <w:tc>
          <w:tcPr>
            <w:tcW w:w="5812" w:type="dxa"/>
            <w:gridSpan w:val="2"/>
          </w:tcPr>
          <w:p w14:paraId="3F6460DF" w14:textId="77777777" w:rsidR="001A4935" w:rsidRPr="005C4F4A" w:rsidRDefault="001A4935" w:rsidP="000B20B5">
            <w:pPr>
              <w:pStyle w:val="TableText"/>
              <w:rPr>
                <w:rStyle w:val="Strong"/>
              </w:rPr>
            </w:pPr>
            <w:r w:rsidRPr="005C4F4A">
              <w:rPr>
                <w:rStyle w:val="Strong"/>
              </w:rPr>
              <w:t>Managed spend</w:t>
            </w:r>
          </w:p>
        </w:tc>
        <w:tc>
          <w:tcPr>
            <w:tcW w:w="2551" w:type="dxa"/>
          </w:tcPr>
          <w:p w14:paraId="08E525E8" w14:textId="77777777" w:rsidR="001A4935" w:rsidRPr="005C4F4A" w:rsidRDefault="001A4935" w:rsidP="000B20B5">
            <w:pPr>
              <w:pStyle w:val="TableText"/>
              <w:rPr>
                <w:rStyle w:val="Strong"/>
              </w:rPr>
            </w:pPr>
            <w:r w:rsidRPr="005C4F4A">
              <w:rPr>
                <w:rStyle w:val="Strong"/>
              </w:rPr>
              <w:t>8.2</w:t>
            </w:r>
          </w:p>
        </w:tc>
      </w:tr>
      <w:tr w:rsidR="002A4EB4" w:rsidRPr="006C6059" w14:paraId="0BBCA322" w14:textId="77777777" w:rsidTr="00190BC9">
        <w:tc>
          <w:tcPr>
            <w:tcW w:w="8363" w:type="dxa"/>
            <w:gridSpan w:val="3"/>
          </w:tcPr>
          <w:p w14:paraId="49E5B0CE" w14:textId="248088B1" w:rsidR="002A4EB4" w:rsidRPr="005F2BDA" w:rsidRDefault="002A4EB4" w:rsidP="000B20B5">
            <w:pPr>
              <w:pStyle w:val="TableText"/>
            </w:pPr>
            <w:r w:rsidRPr="00346C13">
              <w:t xml:space="preserve">DJPR has </w:t>
            </w:r>
            <w:r w:rsidRPr="006635BC">
              <w:t xml:space="preserve">introduced a monthly </w:t>
            </w:r>
            <w:proofErr w:type="spellStart"/>
            <w:r w:rsidRPr="006635BC">
              <w:t>PowerBI</w:t>
            </w:r>
            <w:proofErr w:type="spellEnd"/>
            <w:r w:rsidRPr="006635BC">
              <w:t xml:space="preserve"> dashboard for senior stakeholders to increase</w:t>
            </w:r>
            <w:r w:rsidRPr="00346C13">
              <w:t xml:space="preserve"> visibility</w:t>
            </w:r>
            <w:r w:rsidRPr="006635BC">
              <w:t xml:space="preserve"> of</w:t>
            </w:r>
            <w:r w:rsidRPr="00346C13">
              <w:t xml:space="preserve"> procurement </w:t>
            </w:r>
            <w:r w:rsidRPr="006635BC">
              <w:t>expenditure across the department</w:t>
            </w:r>
            <w:r w:rsidRPr="00346C13">
              <w:t>.</w:t>
            </w:r>
          </w:p>
        </w:tc>
      </w:tr>
      <w:tr w:rsidR="002A4EB4" w:rsidRPr="005C4F4A" w14:paraId="232B7FFA" w14:textId="77777777" w:rsidTr="00190BC9">
        <w:tc>
          <w:tcPr>
            <w:tcW w:w="5812" w:type="dxa"/>
            <w:gridSpan w:val="2"/>
          </w:tcPr>
          <w:p w14:paraId="5ECB1017" w14:textId="77777777" w:rsidR="002A4EB4" w:rsidRPr="005C4F4A" w:rsidRDefault="002A4EB4" w:rsidP="000B20B5">
            <w:pPr>
              <w:pStyle w:val="TableText"/>
              <w:rPr>
                <w:rStyle w:val="Strong"/>
              </w:rPr>
            </w:pPr>
            <w:r w:rsidRPr="005C4F4A">
              <w:rPr>
                <w:rStyle w:val="Strong"/>
              </w:rPr>
              <w:t>Increase in procurement capability</w:t>
            </w:r>
          </w:p>
        </w:tc>
        <w:tc>
          <w:tcPr>
            <w:tcW w:w="2551" w:type="dxa"/>
          </w:tcPr>
          <w:p w14:paraId="2F3519CC" w14:textId="77777777" w:rsidR="002A4EB4" w:rsidRPr="005C4F4A" w:rsidRDefault="002A4EB4" w:rsidP="000B20B5">
            <w:pPr>
              <w:pStyle w:val="TableText"/>
              <w:rPr>
                <w:rStyle w:val="Strong"/>
              </w:rPr>
            </w:pPr>
            <w:r w:rsidRPr="005C4F4A">
              <w:rPr>
                <w:rStyle w:val="Strong"/>
              </w:rPr>
              <w:t>10.6</w:t>
            </w:r>
          </w:p>
        </w:tc>
      </w:tr>
      <w:tr w:rsidR="002A4EB4" w:rsidRPr="006C6059" w14:paraId="6BE9D216" w14:textId="77777777" w:rsidTr="00190BC9">
        <w:tc>
          <w:tcPr>
            <w:tcW w:w="8363" w:type="dxa"/>
            <w:gridSpan w:val="3"/>
          </w:tcPr>
          <w:p w14:paraId="56D95DA1" w14:textId="037C36C1" w:rsidR="002A4EB4" w:rsidRPr="005F2BDA" w:rsidRDefault="002A4EB4" w:rsidP="000B20B5">
            <w:pPr>
              <w:pStyle w:val="TableText"/>
            </w:pPr>
            <w:r>
              <w:t xml:space="preserve">Procurement capability increased from 104 to 115 out of 150, following increased training for buyers, creation of a dedicated procurement intranet page and increased use of DJPR’s online procurement community of practice. </w:t>
            </w:r>
          </w:p>
        </w:tc>
      </w:tr>
      <w:tr w:rsidR="002A4EB4" w:rsidRPr="005C4F4A" w14:paraId="444FB7DC" w14:textId="77777777" w:rsidTr="00190BC9">
        <w:tc>
          <w:tcPr>
            <w:tcW w:w="3119" w:type="dxa"/>
            <w:vMerge w:val="restart"/>
          </w:tcPr>
          <w:p w14:paraId="042D85B7" w14:textId="77777777" w:rsidR="002A4EB4" w:rsidRPr="005C4F4A" w:rsidRDefault="002A4EB4" w:rsidP="000B20B5">
            <w:pPr>
              <w:pStyle w:val="TableText"/>
              <w:rPr>
                <w:rStyle w:val="Strong"/>
              </w:rPr>
            </w:pPr>
            <w:r w:rsidRPr="005C4F4A">
              <w:rPr>
                <w:rStyle w:val="Strong"/>
              </w:rPr>
              <w:t>Supplier satisfaction assessment</w:t>
            </w:r>
          </w:p>
        </w:tc>
        <w:tc>
          <w:tcPr>
            <w:tcW w:w="2693" w:type="dxa"/>
          </w:tcPr>
          <w:p w14:paraId="616F6A5C" w14:textId="77777777" w:rsidR="002A4EB4" w:rsidRPr="005C4F4A" w:rsidRDefault="002A4EB4" w:rsidP="000B20B5">
            <w:pPr>
              <w:pStyle w:val="TableText"/>
              <w:rPr>
                <w:rStyle w:val="Strong"/>
              </w:rPr>
            </w:pPr>
            <w:r w:rsidRPr="005C4F4A">
              <w:rPr>
                <w:rStyle w:val="Strong"/>
              </w:rPr>
              <w:t>Successful satisfied</w:t>
            </w:r>
          </w:p>
        </w:tc>
        <w:tc>
          <w:tcPr>
            <w:tcW w:w="2551" w:type="dxa"/>
          </w:tcPr>
          <w:p w14:paraId="0A50440F" w14:textId="77777777" w:rsidR="002A4EB4" w:rsidRPr="005C4F4A" w:rsidRDefault="002A4EB4" w:rsidP="000B20B5">
            <w:pPr>
              <w:pStyle w:val="TableText"/>
              <w:rPr>
                <w:rStyle w:val="Strong"/>
              </w:rPr>
            </w:pPr>
            <w:r w:rsidRPr="005C4F4A">
              <w:rPr>
                <w:rStyle w:val="Strong"/>
              </w:rPr>
              <w:t>86</w:t>
            </w:r>
          </w:p>
        </w:tc>
      </w:tr>
      <w:tr w:rsidR="002A4EB4" w:rsidRPr="005C4F4A" w14:paraId="57A31294" w14:textId="77777777" w:rsidTr="00190BC9">
        <w:tc>
          <w:tcPr>
            <w:tcW w:w="3119" w:type="dxa"/>
            <w:vMerge/>
          </w:tcPr>
          <w:p w14:paraId="414D468B" w14:textId="77777777" w:rsidR="002A4EB4" w:rsidRPr="005C4F4A" w:rsidRDefault="002A4EB4" w:rsidP="000B20B5">
            <w:pPr>
              <w:pStyle w:val="TableText"/>
              <w:rPr>
                <w:rStyle w:val="Strong"/>
              </w:rPr>
            </w:pPr>
          </w:p>
        </w:tc>
        <w:tc>
          <w:tcPr>
            <w:tcW w:w="2693" w:type="dxa"/>
          </w:tcPr>
          <w:p w14:paraId="4C98113F" w14:textId="77777777" w:rsidR="002A4EB4" w:rsidRPr="005C4F4A" w:rsidRDefault="002A4EB4" w:rsidP="000B20B5">
            <w:pPr>
              <w:pStyle w:val="TableText"/>
              <w:rPr>
                <w:rStyle w:val="Strong"/>
              </w:rPr>
            </w:pPr>
            <w:r w:rsidRPr="005C4F4A">
              <w:rPr>
                <w:rStyle w:val="Strong"/>
              </w:rPr>
              <w:t>Unsuccessful satisfied</w:t>
            </w:r>
          </w:p>
        </w:tc>
        <w:tc>
          <w:tcPr>
            <w:tcW w:w="2551" w:type="dxa"/>
          </w:tcPr>
          <w:p w14:paraId="00DA740F" w14:textId="77777777" w:rsidR="002A4EB4" w:rsidRPr="005C4F4A" w:rsidRDefault="002A4EB4" w:rsidP="000B20B5">
            <w:pPr>
              <w:pStyle w:val="TableText"/>
              <w:rPr>
                <w:rStyle w:val="Strong"/>
              </w:rPr>
            </w:pPr>
            <w:r w:rsidRPr="005C4F4A">
              <w:rPr>
                <w:rStyle w:val="Strong"/>
              </w:rPr>
              <w:t>57</w:t>
            </w:r>
          </w:p>
        </w:tc>
      </w:tr>
      <w:tr w:rsidR="002A4EB4" w:rsidRPr="006C6059" w14:paraId="4CAD93C3" w14:textId="77777777" w:rsidTr="00190BC9">
        <w:tc>
          <w:tcPr>
            <w:tcW w:w="8363" w:type="dxa"/>
            <w:gridSpan w:val="3"/>
          </w:tcPr>
          <w:p w14:paraId="260C9B46" w14:textId="560E93FD" w:rsidR="002A4EB4" w:rsidRPr="005F2BDA" w:rsidRDefault="002A4EB4" w:rsidP="000B20B5">
            <w:pPr>
              <w:pStyle w:val="TableText"/>
            </w:pPr>
            <w:r>
              <w:t>Suppliers were generally satisfied with DJPR's procurement process.</w:t>
            </w:r>
          </w:p>
        </w:tc>
      </w:tr>
      <w:tr w:rsidR="002A4EB4" w:rsidRPr="005C4F4A" w14:paraId="17B500DE" w14:textId="77777777" w:rsidTr="00190BC9">
        <w:tc>
          <w:tcPr>
            <w:tcW w:w="5812" w:type="dxa"/>
            <w:gridSpan w:val="2"/>
          </w:tcPr>
          <w:p w14:paraId="3A0A76AF" w14:textId="77777777" w:rsidR="002A4EB4" w:rsidRPr="005C4F4A" w:rsidRDefault="002A4EB4" w:rsidP="000B20B5">
            <w:pPr>
              <w:pStyle w:val="TableText"/>
              <w:rPr>
                <w:rStyle w:val="Strong"/>
              </w:rPr>
            </w:pPr>
            <w:r w:rsidRPr="005C4F4A">
              <w:rPr>
                <w:rStyle w:val="Strong"/>
              </w:rPr>
              <w:t>Planned procurement activity as a % of actual procurement activity</w:t>
            </w:r>
          </w:p>
        </w:tc>
        <w:tc>
          <w:tcPr>
            <w:tcW w:w="2551" w:type="dxa"/>
          </w:tcPr>
          <w:p w14:paraId="3E77DF0E" w14:textId="77777777" w:rsidR="002A4EB4" w:rsidRPr="005C4F4A" w:rsidRDefault="002A4EB4" w:rsidP="000B20B5">
            <w:pPr>
              <w:pStyle w:val="TableText"/>
              <w:rPr>
                <w:rStyle w:val="Strong"/>
              </w:rPr>
            </w:pPr>
            <w:r w:rsidRPr="005C4F4A">
              <w:rPr>
                <w:rStyle w:val="Strong"/>
              </w:rPr>
              <w:t>38.5</w:t>
            </w:r>
          </w:p>
        </w:tc>
      </w:tr>
      <w:tr w:rsidR="002A4EB4" w:rsidRPr="006C6059" w14:paraId="0D7500FF" w14:textId="77777777" w:rsidTr="00190BC9">
        <w:tc>
          <w:tcPr>
            <w:tcW w:w="8363" w:type="dxa"/>
            <w:gridSpan w:val="3"/>
          </w:tcPr>
          <w:p w14:paraId="15EF03E4" w14:textId="4213D1D6" w:rsidR="002A4EB4" w:rsidRPr="005F2BDA" w:rsidRDefault="002A4EB4" w:rsidP="000B20B5">
            <w:pPr>
              <w:pStyle w:val="TableText"/>
            </w:pPr>
            <w:r w:rsidRPr="00195CD2">
              <w:t>DJPR</w:t>
            </w:r>
            <w:r>
              <w:t>’s</w:t>
            </w:r>
            <w:r w:rsidRPr="00195CD2">
              <w:t xml:space="preserve"> </w:t>
            </w:r>
            <w:r>
              <w:t>planned procurement was significantly impacted by procurement activities relating to response and recovery efforts for critical incidents.</w:t>
            </w:r>
            <w:r w:rsidR="008443AA">
              <w:t xml:space="preserve"> </w:t>
            </w:r>
          </w:p>
        </w:tc>
      </w:tr>
    </w:tbl>
    <w:p w14:paraId="5CB3EED5" w14:textId="77777777" w:rsidR="001A4935" w:rsidRDefault="001A4935" w:rsidP="001A4935">
      <w:pPr>
        <w:pStyle w:val="Normal1"/>
      </w:pPr>
    </w:p>
    <w:p w14:paraId="7DDE440E" w14:textId="77777777" w:rsidR="001A4935" w:rsidRPr="008B7338" w:rsidRDefault="001A4935" w:rsidP="001A4935">
      <w:pPr>
        <w:pStyle w:val="Normal1"/>
        <w:rPr>
          <w:highlight w:val="yellow"/>
        </w:rPr>
      </w:pPr>
    </w:p>
    <w:p w14:paraId="52E5D5C1" w14:textId="77777777" w:rsidR="001A4935" w:rsidRDefault="001A4935" w:rsidP="001A4935"/>
    <w:p w14:paraId="564CFA37" w14:textId="77777777" w:rsidR="00C628E3" w:rsidRDefault="00C628E3" w:rsidP="00DC6C8A">
      <w:pPr>
        <w:pStyle w:val="Normal1"/>
      </w:pPr>
    </w:p>
    <w:p w14:paraId="6228989E" w14:textId="77777777" w:rsidR="00AA53B7" w:rsidRPr="008B7338" w:rsidRDefault="00AA53B7" w:rsidP="00AA53B7">
      <w:pPr>
        <w:pStyle w:val="Normal1"/>
        <w:rPr>
          <w:highlight w:val="yellow"/>
        </w:rPr>
      </w:pPr>
    </w:p>
    <w:bookmarkEnd w:id="230"/>
    <w:p w14:paraId="4A73D557" w14:textId="77777777" w:rsidR="00AA53B7" w:rsidRDefault="00AA53B7" w:rsidP="00AA53B7">
      <w:pPr>
        <w:spacing w:after="160" w:line="259" w:lineRule="auto"/>
        <w:rPr>
          <w:rFonts w:ascii="Calibri" w:hAnsi="Calibri" w:cs="Calibri"/>
          <w:b/>
          <w:color w:val="4D4D4D"/>
          <w:kern w:val="28"/>
          <w:sz w:val="26"/>
          <w:szCs w:val="22"/>
          <w:lang w:eastAsia="en-US"/>
        </w:rPr>
      </w:pPr>
    </w:p>
    <w:p w14:paraId="58CC52AE" w14:textId="77777777" w:rsidR="00AA53B7" w:rsidRPr="006C6059" w:rsidRDefault="00AA53B7" w:rsidP="00AA53B7">
      <w:pPr>
        <w:pStyle w:val="Bullet1"/>
        <w:numPr>
          <w:ilvl w:val="0"/>
          <w:numId w:val="0"/>
        </w:numPr>
        <w:ind w:left="1077" w:hanging="283"/>
        <w:rPr>
          <w:lang w:val="en-US"/>
        </w:rPr>
      </w:pPr>
    </w:p>
    <w:p w14:paraId="318CC284" w14:textId="77777777" w:rsidR="00AA53B7" w:rsidRPr="00A051E2" w:rsidRDefault="00AA53B7" w:rsidP="00AA53B7">
      <w:pPr>
        <w:rPr>
          <w:lang w:eastAsia="en-US"/>
        </w:rPr>
      </w:pPr>
    </w:p>
    <w:bookmarkEnd w:id="220"/>
    <w:bookmarkEnd w:id="221"/>
    <w:p w14:paraId="000F0B9D" w14:textId="77777777" w:rsidR="00EC599C" w:rsidRDefault="00EC599C" w:rsidP="00EC599C">
      <w:pPr>
        <w:pStyle w:val="Bullet1"/>
        <w:numPr>
          <w:ilvl w:val="0"/>
          <w:numId w:val="0"/>
        </w:numPr>
        <w:ind w:left="1077" w:hanging="283"/>
      </w:pPr>
    </w:p>
    <w:p w14:paraId="5C3D285A" w14:textId="77777777" w:rsidR="00EC599C" w:rsidRDefault="00EC599C" w:rsidP="00EC599C">
      <w:pPr>
        <w:pStyle w:val="Bullet1"/>
        <w:numPr>
          <w:ilvl w:val="0"/>
          <w:numId w:val="0"/>
        </w:numPr>
        <w:ind w:left="1077" w:hanging="283"/>
      </w:pPr>
    </w:p>
    <w:p w14:paraId="3141E5E1" w14:textId="77777777" w:rsidR="00EC599C" w:rsidRPr="00EA43F0" w:rsidRDefault="00EC599C" w:rsidP="00EC599C">
      <w:pPr>
        <w:rPr>
          <w:rFonts w:ascii="Calibri" w:hAnsi="Calibri" w:cs="Calibri"/>
          <w:b/>
          <w:color w:val="4D4D4D"/>
          <w:kern w:val="28"/>
          <w:sz w:val="26"/>
          <w:szCs w:val="22"/>
          <w:lang w:eastAsia="en-US"/>
        </w:rPr>
      </w:pPr>
      <w:r>
        <w:br w:type="page"/>
      </w:r>
    </w:p>
    <w:p w14:paraId="6BCA2204" w14:textId="32120EA9" w:rsidR="008C5A65" w:rsidRDefault="008C5A65" w:rsidP="008C5A65">
      <w:pPr>
        <w:pStyle w:val="Heading2NoNum"/>
      </w:pPr>
      <w:bookmarkStart w:id="234" w:name="_Toc35437754"/>
      <w:bookmarkStart w:id="235" w:name="_Toc52187745"/>
      <w:bookmarkStart w:id="236" w:name="_Hlk17193231"/>
      <w:bookmarkStart w:id="237" w:name="_Hlk47694835"/>
      <w:r w:rsidRPr="00160B30">
        <w:lastRenderedPageBreak/>
        <w:t>Department of Justice and Community Safety</w:t>
      </w:r>
      <w:bookmarkEnd w:id="234"/>
      <w:bookmarkEnd w:id="235"/>
    </w:p>
    <w:p w14:paraId="4487E9FD" w14:textId="56F2E00D" w:rsidR="008C5A65" w:rsidRDefault="008C5A65" w:rsidP="008C5A65">
      <w:pPr>
        <w:pStyle w:val="Normal1"/>
      </w:pPr>
      <w:r>
        <w:t>The Department of Justice and Community Safety</w:t>
      </w:r>
      <w:r w:rsidR="00011CC4">
        <w:t xml:space="preserve"> (DJCS)</w:t>
      </w:r>
      <w:r>
        <w:t xml:space="preserve"> lead</w:t>
      </w:r>
      <w:r w:rsidR="003165DA">
        <w:t>s</w:t>
      </w:r>
      <w:r>
        <w:t xml:space="preserve"> the delivery of justice and community safety services in Victoria by providing policy and organisational management. Its extensive service delivery responsibilities range from managing the state’s prison system to providing consumer protection and enforcing court warrants.</w:t>
      </w:r>
    </w:p>
    <w:p w14:paraId="045847A1" w14:textId="77777777" w:rsidR="008C5A65" w:rsidRDefault="008C5A65" w:rsidP="008C5A65">
      <w:pPr>
        <w:pStyle w:val="Heading3NoNum"/>
      </w:pPr>
      <w:r w:rsidRPr="00CD6245">
        <w:t>Procurement profile</w:t>
      </w:r>
      <w:r>
        <w:t xml:space="preserve"> in 2019–20</w:t>
      </w:r>
    </w:p>
    <w:tbl>
      <w:tblPr>
        <w:tblStyle w:val="TableGrid"/>
        <w:tblW w:w="8233" w:type="dxa"/>
        <w:tblInd w:w="846" w:type="dxa"/>
        <w:tblLook w:val="04A0" w:firstRow="1" w:lastRow="0" w:firstColumn="1" w:lastColumn="0" w:noHBand="0" w:noVBand="1"/>
      </w:tblPr>
      <w:tblGrid>
        <w:gridCol w:w="4819"/>
        <w:gridCol w:w="3402"/>
        <w:gridCol w:w="12"/>
      </w:tblGrid>
      <w:tr w:rsidR="008C5A65" w:rsidRPr="00CC1F98" w14:paraId="7C11DF57" w14:textId="77777777" w:rsidTr="005C4F4A">
        <w:trPr>
          <w:gridAfter w:val="1"/>
          <w:wAfter w:w="12" w:type="dxa"/>
        </w:trPr>
        <w:tc>
          <w:tcPr>
            <w:tcW w:w="4819" w:type="dxa"/>
          </w:tcPr>
          <w:p w14:paraId="49C0A781" w14:textId="34A5FA7B" w:rsidR="008C5A65" w:rsidRPr="00C628E3" w:rsidRDefault="008C5A65" w:rsidP="00190BC9">
            <w:pPr>
              <w:pStyle w:val="Normal1"/>
              <w:ind w:left="0"/>
              <w:rPr>
                <w:sz w:val="28"/>
                <w:szCs w:val="28"/>
              </w:rPr>
            </w:pPr>
            <w:r>
              <w:rPr>
                <w:sz w:val="28"/>
                <w:szCs w:val="28"/>
              </w:rPr>
              <w:t>82</w:t>
            </w:r>
            <w:r w:rsidRPr="00C628E3">
              <w:rPr>
                <w:sz w:val="28"/>
                <w:szCs w:val="28"/>
              </w:rPr>
              <w:t xml:space="preserve"> one-off supply contract valued at $</w:t>
            </w:r>
            <w:r>
              <w:rPr>
                <w:sz w:val="28"/>
                <w:szCs w:val="28"/>
              </w:rPr>
              <w:t>403</w:t>
            </w:r>
            <w:r w:rsidR="00106A0B">
              <w:rPr>
                <w:sz w:val="28"/>
                <w:szCs w:val="28"/>
              </w:rPr>
              <w:t>.3</w:t>
            </w:r>
            <w:r>
              <w:rPr>
                <w:sz w:val="28"/>
                <w:szCs w:val="28"/>
              </w:rPr>
              <w:t> </w:t>
            </w:r>
            <w:r w:rsidRPr="00C628E3">
              <w:rPr>
                <w:sz w:val="28"/>
                <w:szCs w:val="28"/>
              </w:rPr>
              <w:t>million*</w:t>
            </w:r>
          </w:p>
        </w:tc>
        <w:tc>
          <w:tcPr>
            <w:tcW w:w="3402" w:type="dxa"/>
          </w:tcPr>
          <w:p w14:paraId="7EE6ECA8" w14:textId="77777777" w:rsidR="008C5A65" w:rsidRPr="009C6019" w:rsidRDefault="008C5A65" w:rsidP="00190BC9">
            <w:pPr>
              <w:pStyle w:val="Normal1"/>
              <w:ind w:left="0"/>
              <w:rPr>
                <w:sz w:val="24"/>
                <w:szCs w:val="24"/>
              </w:rPr>
            </w:pPr>
            <w:r w:rsidRPr="009C6019">
              <w:rPr>
                <w:b/>
                <w:bCs/>
                <w:sz w:val="24"/>
                <w:szCs w:val="24"/>
                <w:lang w:val="en-US"/>
              </w:rPr>
              <w:t xml:space="preserve">Centralised </w:t>
            </w:r>
            <w:r w:rsidRPr="009C6019">
              <w:rPr>
                <w:sz w:val="24"/>
                <w:szCs w:val="24"/>
                <w:lang w:val="en-US"/>
              </w:rPr>
              <w:t xml:space="preserve">procurement </w:t>
            </w:r>
            <w:r>
              <w:rPr>
                <w:sz w:val="24"/>
                <w:szCs w:val="24"/>
                <w:lang w:val="en-US"/>
              </w:rPr>
              <w:t>model</w:t>
            </w:r>
          </w:p>
        </w:tc>
      </w:tr>
      <w:tr w:rsidR="008C5A65" w:rsidRPr="00CC1F98" w14:paraId="57C7AC8A" w14:textId="77777777" w:rsidTr="005C4F4A">
        <w:trPr>
          <w:gridAfter w:val="1"/>
          <w:wAfter w:w="12" w:type="dxa"/>
          <w:trHeight w:val="671"/>
        </w:trPr>
        <w:tc>
          <w:tcPr>
            <w:tcW w:w="4819" w:type="dxa"/>
          </w:tcPr>
          <w:p w14:paraId="54B2059D" w14:textId="7E62EE1D" w:rsidR="008C5A65" w:rsidRPr="003B029F" w:rsidRDefault="008C5A65" w:rsidP="00190BC9">
            <w:pPr>
              <w:pStyle w:val="Normal1"/>
              <w:ind w:left="0"/>
              <w:rPr>
                <w:bCs/>
                <w:lang w:val="en-US"/>
              </w:rPr>
            </w:pPr>
            <w:r w:rsidRPr="00242B13">
              <w:rPr>
                <w:sz w:val="28"/>
                <w:szCs w:val="28"/>
              </w:rPr>
              <w:t xml:space="preserve">1 SEPC </w:t>
            </w:r>
            <w:r w:rsidR="002A4EB4">
              <w:rPr>
                <w:sz w:val="28"/>
                <w:szCs w:val="28"/>
              </w:rPr>
              <w:t xml:space="preserve">approval </w:t>
            </w:r>
            <w:r w:rsidRPr="00242B13">
              <w:rPr>
                <w:sz w:val="28"/>
                <w:szCs w:val="28"/>
              </w:rPr>
              <w:t>valued at $1</w:t>
            </w:r>
            <w:r>
              <w:rPr>
                <w:sz w:val="28"/>
                <w:szCs w:val="28"/>
              </w:rPr>
              <w:t>81</w:t>
            </w:r>
            <w:r w:rsidRPr="00242B13">
              <w:rPr>
                <w:sz w:val="28"/>
                <w:szCs w:val="28"/>
              </w:rPr>
              <w:t>,</w:t>
            </w:r>
            <w:r>
              <w:rPr>
                <w:sz w:val="28"/>
                <w:szCs w:val="28"/>
              </w:rPr>
              <w:t>6</w:t>
            </w:r>
            <w:r w:rsidRPr="00242B13">
              <w:rPr>
                <w:sz w:val="28"/>
                <w:szCs w:val="28"/>
              </w:rPr>
              <w:t>00</w:t>
            </w:r>
            <w:r>
              <w:rPr>
                <w:sz w:val="28"/>
                <w:szCs w:val="28"/>
              </w:rPr>
              <w:t>*</w:t>
            </w:r>
          </w:p>
        </w:tc>
        <w:tc>
          <w:tcPr>
            <w:tcW w:w="3402" w:type="dxa"/>
            <w:vMerge w:val="restart"/>
          </w:tcPr>
          <w:p w14:paraId="4C8E3F5C" w14:textId="77777777" w:rsidR="008C5A65" w:rsidRPr="00D962DA" w:rsidRDefault="008C5A65" w:rsidP="00190BC9">
            <w:pPr>
              <w:pStyle w:val="Normal1"/>
              <w:ind w:left="0"/>
              <w:rPr>
                <w:b/>
              </w:rPr>
            </w:pPr>
            <w:r w:rsidRPr="00D962DA">
              <w:rPr>
                <w:b/>
              </w:rPr>
              <w:t xml:space="preserve">Top categories of </w:t>
            </w:r>
            <w:r>
              <w:rPr>
                <w:b/>
              </w:rPr>
              <w:t>contract approvals</w:t>
            </w:r>
          </w:p>
          <w:p w14:paraId="082198C6" w14:textId="77777777" w:rsidR="008C5A65" w:rsidRPr="004C7894" w:rsidRDefault="008C5A65" w:rsidP="005C4F4A">
            <w:pPr>
              <w:pStyle w:val="tasblebullet"/>
            </w:pPr>
            <w:r w:rsidRPr="004C7894">
              <w:t>Outsourced services</w:t>
            </w:r>
          </w:p>
          <w:p w14:paraId="0BEE8A12" w14:textId="77777777" w:rsidR="008C5A65" w:rsidRPr="004C7894" w:rsidRDefault="008C5A65" w:rsidP="005C4F4A">
            <w:pPr>
              <w:pStyle w:val="tasblebullet"/>
            </w:pPr>
            <w:r w:rsidRPr="004C7894">
              <w:t>Pr</w:t>
            </w:r>
            <w:r>
              <w:t>isoner</w:t>
            </w:r>
            <w:r w:rsidRPr="004C7894">
              <w:t xml:space="preserve"> services</w:t>
            </w:r>
          </w:p>
          <w:p w14:paraId="59339979" w14:textId="77777777" w:rsidR="008C5A65" w:rsidRPr="004C7894" w:rsidRDefault="008C5A65" w:rsidP="005C4F4A">
            <w:pPr>
              <w:pStyle w:val="tasblebullet"/>
            </w:pPr>
            <w:r>
              <w:t>Food services</w:t>
            </w:r>
          </w:p>
          <w:p w14:paraId="2B9394FE" w14:textId="77777777" w:rsidR="008C5A65" w:rsidRPr="00D962DA" w:rsidRDefault="008C5A65" w:rsidP="005C4F4A">
            <w:pPr>
              <w:pStyle w:val="tasblebullet"/>
              <w:rPr>
                <w:b/>
              </w:rPr>
            </w:pPr>
            <w:r>
              <w:t>Forensic services</w:t>
            </w:r>
          </w:p>
        </w:tc>
      </w:tr>
      <w:tr w:rsidR="008C5A65" w:rsidRPr="00CC1F98" w14:paraId="25BEB5E9" w14:textId="77777777" w:rsidTr="005C4F4A">
        <w:trPr>
          <w:gridAfter w:val="1"/>
          <w:wAfter w:w="12" w:type="dxa"/>
          <w:trHeight w:val="671"/>
        </w:trPr>
        <w:tc>
          <w:tcPr>
            <w:tcW w:w="4819" w:type="dxa"/>
          </w:tcPr>
          <w:p w14:paraId="223302ED" w14:textId="675901FB" w:rsidR="008C5A65" w:rsidRPr="00242B13" w:rsidRDefault="008C5A65" w:rsidP="00190BC9">
            <w:pPr>
              <w:pStyle w:val="Normal1"/>
              <w:ind w:left="0"/>
              <w:rPr>
                <w:sz w:val="28"/>
                <w:szCs w:val="28"/>
              </w:rPr>
            </w:pPr>
            <w:r>
              <w:rPr>
                <w:sz w:val="28"/>
                <w:szCs w:val="28"/>
              </w:rPr>
              <w:t xml:space="preserve">95 critical incident </w:t>
            </w:r>
            <w:r w:rsidR="002A4EB4">
              <w:rPr>
                <w:sz w:val="28"/>
                <w:szCs w:val="28"/>
              </w:rPr>
              <w:t xml:space="preserve">contract </w:t>
            </w:r>
            <w:r>
              <w:rPr>
                <w:sz w:val="28"/>
                <w:szCs w:val="28"/>
              </w:rPr>
              <w:t>approvals valued at $38.6 million*</w:t>
            </w:r>
          </w:p>
        </w:tc>
        <w:tc>
          <w:tcPr>
            <w:tcW w:w="3402" w:type="dxa"/>
            <w:vMerge/>
          </w:tcPr>
          <w:p w14:paraId="1A03FAF1" w14:textId="77777777" w:rsidR="008C5A65" w:rsidRPr="00D962DA" w:rsidRDefault="008C5A65" w:rsidP="00190BC9">
            <w:pPr>
              <w:pStyle w:val="Normal1"/>
              <w:ind w:left="0"/>
              <w:rPr>
                <w:b/>
              </w:rPr>
            </w:pPr>
          </w:p>
        </w:tc>
      </w:tr>
      <w:tr w:rsidR="008C5A65" w:rsidRPr="00CC1F98" w14:paraId="09AAB916" w14:textId="77777777" w:rsidTr="005C4F4A">
        <w:trPr>
          <w:gridAfter w:val="1"/>
          <w:wAfter w:w="12" w:type="dxa"/>
          <w:trHeight w:val="621"/>
        </w:trPr>
        <w:tc>
          <w:tcPr>
            <w:tcW w:w="4819" w:type="dxa"/>
            <w:vMerge w:val="restart"/>
          </w:tcPr>
          <w:p w14:paraId="205574A0" w14:textId="77777777" w:rsidR="008C5A65" w:rsidRDefault="008C5A65" w:rsidP="00190BC9">
            <w:pPr>
              <w:pStyle w:val="Normal1"/>
              <w:ind w:left="0"/>
              <w:rPr>
                <w:b/>
                <w:lang w:val="en-US"/>
              </w:rPr>
            </w:pPr>
            <w:r w:rsidRPr="0051388F">
              <w:rPr>
                <w:b/>
                <w:lang w:val="en-US"/>
              </w:rPr>
              <w:t>Highlights</w:t>
            </w:r>
          </w:p>
          <w:p w14:paraId="0967F4D2" w14:textId="68463A00" w:rsidR="008C5A65" w:rsidRPr="009C6019" w:rsidRDefault="008C5A65" w:rsidP="005C4F4A">
            <w:pPr>
              <w:pStyle w:val="tasblebullet"/>
            </w:pPr>
            <w:r>
              <w:t>Set up a pilot for category management of IT services.</w:t>
            </w:r>
          </w:p>
          <w:p w14:paraId="7427D5D5" w14:textId="692C1366" w:rsidR="008C5A65" w:rsidRDefault="008C5A65" w:rsidP="005C4F4A">
            <w:pPr>
              <w:pStyle w:val="tasblebullet"/>
            </w:pPr>
            <w:r>
              <w:t xml:space="preserve">Implemented a data </w:t>
            </w:r>
            <w:r w:rsidRPr="00E548AD">
              <w:t xml:space="preserve">analysis tool to support </w:t>
            </w:r>
            <w:r>
              <w:t xml:space="preserve">the new </w:t>
            </w:r>
            <w:r w:rsidRPr="00E548AD">
              <w:t>category management structure</w:t>
            </w:r>
            <w:r>
              <w:t>.</w:t>
            </w:r>
          </w:p>
          <w:p w14:paraId="37433967" w14:textId="6F5924AD" w:rsidR="008C5A65" w:rsidRDefault="008C5A65" w:rsidP="005C4F4A">
            <w:pPr>
              <w:pStyle w:val="tasblebullet"/>
            </w:pPr>
            <w:r>
              <w:t>Started a p</w:t>
            </w:r>
            <w:r w:rsidRPr="00E548AD">
              <w:t xml:space="preserve">rocure-to-pay </w:t>
            </w:r>
            <w:r>
              <w:t>p</w:t>
            </w:r>
            <w:r w:rsidRPr="00E548AD">
              <w:t>roject</w:t>
            </w:r>
            <w:r>
              <w:t xml:space="preserve"> </w:t>
            </w:r>
            <w:r w:rsidRPr="00E548AD">
              <w:t xml:space="preserve">to </w:t>
            </w:r>
            <w:r>
              <w:t xml:space="preserve">make it easier to make </w:t>
            </w:r>
            <w:r w:rsidRPr="00E548AD">
              <w:t>simple purchas</w:t>
            </w:r>
            <w:r>
              <w:t xml:space="preserve">es </w:t>
            </w:r>
            <w:r w:rsidRPr="00E548AD">
              <w:t>for procurement activities under $250</w:t>
            </w:r>
            <w:r w:rsidR="00C3564B">
              <w:t> </w:t>
            </w:r>
            <w:r>
              <w:t>000.</w:t>
            </w:r>
          </w:p>
          <w:p w14:paraId="28FDE2FC" w14:textId="77777777" w:rsidR="008C5A65" w:rsidRDefault="008C5A65" w:rsidP="005C4F4A">
            <w:pPr>
              <w:pStyle w:val="tasblebullet"/>
            </w:pPr>
            <w:r>
              <w:t xml:space="preserve">Upgraded Zycus and completed a simplification project, including </w:t>
            </w:r>
            <w:r w:rsidRPr="009C6019">
              <w:t>DocuSign for electronic signing of contracts.</w:t>
            </w:r>
          </w:p>
          <w:p w14:paraId="2EF9AAB9" w14:textId="69F0EDC3" w:rsidR="008C5A65" w:rsidRDefault="008C5A65" w:rsidP="005C4F4A">
            <w:pPr>
              <w:pStyle w:val="tasblebullet"/>
            </w:pPr>
            <w:r>
              <w:t xml:space="preserve">Exceeded 1 per cent target for </w:t>
            </w:r>
            <w:r w:rsidR="004D2268">
              <w:t>A</w:t>
            </w:r>
            <w:r>
              <w:t xml:space="preserve">boriginal procurement. </w:t>
            </w:r>
          </w:p>
        </w:tc>
        <w:tc>
          <w:tcPr>
            <w:tcW w:w="3402" w:type="dxa"/>
            <w:vMerge/>
          </w:tcPr>
          <w:p w14:paraId="3B17587E" w14:textId="77777777" w:rsidR="008C5A65" w:rsidRPr="005E5585" w:rsidRDefault="008C5A65" w:rsidP="008C5A65">
            <w:pPr>
              <w:pStyle w:val="Normal1"/>
              <w:numPr>
                <w:ilvl w:val="0"/>
                <w:numId w:val="11"/>
              </w:numPr>
              <w:rPr>
                <w:sz w:val="24"/>
                <w:szCs w:val="24"/>
              </w:rPr>
            </w:pPr>
          </w:p>
        </w:tc>
      </w:tr>
      <w:tr w:rsidR="008C5A65" w:rsidRPr="00CC1F98" w14:paraId="10F846A1" w14:textId="77777777" w:rsidTr="005C4F4A">
        <w:trPr>
          <w:gridAfter w:val="1"/>
          <w:wAfter w:w="12" w:type="dxa"/>
        </w:trPr>
        <w:tc>
          <w:tcPr>
            <w:tcW w:w="4819" w:type="dxa"/>
            <w:vMerge/>
          </w:tcPr>
          <w:p w14:paraId="758B3643" w14:textId="77777777" w:rsidR="008C5A65" w:rsidRDefault="008C5A65" w:rsidP="00190BC9">
            <w:pPr>
              <w:pStyle w:val="Normal1"/>
              <w:ind w:left="0"/>
            </w:pPr>
          </w:p>
        </w:tc>
        <w:tc>
          <w:tcPr>
            <w:tcW w:w="3402" w:type="dxa"/>
          </w:tcPr>
          <w:p w14:paraId="78ADAE29" w14:textId="7DB3A49F" w:rsidR="008C5A65" w:rsidRPr="009C6019" w:rsidRDefault="00DA4B60" w:rsidP="00190BC9">
            <w:pPr>
              <w:pStyle w:val="Normal1"/>
              <w:ind w:left="0"/>
              <w:rPr>
                <w:sz w:val="24"/>
                <w:szCs w:val="24"/>
              </w:rPr>
            </w:pPr>
            <w:r>
              <w:rPr>
                <w:b/>
                <w:bCs/>
                <w:sz w:val="24"/>
                <w:szCs w:val="24"/>
              </w:rPr>
              <w:t>F</w:t>
            </w:r>
            <w:r w:rsidR="008C5A65" w:rsidRPr="009C6019">
              <w:rPr>
                <w:b/>
                <w:bCs/>
                <w:sz w:val="24"/>
                <w:szCs w:val="24"/>
              </w:rPr>
              <w:t xml:space="preserve">ocused </w:t>
            </w:r>
            <w:r>
              <w:rPr>
                <w:b/>
                <w:bCs/>
                <w:sz w:val="24"/>
                <w:szCs w:val="24"/>
              </w:rPr>
              <w:t xml:space="preserve">and transactional </w:t>
            </w:r>
            <w:r w:rsidR="008C5A65" w:rsidRPr="009C6019">
              <w:rPr>
                <w:sz w:val="24"/>
                <w:szCs w:val="24"/>
              </w:rPr>
              <w:t>complexity profile</w:t>
            </w:r>
          </w:p>
          <w:p w14:paraId="39FF449E" w14:textId="77777777" w:rsidR="008C5A65" w:rsidRDefault="008C5A65" w:rsidP="00190BC9">
            <w:pPr>
              <w:pStyle w:val="Normal1"/>
              <w:ind w:left="0"/>
            </w:pPr>
            <w:r>
              <w:rPr>
                <w:noProof/>
              </w:rPr>
              <w:drawing>
                <wp:inline distT="0" distB="0" distL="0" distR="0" wp14:anchorId="4290DCA1" wp14:editId="66539F29">
                  <wp:extent cx="1990725" cy="1638300"/>
                  <wp:effectExtent l="0" t="0" r="9525" b="0"/>
                  <wp:docPr id="21" name="Chart 21">
                    <a:extLst xmlns:a="http://schemas.openxmlformats.org/drawingml/2006/main">
                      <a:ext uri="{FF2B5EF4-FFF2-40B4-BE49-F238E27FC236}">
                        <a16:creationId xmlns:a16="http://schemas.microsoft.com/office/drawing/2014/main" id="{5AFF9A4D-BEA4-4B78-879E-A7CFC2EF7F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8C5A65" w:rsidRPr="00CC1F98" w14:paraId="08721697" w14:textId="77777777" w:rsidTr="005C4F4A">
        <w:tc>
          <w:tcPr>
            <w:tcW w:w="8233" w:type="dxa"/>
            <w:gridSpan w:val="3"/>
          </w:tcPr>
          <w:p w14:paraId="1FBA512D" w14:textId="77777777" w:rsidR="008C5A65" w:rsidRPr="00C8283A" w:rsidRDefault="008C5A65" w:rsidP="00190BC9">
            <w:pPr>
              <w:pStyle w:val="Normal1"/>
              <w:ind w:left="0"/>
              <w:rPr>
                <w:lang w:val="en-US"/>
              </w:rPr>
            </w:pPr>
            <w:r w:rsidRPr="003B029F">
              <w:rPr>
                <w:b/>
                <w:bCs/>
                <w:lang w:val="en-US"/>
              </w:rPr>
              <w:t>AO:</w:t>
            </w:r>
            <w:r w:rsidRPr="00C000FB">
              <w:rPr>
                <w:lang w:val="en-US"/>
              </w:rPr>
              <w:t xml:space="preserve"> </w:t>
            </w:r>
            <w:r w:rsidRPr="003B029F">
              <w:rPr>
                <w:lang w:val="en-US"/>
              </w:rPr>
              <w:t xml:space="preserve">Rebecca </w:t>
            </w:r>
            <w:proofErr w:type="spellStart"/>
            <w:r w:rsidRPr="003B029F">
              <w:rPr>
                <w:lang w:val="en-US"/>
              </w:rPr>
              <w:t>Falkingham</w:t>
            </w:r>
            <w:proofErr w:type="spellEnd"/>
            <w:r>
              <w:rPr>
                <w:lang w:val="en-US"/>
              </w:rPr>
              <w:t xml:space="preserve">, </w:t>
            </w:r>
            <w:r w:rsidRPr="003B029F">
              <w:rPr>
                <w:lang w:val="en-US"/>
              </w:rPr>
              <w:t>Secretary</w:t>
            </w:r>
          </w:p>
          <w:p w14:paraId="49C8F826" w14:textId="77777777" w:rsidR="008C5A65" w:rsidRPr="005E5585" w:rsidRDefault="008C5A65" w:rsidP="00190BC9">
            <w:pPr>
              <w:spacing w:before="40" w:after="40"/>
              <w:rPr>
                <w:rFonts w:ascii="Calibri" w:hAnsi="Calibri" w:cs="Calibri"/>
                <w:sz w:val="22"/>
                <w:szCs w:val="22"/>
                <w:lang w:val="en-US"/>
              </w:rPr>
            </w:pPr>
            <w:r w:rsidRPr="003B029F">
              <w:rPr>
                <w:rFonts w:ascii="Calibri" w:hAnsi="Calibri" w:cs="Calibri"/>
                <w:b/>
                <w:bCs/>
                <w:sz w:val="22"/>
                <w:szCs w:val="22"/>
                <w:lang w:val="en-US"/>
              </w:rPr>
              <w:t>CPO:</w:t>
            </w:r>
            <w:r w:rsidRPr="005E5585">
              <w:rPr>
                <w:rFonts w:ascii="Calibri" w:hAnsi="Calibri" w:cs="Calibri"/>
                <w:sz w:val="22"/>
                <w:szCs w:val="22"/>
                <w:lang w:val="en-US"/>
              </w:rPr>
              <w:t xml:space="preserve"> </w:t>
            </w:r>
            <w:proofErr w:type="spellStart"/>
            <w:r w:rsidRPr="009C6019">
              <w:rPr>
                <w:rFonts w:ascii="Calibri" w:hAnsi="Calibri" w:cs="Calibri"/>
                <w:sz w:val="22"/>
                <w:szCs w:val="22"/>
                <w:lang w:val="en-US"/>
              </w:rPr>
              <w:t>Thomai</w:t>
            </w:r>
            <w:proofErr w:type="spellEnd"/>
            <w:r w:rsidRPr="009C6019">
              <w:rPr>
                <w:rFonts w:ascii="Calibri" w:hAnsi="Calibri" w:cs="Calibri"/>
                <w:sz w:val="22"/>
                <w:szCs w:val="22"/>
                <w:lang w:val="en-US"/>
              </w:rPr>
              <w:t xml:space="preserve"> </w:t>
            </w:r>
            <w:proofErr w:type="spellStart"/>
            <w:r w:rsidRPr="009C6019">
              <w:rPr>
                <w:rFonts w:ascii="Calibri" w:hAnsi="Calibri" w:cs="Calibri"/>
                <w:sz w:val="22"/>
                <w:szCs w:val="22"/>
                <w:lang w:val="en-US"/>
              </w:rPr>
              <w:t>Veginis</w:t>
            </w:r>
            <w:proofErr w:type="spellEnd"/>
            <w:r>
              <w:rPr>
                <w:rFonts w:ascii="Calibri" w:hAnsi="Calibri" w:cs="Calibri"/>
                <w:sz w:val="22"/>
                <w:szCs w:val="22"/>
                <w:lang w:val="en-US"/>
              </w:rPr>
              <w:t xml:space="preserve">, </w:t>
            </w:r>
            <w:r w:rsidRPr="003B029F">
              <w:rPr>
                <w:rFonts w:ascii="Calibri" w:hAnsi="Calibri" w:cs="Calibri"/>
                <w:sz w:val="22"/>
                <w:szCs w:val="22"/>
                <w:lang w:val="en-US"/>
              </w:rPr>
              <w:t>CPO</w:t>
            </w:r>
            <w:r>
              <w:rPr>
                <w:rFonts w:ascii="Calibri" w:hAnsi="Calibri" w:cs="Calibri"/>
                <w:sz w:val="22"/>
                <w:szCs w:val="22"/>
                <w:lang w:val="en-US"/>
              </w:rPr>
              <w:t xml:space="preserve">, </w:t>
            </w:r>
            <w:r w:rsidRPr="009C6019">
              <w:rPr>
                <w:rFonts w:ascii="Calibri" w:hAnsi="Calibri" w:cs="Calibri"/>
                <w:sz w:val="22"/>
                <w:szCs w:val="22"/>
                <w:lang w:val="en-US"/>
              </w:rPr>
              <w:t>Procurement Services</w:t>
            </w:r>
          </w:p>
          <w:p w14:paraId="3DE4AA9D" w14:textId="77777777" w:rsidR="008C5A65" w:rsidRPr="00C8283A" w:rsidRDefault="008C5A65" w:rsidP="00190BC9">
            <w:pPr>
              <w:spacing w:before="40" w:after="40"/>
              <w:rPr>
                <w:rFonts w:ascii="Calibri" w:hAnsi="Calibri" w:cs="Calibri"/>
                <w:sz w:val="22"/>
                <w:szCs w:val="22"/>
                <w:lang w:val="en-US"/>
              </w:rPr>
            </w:pPr>
            <w:r w:rsidRPr="003B029F">
              <w:rPr>
                <w:rFonts w:ascii="Calibri" w:hAnsi="Calibri" w:cs="Calibri"/>
                <w:b/>
                <w:bCs/>
                <w:sz w:val="22"/>
                <w:szCs w:val="22"/>
                <w:lang w:val="en-US"/>
              </w:rPr>
              <w:t>IPU Chair:</w:t>
            </w:r>
            <w:r w:rsidRPr="005E5585">
              <w:rPr>
                <w:rFonts w:ascii="Calibri" w:hAnsi="Calibri" w:cs="Calibri"/>
                <w:sz w:val="22"/>
                <w:szCs w:val="22"/>
                <w:lang w:val="en-US"/>
              </w:rPr>
              <w:t xml:space="preserve"> </w:t>
            </w:r>
            <w:r w:rsidRPr="004953B1">
              <w:rPr>
                <w:rFonts w:ascii="Calibri" w:hAnsi="Calibri" w:cs="Calibri"/>
                <w:sz w:val="22"/>
                <w:szCs w:val="22"/>
                <w:lang w:val="en-US"/>
              </w:rPr>
              <w:t xml:space="preserve">Andrew </w:t>
            </w:r>
            <w:proofErr w:type="spellStart"/>
            <w:r w:rsidRPr="004953B1">
              <w:rPr>
                <w:rFonts w:ascii="Calibri" w:hAnsi="Calibri" w:cs="Calibri"/>
                <w:sz w:val="22"/>
                <w:szCs w:val="22"/>
                <w:lang w:val="en-US"/>
              </w:rPr>
              <w:t>Minack</w:t>
            </w:r>
            <w:proofErr w:type="spellEnd"/>
            <w:r>
              <w:rPr>
                <w:rFonts w:ascii="Calibri" w:hAnsi="Calibri" w:cs="Calibri"/>
                <w:sz w:val="22"/>
                <w:szCs w:val="22"/>
                <w:lang w:val="en-US"/>
              </w:rPr>
              <w:t xml:space="preserve">, </w:t>
            </w:r>
            <w:r w:rsidRPr="004953B1">
              <w:rPr>
                <w:rFonts w:ascii="Calibri" w:hAnsi="Calibri" w:cs="Calibri"/>
                <w:sz w:val="22"/>
                <w:szCs w:val="22"/>
                <w:lang w:val="en-US"/>
              </w:rPr>
              <w:t xml:space="preserve">Deputy Secretary, Corporate Governance and Support </w:t>
            </w:r>
          </w:p>
        </w:tc>
      </w:tr>
    </w:tbl>
    <w:p w14:paraId="1BD95242" w14:textId="77777777" w:rsidR="008C5A65" w:rsidRDefault="008C5A65" w:rsidP="008C5A65">
      <w:pPr>
        <w:pStyle w:val="Normal1"/>
      </w:pPr>
      <w:r>
        <w:t>* Contracts valued at $100 000 or more.</w:t>
      </w:r>
    </w:p>
    <w:p w14:paraId="729A3E82" w14:textId="77777777" w:rsidR="009B3079" w:rsidRDefault="009B3079">
      <w:pPr>
        <w:rPr>
          <w:rFonts w:ascii="Calibri" w:hAnsi="Calibri" w:cs="Calibri"/>
          <w:b/>
          <w:color w:val="4D4D4D"/>
          <w:kern w:val="28"/>
          <w:sz w:val="26"/>
          <w:szCs w:val="22"/>
          <w:lang w:eastAsia="en-US"/>
        </w:rPr>
      </w:pPr>
      <w:r>
        <w:br w:type="page"/>
      </w:r>
    </w:p>
    <w:p w14:paraId="7B3578AD" w14:textId="7A45AF69" w:rsidR="008C5A65" w:rsidRDefault="008C5A65" w:rsidP="008C5A65">
      <w:pPr>
        <w:pStyle w:val="Heading3NoNum"/>
      </w:pPr>
      <w:r w:rsidRPr="00CD6245">
        <w:lastRenderedPageBreak/>
        <w:t>Performance</w:t>
      </w:r>
    </w:p>
    <w:p w14:paraId="3A3C9399" w14:textId="60899C8C" w:rsidR="00AD5FF8" w:rsidRDefault="00AD5FF8" w:rsidP="00AD5FF8">
      <w:pPr>
        <w:pStyle w:val="Normal1"/>
      </w:pPr>
      <w:r>
        <w:t xml:space="preserve">DJCS underwent more restructuring in 2019–20, appointing a new CPO and bringing more staff from other business areas into </w:t>
      </w:r>
      <w:r w:rsidR="008466A8">
        <w:t>Procurement Services</w:t>
      </w:r>
      <w:r>
        <w:t xml:space="preserve">. DJCS is moving towards a category-based procurement model, with more contracts now being managed by the </w:t>
      </w:r>
      <w:r w:rsidR="00B15BF7">
        <w:t>Central Procurement Team</w:t>
      </w:r>
      <w:r>
        <w:t>.</w:t>
      </w:r>
    </w:p>
    <w:p w14:paraId="4D6388B9" w14:textId="6F4912A9" w:rsidR="008C5A65" w:rsidRDefault="008C5A65" w:rsidP="008C5A65">
      <w:pPr>
        <w:pStyle w:val="Normal1"/>
      </w:pPr>
      <w:r>
        <w:fldChar w:fldCharType="begin"/>
      </w:r>
      <w:r>
        <w:instrText xml:space="preserve"> REF _Ref489542512 \h </w:instrText>
      </w:r>
      <w:r>
        <w:fldChar w:fldCharType="separate"/>
      </w:r>
      <w:r w:rsidR="00152B74" w:rsidRPr="00CD6245">
        <w:t xml:space="preserve">Table </w:t>
      </w:r>
      <w:r w:rsidR="00152B74">
        <w:rPr>
          <w:noProof/>
        </w:rPr>
        <w:t>30</w:t>
      </w:r>
      <w:r>
        <w:fldChar w:fldCharType="end"/>
      </w:r>
      <w:r w:rsidRPr="00CD6245">
        <w:t xml:space="preserve"> </w:t>
      </w:r>
      <w:r>
        <w:t>sets out DJCS’s performance in 2019–20, compared with the two previous years.</w:t>
      </w:r>
    </w:p>
    <w:p w14:paraId="7E80EF0E" w14:textId="4A054D4E" w:rsidR="008C5A65" w:rsidRDefault="008C5A65" w:rsidP="008C5A65">
      <w:pPr>
        <w:pStyle w:val="Caption"/>
      </w:pPr>
      <w:bookmarkStart w:id="238" w:name="_Ref489542512"/>
      <w:bookmarkStart w:id="239" w:name="_Toc503949267"/>
      <w:bookmarkStart w:id="240" w:name="_Toc12717994"/>
      <w:bookmarkStart w:id="241" w:name="_Toc17130216"/>
      <w:bookmarkStart w:id="242" w:name="_Toc48837163"/>
      <w:bookmarkStart w:id="243" w:name="_Toc49185553"/>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30</w:t>
      </w:r>
      <w:r>
        <w:rPr>
          <w:noProof/>
        </w:rPr>
        <w:fldChar w:fldCharType="end"/>
      </w:r>
      <w:bookmarkEnd w:id="238"/>
      <w:r w:rsidRPr="00CD6245">
        <w:t xml:space="preserve">: </w:t>
      </w:r>
      <w:r>
        <w:t>DJCS</w:t>
      </w:r>
      <w:r w:rsidRPr="00CD6245">
        <w:t xml:space="preserve"> performance in </w:t>
      </w:r>
      <w:bookmarkEnd w:id="239"/>
      <w:r>
        <w:t>2019–20</w:t>
      </w:r>
      <w:bookmarkEnd w:id="240"/>
      <w:bookmarkEnd w:id="241"/>
      <w:bookmarkEnd w:id="242"/>
      <w:bookmarkEnd w:id="243"/>
    </w:p>
    <w:tbl>
      <w:tblPr>
        <w:tblStyle w:val="TableGrid1"/>
        <w:tblW w:w="8789" w:type="dxa"/>
        <w:tblInd w:w="704" w:type="dxa"/>
        <w:tblLook w:val="04A0" w:firstRow="1" w:lastRow="0" w:firstColumn="1" w:lastColumn="0" w:noHBand="0" w:noVBand="1"/>
      </w:tblPr>
      <w:tblGrid>
        <w:gridCol w:w="3063"/>
        <w:gridCol w:w="2324"/>
        <w:gridCol w:w="1125"/>
        <w:gridCol w:w="1125"/>
        <w:gridCol w:w="1152"/>
      </w:tblGrid>
      <w:tr w:rsidR="008C5A65" w:rsidRPr="00DA1E79" w14:paraId="27F80CF4" w14:textId="77777777" w:rsidTr="005C4F4A">
        <w:tc>
          <w:tcPr>
            <w:tcW w:w="5387" w:type="dxa"/>
            <w:gridSpan w:val="2"/>
            <w:vMerge w:val="restart"/>
          </w:tcPr>
          <w:p w14:paraId="335FE1B9" w14:textId="77777777" w:rsidR="008C5A65" w:rsidRPr="00DA1E79" w:rsidRDefault="008C5A65" w:rsidP="005C4F4A">
            <w:pPr>
              <w:pStyle w:val="TableHeader"/>
            </w:pPr>
            <w:r w:rsidRPr="00DA1E79">
              <w:t>Performance measure</w:t>
            </w:r>
          </w:p>
        </w:tc>
        <w:tc>
          <w:tcPr>
            <w:tcW w:w="1125" w:type="dxa"/>
          </w:tcPr>
          <w:p w14:paraId="006356F2" w14:textId="77777777" w:rsidR="008C5A65" w:rsidRPr="00DA1E79" w:rsidRDefault="008C5A65" w:rsidP="005C4F4A">
            <w:pPr>
              <w:pStyle w:val="TableHeader"/>
            </w:pPr>
            <w:r w:rsidRPr="00DA1E79">
              <w:t xml:space="preserve">2017–18 </w:t>
            </w:r>
          </w:p>
        </w:tc>
        <w:tc>
          <w:tcPr>
            <w:tcW w:w="1125" w:type="dxa"/>
          </w:tcPr>
          <w:p w14:paraId="7E0B2221" w14:textId="77777777" w:rsidR="008C5A65" w:rsidRPr="00DA1E79" w:rsidRDefault="008C5A65" w:rsidP="005C4F4A">
            <w:pPr>
              <w:pStyle w:val="TableHeader"/>
            </w:pPr>
            <w:r w:rsidRPr="00DA1E79">
              <w:t>2018–19</w:t>
            </w:r>
          </w:p>
        </w:tc>
        <w:tc>
          <w:tcPr>
            <w:tcW w:w="1152" w:type="dxa"/>
          </w:tcPr>
          <w:p w14:paraId="0C29503E" w14:textId="77777777" w:rsidR="008C5A65" w:rsidRPr="00DA1E79" w:rsidRDefault="008C5A65" w:rsidP="005C4F4A">
            <w:pPr>
              <w:pStyle w:val="TableHeader"/>
            </w:pPr>
            <w:r w:rsidRPr="00DA1E79">
              <w:t>2019–20</w:t>
            </w:r>
          </w:p>
        </w:tc>
      </w:tr>
      <w:tr w:rsidR="008C5A65" w:rsidRPr="00DA1E79" w14:paraId="44C91ED6" w14:textId="77777777" w:rsidTr="005C4F4A">
        <w:tc>
          <w:tcPr>
            <w:tcW w:w="5387" w:type="dxa"/>
            <w:gridSpan w:val="2"/>
            <w:vMerge/>
          </w:tcPr>
          <w:p w14:paraId="7215A97B" w14:textId="77777777" w:rsidR="008C5A65" w:rsidRPr="00DA1E79" w:rsidRDefault="008C5A65" w:rsidP="005C4F4A">
            <w:pPr>
              <w:pStyle w:val="TableHeader"/>
            </w:pPr>
          </w:p>
        </w:tc>
        <w:tc>
          <w:tcPr>
            <w:tcW w:w="3402" w:type="dxa"/>
            <w:gridSpan w:val="3"/>
          </w:tcPr>
          <w:p w14:paraId="4413C068" w14:textId="77777777" w:rsidR="008C5A65" w:rsidRPr="00DA1E79" w:rsidRDefault="008C5A65" w:rsidP="005C4F4A">
            <w:pPr>
              <w:pStyle w:val="TableHeader"/>
            </w:pPr>
            <w:r w:rsidRPr="00DA1E79">
              <w:t>(%)</w:t>
            </w:r>
          </w:p>
        </w:tc>
      </w:tr>
      <w:tr w:rsidR="008C5A65" w:rsidRPr="005C4F4A" w14:paraId="1C73AE0E" w14:textId="77777777" w:rsidTr="005C4F4A">
        <w:tc>
          <w:tcPr>
            <w:tcW w:w="5387" w:type="dxa"/>
            <w:gridSpan w:val="2"/>
          </w:tcPr>
          <w:p w14:paraId="72B0D566" w14:textId="77777777" w:rsidR="008C5A65" w:rsidRPr="005C4F4A" w:rsidRDefault="008C5A65" w:rsidP="000B20B5">
            <w:pPr>
              <w:pStyle w:val="TableText"/>
              <w:rPr>
                <w:rStyle w:val="Strong"/>
              </w:rPr>
            </w:pPr>
            <w:r w:rsidRPr="005C4F4A">
              <w:rPr>
                <w:rStyle w:val="Strong"/>
              </w:rPr>
              <w:t>Value created from department procurement activity</w:t>
            </w:r>
          </w:p>
        </w:tc>
        <w:tc>
          <w:tcPr>
            <w:tcW w:w="1125" w:type="dxa"/>
          </w:tcPr>
          <w:p w14:paraId="04F7AC36" w14:textId="77777777" w:rsidR="008C5A65" w:rsidRPr="005C4F4A" w:rsidRDefault="008C5A65" w:rsidP="000B20B5">
            <w:pPr>
              <w:pStyle w:val="TableText"/>
              <w:rPr>
                <w:rStyle w:val="Strong"/>
              </w:rPr>
            </w:pPr>
            <w:r w:rsidRPr="005C4F4A">
              <w:rPr>
                <w:rStyle w:val="Strong"/>
              </w:rPr>
              <w:t>0.4</w:t>
            </w:r>
          </w:p>
        </w:tc>
        <w:tc>
          <w:tcPr>
            <w:tcW w:w="1125" w:type="dxa"/>
          </w:tcPr>
          <w:p w14:paraId="2C96345D" w14:textId="77777777" w:rsidR="008C5A65" w:rsidRPr="005C4F4A" w:rsidRDefault="008C5A65" w:rsidP="000B20B5">
            <w:pPr>
              <w:pStyle w:val="TableText"/>
              <w:rPr>
                <w:rStyle w:val="Strong"/>
              </w:rPr>
            </w:pPr>
            <w:r w:rsidRPr="005C4F4A">
              <w:rPr>
                <w:rStyle w:val="Strong"/>
              </w:rPr>
              <w:t>17.3</w:t>
            </w:r>
          </w:p>
        </w:tc>
        <w:tc>
          <w:tcPr>
            <w:tcW w:w="1152" w:type="dxa"/>
          </w:tcPr>
          <w:p w14:paraId="196395BA" w14:textId="77777777" w:rsidR="008C5A65" w:rsidRPr="005C4F4A" w:rsidRDefault="008C5A65" w:rsidP="000B20B5">
            <w:pPr>
              <w:pStyle w:val="TableText"/>
              <w:rPr>
                <w:rStyle w:val="Strong"/>
              </w:rPr>
            </w:pPr>
            <w:r w:rsidRPr="005C4F4A">
              <w:rPr>
                <w:rStyle w:val="Strong"/>
              </w:rPr>
              <w:t>10.0</w:t>
            </w:r>
          </w:p>
        </w:tc>
      </w:tr>
      <w:tr w:rsidR="008C5A65" w:rsidRPr="005F2BDA" w14:paraId="338CAF0B" w14:textId="77777777" w:rsidTr="005C4F4A">
        <w:trPr>
          <w:trHeight w:val="511"/>
        </w:trPr>
        <w:tc>
          <w:tcPr>
            <w:tcW w:w="8789" w:type="dxa"/>
            <w:gridSpan w:val="5"/>
          </w:tcPr>
          <w:p w14:paraId="1CE90C61" w14:textId="6FBF5AC6" w:rsidR="008C5A65" w:rsidRPr="005F2BDA" w:rsidRDefault="008C5A65" w:rsidP="000B20B5">
            <w:pPr>
              <w:pStyle w:val="TableText"/>
            </w:pPr>
            <w:r>
              <w:t xml:space="preserve">DJCS continues to capture savings through procurement process reports. The decrease this year relates to the drop in the number and size of procurements compared to 2018–19. </w:t>
            </w:r>
          </w:p>
        </w:tc>
      </w:tr>
      <w:tr w:rsidR="001D2ACD" w:rsidRPr="005C4F4A" w14:paraId="611D5C5B" w14:textId="77777777" w:rsidTr="005C4F4A">
        <w:tc>
          <w:tcPr>
            <w:tcW w:w="5387" w:type="dxa"/>
            <w:gridSpan w:val="2"/>
          </w:tcPr>
          <w:p w14:paraId="37240F9D" w14:textId="77777777" w:rsidR="001D2ACD" w:rsidRPr="005C4F4A" w:rsidRDefault="001D2ACD" w:rsidP="000B20B5">
            <w:pPr>
              <w:pStyle w:val="TableText"/>
              <w:rPr>
                <w:rStyle w:val="Strong"/>
              </w:rPr>
            </w:pPr>
            <w:r w:rsidRPr="005C4F4A">
              <w:rPr>
                <w:rStyle w:val="Strong"/>
              </w:rPr>
              <w:t>Managed spend</w:t>
            </w:r>
          </w:p>
        </w:tc>
        <w:tc>
          <w:tcPr>
            <w:tcW w:w="1125" w:type="dxa"/>
            <w:shd w:val="clear" w:color="auto" w:fill="FFFFFF" w:themeFill="background1"/>
          </w:tcPr>
          <w:p w14:paraId="7D77D2F9" w14:textId="308DD9C5" w:rsidR="001D2ACD" w:rsidRPr="005C4F4A" w:rsidRDefault="001D2ACD" w:rsidP="000B20B5">
            <w:pPr>
              <w:pStyle w:val="TableText"/>
              <w:rPr>
                <w:rStyle w:val="Strong"/>
              </w:rPr>
            </w:pPr>
            <w:r w:rsidRPr="005C4F4A">
              <w:rPr>
                <w:rStyle w:val="Strong"/>
              </w:rPr>
              <w:t>n/a</w:t>
            </w:r>
          </w:p>
        </w:tc>
        <w:tc>
          <w:tcPr>
            <w:tcW w:w="1125" w:type="dxa"/>
            <w:shd w:val="clear" w:color="auto" w:fill="FFFFFF" w:themeFill="background1"/>
          </w:tcPr>
          <w:p w14:paraId="78E58B98" w14:textId="035D4963" w:rsidR="001D2ACD" w:rsidRPr="005C4F4A" w:rsidRDefault="001D2ACD" w:rsidP="000B20B5">
            <w:pPr>
              <w:pStyle w:val="TableText"/>
              <w:rPr>
                <w:rStyle w:val="Strong"/>
              </w:rPr>
            </w:pPr>
            <w:r w:rsidRPr="005C4F4A">
              <w:rPr>
                <w:rStyle w:val="Strong"/>
              </w:rPr>
              <w:t>n/a</w:t>
            </w:r>
          </w:p>
        </w:tc>
        <w:tc>
          <w:tcPr>
            <w:tcW w:w="1152" w:type="dxa"/>
            <w:shd w:val="clear" w:color="auto" w:fill="FFFFFF" w:themeFill="background1"/>
          </w:tcPr>
          <w:p w14:paraId="19295137" w14:textId="290F425D" w:rsidR="001D2ACD" w:rsidRPr="005C4F4A" w:rsidRDefault="001D2ACD" w:rsidP="000B20B5">
            <w:pPr>
              <w:pStyle w:val="TableText"/>
              <w:rPr>
                <w:rStyle w:val="Strong"/>
              </w:rPr>
            </w:pPr>
            <w:r w:rsidRPr="005C4F4A">
              <w:rPr>
                <w:rStyle w:val="Strong"/>
              </w:rPr>
              <w:t>–</w:t>
            </w:r>
          </w:p>
        </w:tc>
      </w:tr>
      <w:tr w:rsidR="008C5A65" w:rsidRPr="00505378" w14:paraId="773782CC" w14:textId="77777777" w:rsidTr="005C4F4A">
        <w:tc>
          <w:tcPr>
            <w:tcW w:w="8789" w:type="dxa"/>
            <w:gridSpan w:val="5"/>
          </w:tcPr>
          <w:p w14:paraId="3E6D03CC" w14:textId="03C4D82F" w:rsidR="008C5A65" w:rsidRPr="00C000FB" w:rsidRDefault="008C5A65" w:rsidP="000B20B5">
            <w:pPr>
              <w:pStyle w:val="TableText"/>
            </w:pPr>
            <w:r>
              <w:t>DJCS c</w:t>
            </w:r>
            <w:r w:rsidR="00290B74">
              <w:t xml:space="preserve">ould not </w:t>
            </w:r>
            <w:r>
              <w:t>provide data for this metric</w:t>
            </w:r>
            <w:r w:rsidR="00FF1D66">
              <w:t xml:space="preserve">. </w:t>
            </w:r>
            <w:r w:rsidR="00DA4B60">
              <w:t xml:space="preserve">DJCS is implementing a new system which will help provide this data in future. </w:t>
            </w:r>
          </w:p>
        </w:tc>
      </w:tr>
      <w:tr w:rsidR="008C5A65" w:rsidRPr="005C4F4A" w14:paraId="23483529" w14:textId="77777777" w:rsidTr="005C4F4A">
        <w:tc>
          <w:tcPr>
            <w:tcW w:w="5387" w:type="dxa"/>
            <w:gridSpan w:val="2"/>
          </w:tcPr>
          <w:p w14:paraId="27A1B636" w14:textId="77777777" w:rsidR="008C5A65" w:rsidRPr="005C4F4A" w:rsidRDefault="008C5A65" w:rsidP="000B20B5">
            <w:pPr>
              <w:pStyle w:val="TableText"/>
              <w:rPr>
                <w:rStyle w:val="Strong"/>
              </w:rPr>
            </w:pPr>
            <w:r w:rsidRPr="005C4F4A">
              <w:rPr>
                <w:rStyle w:val="Strong"/>
              </w:rPr>
              <w:t>Increase in procurement capability</w:t>
            </w:r>
          </w:p>
        </w:tc>
        <w:tc>
          <w:tcPr>
            <w:tcW w:w="1125" w:type="dxa"/>
          </w:tcPr>
          <w:p w14:paraId="01D7F0E4" w14:textId="6B95D9A3" w:rsidR="008C5A65" w:rsidRPr="005C4F4A" w:rsidRDefault="00146183" w:rsidP="000B20B5">
            <w:pPr>
              <w:pStyle w:val="TableText"/>
              <w:rPr>
                <w:rStyle w:val="Strong"/>
              </w:rPr>
            </w:pPr>
            <w:r w:rsidRPr="005C4F4A">
              <w:rPr>
                <w:rStyle w:val="Strong"/>
              </w:rPr>
              <w:t>−</w:t>
            </w:r>
            <w:r w:rsidR="008C5A65" w:rsidRPr="005C4F4A">
              <w:rPr>
                <w:rStyle w:val="Strong"/>
              </w:rPr>
              <w:t>3.3</w:t>
            </w:r>
          </w:p>
        </w:tc>
        <w:tc>
          <w:tcPr>
            <w:tcW w:w="1125" w:type="dxa"/>
          </w:tcPr>
          <w:p w14:paraId="544101F1" w14:textId="02409874" w:rsidR="008C5A65" w:rsidRPr="005C4F4A" w:rsidRDefault="00146183" w:rsidP="000B20B5">
            <w:pPr>
              <w:pStyle w:val="TableText"/>
              <w:rPr>
                <w:rStyle w:val="Strong"/>
              </w:rPr>
            </w:pPr>
            <w:r w:rsidRPr="005C4F4A">
              <w:rPr>
                <w:rStyle w:val="Strong"/>
              </w:rPr>
              <w:t>−</w:t>
            </w:r>
            <w:r w:rsidR="008C5A65" w:rsidRPr="005C4F4A">
              <w:rPr>
                <w:rStyle w:val="Strong"/>
              </w:rPr>
              <w:t>24.6</w:t>
            </w:r>
          </w:p>
        </w:tc>
        <w:tc>
          <w:tcPr>
            <w:tcW w:w="1152" w:type="dxa"/>
          </w:tcPr>
          <w:p w14:paraId="5CF44D59" w14:textId="1BC618E9" w:rsidR="008C5A65" w:rsidRPr="005C4F4A" w:rsidRDefault="00146183" w:rsidP="000B20B5">
            <w:pPr>
              <w:pStyle w:val="TableText"/>
              <w:rPr>
                <w:rStyle w:val="Strong"/>
              </w:rPr>
            </w:pPr>
            <w:r w:rsidRPr="005C4F4A">
              <w:rPr>
                <w:rStyle w:val="Strong"/>
              </w:rPr>
              <w:t>−</w:t>
            </w:r>
            <w:r w:rsidR="008C5A65" w:rsidRPr="005C4F4A">
              <w:rPr>
                <w:rStyle w:val="Strong"/>
              </w:rPr>
              <w:t>20.7</w:t>
            </w:r>
          </w:p>
        </w:tc>
      </w:tr>
      <w:tr w:rsidR="008C5A65" w:rsidRPr="00505378" w14:paraId="4FB88AED" w14:textId="77777777" w:rsidTr="005C4F4A">
        <w:tc>
          <w:tcPr>
            <w:tcW w:w="8789" w:type="dxa"/>
            <w:gridSpan w:val="5"/>
          </w:tcPr>
          <w:p w14:paraId="242C39F7" w14:textId="6C763B4C" w:rsidR="008C5A65" w:rsidRPr="00C000FB" w:rsidRDefault="00854290" w:rsidP="00923265">
            <w:pPr>
              <w:pStyle w:val="TableText"/>
            </w:pPr>
            <w:r>
              <w:t>Procurement c</w:t>
            </w:r>
            <w:r w:rsidR="008C5A65">
              <w:t>apability fell from 116 to 92 out of 150. In 20</w:t>
            </w:r>
            <w:r w:rsidR="00106A0B">
              <w:t>19–20</w:t>
            </w:r>
            <w:r w:rsidR="008C5A65">
              <w:t xml:space="preserve">, DJCS </w:t>
            </w:r>
            <w:r w:rsidR="0033420A">
              <w:t xml:space="preserve">went through a large organisational change and is progressing towards a category structure. </w:t>
            </w:r>
            <w:r w:rsidR="00923265">
              <w:t xml:space="preserve">The department is developing its capability and there is a program aimed at improving overall skills. </w:t>
            </w:r>
            <w:r w:rsidR="0033420A">
              <w:t>Procurement activities also pivoted to cater for the state of emergency. The department made several capability improvements in 2019–20</w:t>
            </w:r>
            <w:r w:rsidR="00E7401A">
              <w:t xml:space="preserve">, including upgrading and refreshing the Zycus contract management system, bringing more procurement staff under Procurement Services, staff training and successfully transitioning to remote working. The department will continue to work towards improving capability. </w:t>
            </w:r>
          </w:p>
        </w:tc>
      </w:tr>
      <w:tr w:rsidR="008C5A65" w:rsidRPr="005C4F4A" w14:paraId="511B02B6" w14:textId="77777777" w:rsidTr="005C4F4A">
        <w:tc>
          <w:tcPr>
            <w:tcW w:w="3063" w:type="dxa"/>
            <w:vMerge w:val="restart"/>
          </w:tcPr>
          <w:p w14:paraId="75B689E6" w14:textId="77777777" w:rsidR="008C5A65" w:rsidRPr="005C4F4A" w:rsidRDefault="008C5A65" w:rsidP="000B20B5">
            <w:pPr>
              <w:pStyle w:val="TableText"/>
              <w:rPr>
                <w:rStyle w:val="Strong"/>
              </w:rPr>
            </w:pPr>
            <w:r w:rsidRPr="005C4F4A">
              <w:rPr>
                <w:rStyle w:val="Strong"/>
              </w:rPr>
              <w:t>Supplier satisfaction assessment</w:t>
            </w:r>
          </w:p>
        </w:tc>
        <w:tc>
          <w:tcPr>
            <w:tcW w:w="2324" w:type="dxa"/>
          </w:tcPr>
          <w:p w14:paraId="76D53AA8" w14:textId="77777777" w:rsidR="008C5A65" w:rsidRPr="005C4F4A" w:rsidRDefault="008C5A65" w:rsidP="000B20B5">
            <w:pPr>
              <w:pStyle w:val="TableText"/>
              <w:rPr>
                <w:rStyle w:val="Strong"/>
              </w:rPr>
            </w:pPr>
            <w:r w:rsidRPr="005C4F4A">
              <w:rPr>
                <w:rStyle w:val="Strong"/>
              </w:rPr>
              <w:t>Successful satisfied</w:t>
            </w:r>
          </w:p>
        </w:tc>
        <w:tc>
          <w:tcPr>
            <w:tcW w:w="1125" w:type="dxa"/>
          </w:tcPr>
          <w:p w14:paraId="6D3833D8" w14:textId="77777777" w:rsidR="008C5A65" w:rsidRPr="005C4F4A" w:rsidRDefault="008C5A65" w:rsidP="000B20B5">
            <w:pPr>
              <w:pStyle w:val="TableText"/>
              <w:rPr>
                <w:rStyle w:val="Strong"/>
              </w:rPr>
            </w:pPr>
            <w:r w:rsidRPr="005C4F4A">
              <w:rPr>
                <w:rStyle w:val="Strong"/>
              </w:rPr>
              <w:t>73</w:t>
            </w:r>
          </w:p>
        </w:tc>
        <w:tc>
          <w:tcPr>
            <w:tcW w:w="1125" w:type="dxa"/>
          </w:tcPr>
          <w:p w14:paraId="2029C634" w14:textId="77777777" w:rsidR="008C5A65" w:rsidRPr="005C4F4A" w:rsidRDefault="008C5A65" w:rsidP="000B20B5">
            <w:pPr>
              <w:pStyle w:val="TableText"/>
              <w:rPr>
                <w:rStyle w:val="Strong"/>
              </w:rPr>
            </w:pPr>
            <w:r w:rsidRPr="005C4F4A">
              <w:rPr>
                <w:rStyle w:val="Strong"/>
              </w:rPr>
              <w:t>100</w:t>
            </w:r>
          </w:p>
        </w:tc>
        <w:tc>
          <w:tcPr>
            <w:tcW w:w="1152" w:type="dxa"/>
          </w:tcPr>
          <w:p w14:paraId="7DA57F8B" w14:textId="77777777" w:rsidR="008C5A65" w:rsidRPr="005C4F4A" w:rsidRDefault="008C5A65" w:rsidP="000B20B5">
            <w:pPr>
              <w:pStyle w:val="TableText"/>
              <w:rPr>
                <w:rStyle w:val="Strong"/>
              </w:rPr>
            </w:pPr>
            <w:r w:rsidRPr="005C4F4A">
              <w:rPr>
                <w:rStyle w:val="Strong"/>
              </w:rPr>
              <w:t>69</w:t>
            </w:r>
          </w:p>
        </w:tc>
      </w:tr>
      <w:tr w:rsidR="008C5A65" w:rsidRPr="005C4F4A" w14:paraId="126C853F" w14:textId="77777777" w:rsidTr="005C4F4A">
        <w:tc>
          <w:tcPr>
            <w:tcW w:w="3063" w:type="dxa"/>
            <w:vMerge/>
          </w:tcPr>
          <w:p w14:paraId="1443ECD7" w14:textId="77777777" w:rsidR="008C5A65" w:rsidRPr="005C4F4A" w:rsidRDefault="008C5A65" w:rsidP="000B20B5">
            <w:pPr>
              <w:pStyle w:val="TableText"/>
              <w:rPr>
                <w:rStyle w:val="Strong"/>
              </w:rPr>
            </w:pPr>
          </w:p>
        </w:tc>
        <w:tc>
          <w:tcPr>
            <w:tcW w:w="2324" w:type="dxa"/>
          </w:tcPr>
          <w:p w14:paraId="0CE1BD17" w14:textId="77777777" w:rsidR="008C5A65" w:rsidRPr="005C4F4A" w:rsidRDefault="008C5A65" w:rsidP="000B20B5">
            <w:pPr>
              <w:pStyle w:val="TableText"/>
              <w:rPr>
                <w:rStyle w:val="Strong"/>
              </w:rPr>
            </w:pPr>
            <w:r w:rsidRPr="005C4F4A">
              <w:rPr>
                <w:rStyle w:val="Strong"/>
              </w:rPr>
              <w:t>Unsuccessful satisfied</w:t>
            </w:r>
          </w:p>
        </w:tc>
        <w:tc>
          <w:tcPr>
            <w:tcW w:w="1125" w:type="dxa"/>
          </w:tcPr>
          <w:p w14:paraId="4B1FCBAF" w14:textId="77777777" w:rsidR="008C5A65" w:rsidRPr="005C4F4A" w:rsidRDefault="008C5A65" w:rsidP="000B20B5">
            <w:pPr>
              <w:pStyle w:val="TableText"/>
              <w:rPr>
                <w:rStyle w:val="Strong"/>
              </w:rPr>
            </w:pPr>
            <w:r w:rsidRPr="005C4F4A">
              <w:rPr>
                <w:rStyle w:val="Strong"/>
              </w:rPr>
              <w:t>40</w:t>
            </w:r>
          </w:p>
        </w:tc>
        <w:tc>
          <w:tcPr>
            <w:tcW w:w="1125" w:type="dxa"/>
          </w:tcPr>
          <w:p w14:paraId="1DD5D87C" w14:textId="77777777" w:rsidR="008C5A65" w:rsidRPr="005C4F4A" w:rsidRDefault="008C5A65" w:rsidP="000B20B5">
            <w:pPr>
              <w:pStyle w:val="TableText"/>
              <w:rPr>
                <w:rStyle w:val="Strong"/>
              </w:rPr>
            </w:pPr>
            <w:r w:rsidRPr="005C4F4A">
              <w:rPr>
                <w:rStyle w:val="Strong"/>
              </w:rPr>
              <w:t>0</w:t>
            </w:r>
          </w:p>
        </w:tc>
        <w:tc>
          <w:tcPr>
            <w:tcW w:w="1152" w:type="dxa"/>
          </w:tcPr>
          <w:p w14:paraId="2FDED3B5" w14:textId="77777777" w:rsidR="008C5A65" w:rsidRPr="005C4F4A" w:rsidRDefault="008C5A65" w:rsidP="000B20B5">
            <w:pPr>
              <w:pStyle w:val="TableText"/>
              <w:rPr>
                <w:rStyle w:val="Strong"/>
              </w:rPr>
            </w:pPr>
            <w:r w:rsidRPr="005C4F4A">
              <w:rPr>
                <w:rStyle w:val="Strong"/>
              </w:rPr>
              <w:t>33</w:t>
            </w:r>
          </w:p>
        </w:tc>
      </w:tr>
      <w:tr w:rsidR="008C5A65" w:rsidRPr="00505378" w14:paraId="593CC48F" w14:textId="77777777" w:rsidTr="005C4F4A">
        <w:tc>
          <w:tcPr>
            <w:tcW w:w="8789" w:type="dxa"/>
            <w:gridSpan w:val="5"/>
          </w:tcPr>
          <w:p w14:paraId="68408818" w14:textId="77E339DB" w:rsidR="008C5A65" w:rsidRDefault="008C5A65" w:rsidP="000B20B5">
            <w:pPr>
              <w:pStyle w:val="TableText"/>
            </w:pPr>
            <w:r>
              <w:t xml:space="preserve">Suppliers were satisfied with effective communication, and the overall invitation to supply and submission process. Most participants were satisfied with the feedback process, particularly in relation to timeliness and quality of feedback. </w:t>
            </w:r>
            <w:r w:rsidRPr="00AD6B35">
              <w:t>Reasons for dissatisfaction most commonly related to timeliness, communication</w:t>
            </w:r>
            <w:r w:rsidR="004D2268">
              <w:t xml:space="preserve"> and</w:t>
            </w:r>
            <w:r w:rsidRPr="00AD6B35">
              <w:t xml:space="preserve"> </w:t>
            </w:r>
            <w:r>
              <w:t xml:space="preserve">a </w:t>
            </w:r>
            <w:r w:rsidRPr="00AD6B35">
              <w:t>perception</w:t>
            </w:r>
            <w:r>
              <w:t xml:space="preserve"> that</w:t>
            </w:r>
            <w:r w:rsidRPr="00AD6B35">
              <w:t xml:space="preserve"> the process was not conducted with integrity.</w:t>
            </w:r>
          </w:p>
          <w:p w14:paraId="0EB1E221" w14:textId="4971A787" w:rsidR="008C5A65" w:rsidRPr="00C000FB" w:rsidRDefault="008C5A65" w:rsidP="000B20B5">
            <w:pPr>
              <w:pStyle w:val="TableText"/>
            </w:pPr>
            <w:r w:rsidRPr="00AD6B35">
              <w:t>Supplier satisfaction could b</w:t>
            </w:r>
            <w:r w:rsidR="003165DA">
              <w:t>e</w:t>
            </w:r>
            <w:r w:rsidRPr="00AD6B35">
              <w:t xml:space="preserve"> improved by </w:t>
            </w:r>
            <w:r>
              <w:t>completing t</w:t>
            </w:r>
            <w:r w:rsidRPr="00AD6B35">
              <w:t xml:space="preserve">he evaluation process within acceptable and agreed timeframes where possible, and keeping suppliers informed throughout the process. Procurement Services is reviewing survey results and implementing strategies to improve clarity of information </w:t>
            </w:r>
            <w:r>
              <w:t xml:space="preserve">in </w:t>
            </w:r>
            <w:r w:rsidRPr="00AD6B35">
              <w:t>invitation to supply documents and the evaluation by conducting tailored supplier briefings.</w:t>
            </w:r>
          </w:p>
        </w:tc>
      </w:tr>
      <w:tr w:rsidR="008C5A65" w:rsidRPr="005C4F4A" w14:paraId="2C405FD0" w14:textId="77777777" w:rsidTr="005C4F4A">
        <w:tc>
          <w:tcPr>
            <w:tcW w:w="5387" w:type="dxa"/>
            <w:gridSpan w:val="2"/>
          </w:tcPr>
          <w:p w14:paraId="0B4D811D" w14:textId="77777777" w:rsidR="008C5A65" w:rsidRPr="005C4F4A" w:rsidRDefault="008C5A65" w:rsidP="000B20B5">
            <w:pPr>
              <w:pStyle w:val="TableText"/>
              <w:rPr>
                <w:rStyle w:val="Strong"/>
              </w:rPr>
            </w:pPr>
            <w:r w:rsidRPr="005C4F4A">
              <w:rPr>
                <w:rStyle w:val="Strong"/>
              </w:rPr>
              <w:t>Planned procurement activity as a % of actual procurement activity</w:t>
            </w:r>
          </w:p>
        </w:tc>
        <w:tc>
          <w:tcPr>
            <w:tcW w:w="1125" w:type="dxa"/>
          </w:tcPr>
          <w:p w14:paraId="375EDCE0" w14:textId="77777777" w:rsidR="008C5A65" w:rsidRPr="005C4F4A" w:rsidRDefault="008C5A65" w:rsidP="000B20B5">
            <w:pPr>
              <w:pStyle w:val="TableText"/>
              <w:rPr>
                <w:rStyle w:val="Strong"/>
              </w:rPr>
            </w:pPr>
            <w:r w:rsidRPr="005C4F4A">
              <w:rPr>
                <w:rStyle w:val="Strong"/>
              </w:rPr>
              <w:t>22.0</w:t>
            </w:r>
          </w:p>
        </w:tc>
        <w:tc>
          <w:tcPr>
            <w:tcW w:w="1125" w:type="dxa"/>
          </w:tcPr>
          <w:p w14:paraId="4D4C3EB6" w14:textId="77777777" w:rsidR="008C5A65" w:rsidRPr="005C4F4A" w:rsidRDefault="008C5A65" w:rsidP="000B20B5">
            <w:pPr>
              <w:pStyle w:val="TableText"/>
              <w:rPr>
                <w:rStyle w:val="Strong"/>
              </w:rPr>
            </w:pPr>
            <w:r w:rsidRPr="005C4F4A">
              <w:rPr>
                <w:rStyle w:val="Strong"/>
              </w:rPr>
              <w:t>24.0</w:t>
            </w:r>
          </w:p>
        </w:tc>
        <w:tc>
          <w:tcPr>
            <w:tcW w:w="1152" w:type="dxa"/>
          </w:tcPr>
          <w:p w14:paraId="010EB4F2" w14:textId="77777777" w:rsidR="008C5A65" w:rsidRPr="005C4F4A" w:rsidRDefault="008C5A65" w:rsidP="000B20B5">
            <w:pPr>
              <w:pStyle w:val="TableText"/>
              <w:rPr>
                <w:rStyle w:val="Strong"/>
              </w:rPr>
            </w:pPr>
            <w:r w:rsidRPr="005C4F4A">
              <w:rPr>
                <w:rStyle w:val="Strong"/>
              </w:rPr>
              <w:t>24.9</w:t>
            </w:r>
          </w:p>
        </w:tc>
      </w:tr>
      <w:tr w:rsidR="008C5A65" w:rsidRPr="006C6059" w14:paraId="25AB9571" w14:textId="77777777" w:rsidTr="005C4F4A">
        <w:tc>
          <w:tcPr>
            <w:tcW w:w="8789" w:type="dxa"/>
            <w:gridSpan w:val="5"/>
          </w:tcPr>
          <w:p w14:paraId="3CA8755F" w14:textId="618DA2A8" w:rsidR="008C5A65" w:rsidRPr="005F2BDA" w:rsidRDefault="008C5A65" w:rsidP="000B20B5">
            <w:pPr>
              <w:pStyle w:val="TableText"/>
            </w:pPr>
            <w:r>
              <w:t xml:space="preserve">DJCS is implementing a new </w:t>
            </w:r>
            <w:r w:rsidR="00DA4B60">
              <w:t xml:space="preserve">software </w:t>
            </w:r>
            <w:r>
              <w:t xml:space="preserve">system which will be used as the department’s procurement planning tool and will improve capture of this information. </w:t>
            </w:r>
          </w:p>
        </w:tc>
      </w:tr>
      <w:bookmarkEnd w:id="236"/>
    </w:tbl>
    <w:p w14:paraId="3711F50E" w14:textId="77777777" w:rsidR="00E7688D" w:rsidRPr="006C6059" w:rsidRDefault="00E7688D" w:rsidP="00E7688D">
      <w:pPr>
        <w:rPr>
          <w:lang w:val="en-US"/>
        </w:rPr>
      </w:pPr>
    </w:p>
    <w:p w14:paraId="46F2F739" w14:textId="77777777" w:rsidR="00E7688D" w:rsidRPr="00BD7F88" w:rsidRDefault="00E7688D" w:rsidP="00E7688D">
      <w:pPr>
        <w:rPr>
          <w:lang w:eastAsia="en-US"/>
        </w:rPr>
      </w:pPr>
    </w:p>
    <w:bookmarkEnd w:id="237"/>
    <w:p w14:paraId="72031714" w14:textId="77777777" w:rsidR="00E7688D" w:rsidRDefault="00E7688D" w:rsidP="00E7688D">
      <w:pPr>
        <w:rPr>
          <w:rFonts w:ascii="Calibri" w:hAnsi="Calibri" w:cs="Calibri"/>
          <w:color w:val="4D4D4D"/>
          <w:kern w:val="28"/>
          <w:sz w:val="30"/>
          <w:szCs w:val="22"/>
          <w:lang w:eastAsia="en-US"/>
        </w:rPr>
      </w:pPr>
      <w:r>
        <w:br w:type="page"/>
      </w:r>
    </w:p>
    <w:p w14:paraId="6D7CA2FE" w14:textId="77777777" w:rsidR="008C5A65" w:rsidRDefault="008C5A65" w:rsidP="008C5A65">
      <w:pPr>
        <w:pStyle w:val="Heading2NoNum"/>
        <w:ind w:left="0"/>
      </w:pPr>
      <w:bookmarkStart w:id="244" w:name="_Toc35437755"/>
      <w:bookmarkStart w:id="245" w:name="_Toc52187746"/>
      <w:bookmarkStart w:id="246" w:name="_Toc366693341"/>
      <w:bookmarkStart w:id="247" w:name="_Hlk47614972"/>
      <w:bookmarkStart w:id="248" w:name="_Hlk49246670"/>
      <w:bookmarkEnd w:id="222"/>
      <w:r w:rsidRPr="00160B30">
        <w:lastRenderedPageBreak/>
        <w:t>Department of Premier and Cabinet</w:t>
      </w:r>
      <w:bookmarkEnd w:id="244"/>
      <w:bookmarkEnd w:id="245"/>
    </w:p>
    <w:bookmarkEnd w:id="246"/>
    <w:p w14:paraId="6185EB60" w14:textId="043021B8" w:rsidR="008C5A65" w:rsidRDefault="008C5A65" w:rsidP="008C5A65">
      <w:pPr>
        <w:pStyle w:val="Normal1"/>
        <w:ind w:left="0"/>
      </w:pPr>
      <w:r w:rsidRPr="00691900">
        <w:t xml:space="preserve">The Department of Premier and Cabinet (DPC) leads the public service in delivering the government’s agenda and works across the public service to promote the public interest and create public value. </w:t>
      </w:r>
      <w:r w:rsidR="00825A8B">
        <w:t>DPC does</w:t>
      </w:r>
      <w:r w:rsidRPr="00691900">
        <w:t xml:space="preserve"> this by delivering on the public service mandate to uphold integrity, act with purpose and remain uncompromising in the provision of robust, high-quality advice and service delivery.</w:t>
      </w:r>
    </w:p>
    <w:p w14:paraId="69A39A83" w14:textId="458A2FE0" w:rsidR="008C5A65" w:rsidRDefault="008C5A65" w:rsidP="008C5A65">
      <w:pPr>
        <w:pStyle w:val="Normal1"/>
        <w:ind w:left="0"/>
      </w:pPr>
      <w:r>
        <w:t>DPC leads the information and communications technology (ICT) state purchase contract (SPC) arrangements for ICT goods and services used across government. Contracts include software applications and licensing, hardware, telecommunications, and eServices and IT infrastructure registers.</w:t>
      </w:r>
    </w:p>
    <w:p w14:paraId="446B8F39" w14:textId="632F8D0E" w:rsidR="008C5A65" w:rsidRDefault="008C5A65" w:rsidP="008C5A65">
      <w:pPr>
        <w:pStyle w:val="Normal1"/>
        <w:ind w:left="0"/>
      </w:pPr>
      <w:r>
        <w:t>A new agency, Bushfire Recovery Victoria, was set up under DPC during the year.</w:t>
      </w:r>
    </w:p>
    <w:p w14:paraId="6D624C4E" w14:textId="77777777" w:rsidR="008C5A65" w:rsidRDefault="008C5A65" w:rsidP="008C5A65">
      <w:pPr>
        <w:pStyle w:val="Heading3NoNum"/>
        <w:ind w:left="0"/>
      </w:pPr>
      <w:r w:rsidRPr="00CD6245">
        <w:t>Procurement profile</w:t>
      </w:r>
      <w:r>
        <w:t xml:space="preserve"> in 2019–20</w:t>
      </w:r>
    </w:p>
    <w:tbl>
      <w:tblPr>
        <w:tblStyle w:val="TableGrid"/>
        <w:tblW w:w="9220" w:type="dxa"/>
        <w:tblInd w:w="-5" w:type="dxa"/>
        <w:tblLook w:val="04A0" w:firstRow="1" w:lastRow="0" w:firstColumn="1" w:lastColumn="0" w:noHBand="0" w:noVBand="1"/>
      </w:tblPr>
      <w:tblGrid>
        <w:gridCol w:w="5387"/>
        <w:gridCol w:w="3827"/>
        <w:gridCol w:w="6"/>
      </w:tblGrid>
      <w:tr w:rsidR="008C5A65" w:rsidRPr="00CC1F98" w14:paraId="172B52FF" w14:textId="77777777" w:rsidTr="005C4F4A">
        <w:trPr>
          <w:gridAfter w:val="1"/>
          <w:wAfter w:w="6" w:type="dxa"/>
        </w:trPr>
        <w:tc>
          <w:tcPr>
            <w:tcW w:w="5387" w:type="dxa"/>
          </w:tcPr>
          <w:p w14:paraId="6F163AED" w14:textId="61C61744" w:rsidR="008C5A65" w:rsidRPr="00DA1E79" w:rsidRDefault="008C5A65" w:rsidP="00190BC9">
            <w:pPr>
              <w:pStyle w:val="Normal1"/>
              <w:ind w:left="0"/>
              <w:rPr>
                <w:sz w:val="24"/>
                <w:szCs w:val="24"/>
              </w:rPr>
            </w:pPr>
            <w:r w:rsidRPr="00DA1E79">
              <w:rPr>
                <w:sz w:val="24"/>
                <w:szCs w:val="24"/>
              </w:rPr>
              <w:t>64 one-off supply contract approvals valued at $35.1</w:t>
            </w:r>
            <w:r w:rsidR="003205D7">
              <w:rPr>
                <w:sz w:val="24"/>
                <w:szCs w:val="24"/>
              </w:rPr>
              <w:t> </w:t>
            </w:r>
            <w:r w:rsidRPr="00DA1E79">
              <w:rPr>
                <w:sz w:val="24"/>
                <w:szCs w:val="24"/>
              </w:rPr>
              <w:t>million*</w:t>
            </w:r>
          </w:p>
        </w:tc>
        <w:tc>
          <w:tcPr>
            <w:tcW w:w="3827" w:type="dxa"/>
          </w:tcPr>
          <w:p w14:paraId="42DF9A32" w14:textId="77777777" w:rsidR="008C5A65" w:rsidRPr="00BD351B" w:rsidRDefault="008C5A65" w:rsidP="00190BC9">
            <w:pPr>
              <w:pStyle w:val="Normal1"/>
              <w:ind w:left="0"/>
            </w:pPr>
            <w:r w:rsidRPr="00E63DEC">
              <w:rPr>
                <w:sz w:val="36"/>
                <w:szCs w:val="36"/>
              </w:rPr>
              <w:t>Decentralised</w:t>
            </w:r>
            <w:r>
              <w:rPr>
                <w:lang w:val="en-US"/>
              </w:rPr>
              <w:t xml:space="preserve"> procurement function</w:t>
            </w:r>
          </w:p>
        </w:tc>
      </w:tr>
      <w:tr w:rsidR="008C5A65" w:rsidRPr="00CC1F98" w14:paraId="140021B4" w14:textId="77777777" w:rsidTr="005C4F4A">
        <w:trPr>
          <w:gridAfter w:val="1"/>
          <w:wAfter w:w="6" w:type="dxa"/>
        </w:trPr>
        <w:tc>
          <w:tcPr>
            <w:tcW w:w="5387" w:type="dxa"/>
          </w:tcPr>
          <w:p w14:paraId="741BCA83" w14:textId="500FD539" w:rsidR="008C5A65" w:rsidRPr="00DA1E79" w:rsidRDefault="008C5A65" w:rsidP="00190BC9">
            <w:pPr>
              <w:pStyle w:val="Normal1"/>
              <w:ind w:left="0"/>
              <w:rPr>
                <w:sz w:val="24"/>
                <w:szCs w:val="24"/>
              </w:rPr>
            </w:pPr>
            <w:r w:rsidRPr="00DA1E79">
              <w:rPr>
                <w:sz w:val="24"/>
                <w:szCs w:val="24"/>
              </w:rPr>
              <w:t>5 SPC approvals valued at $230.5 million</w:t>
            </w:r>
            <w:r w:rsidR="00E7550C">
              <w:rPr>
                <w:sz w:val="24"/>
                <w:szCs w:val="24"/>
              </w:rPr>
              <w:t>*</w:t>
            </w:r>
          </w:p>
        </w:tc>
        <w:tc>
          <w:tcPr>
            <w:tcW w:w="3827" w:type="dxa"/>
            <w:vMerge w:val="restart"/>
          </w:tcPr>
          <w:p w14:paraId="69350789" w14:textId="77777777" w:rsidR="008C5A65" w:rsidRPr="00D962DA" w:rsidRDefault="008C5A65" w:rsidP="00190BC9">
            <w:pPr>
              <w:pStyle w:val="Normal1"/>
              <w:ind w:left="0"/>
              <w:rPr>
                <w:b/>
              </w:rPr>
            </w:pPr>
            <w:r w:rsidRPr="00D962DA">
              <w:rPr>
                <w:b/>
              </w:rPr>
              <w:t xml:space="preserve">Top categories of </w:t>
            </w:r>
            <w:r>
              <w:rPr>
                <w:b/>
              </w:rPr>
              <w:t>contract approval</w:t>
            </w:r>
          </w:p>
          <w:p w14:paraId="326F0E07" w14:textId="77777777" w:rsidR="008C5A65" w:rsidRPr="00E63DEC" w:rsidRDefault="008C5A65" w:rsidP="005C4F4A">
            <w:pPr>
              <w:pStyle w:val="tasblebullet"/>
            </w:pPr>
            <w:r w:rsidRPr="00E63DEC">
              <w:t xml:space="preserve">Professional </w:t>
            </w:r>
            <w:r>
              <w:t xml:space="preserve">advisory </w:t>
            </w:r>
            <w:r w:rsidRPr="00E63DEC">
              <w:t>services</w:t>
            </w:r>
          </w:p>
          <w:p w14:paraId="6979F4AA" w14:textId="77777777" w:rsidR="008C5A65" w:rsidRDefault="008C5A65" w:rsidP="005C4F4A">
            <w:pPr>
              <w:pStyle w:val="tasblebullet"/>
            </w:pPr>
            <w:r w:rsidRPr="00E63DEC">
              <w:t>Labour contractor services</w:t>
            </w:r>
          </w:p>
          <w:p w14:paraId="06ABFA99" w14:textId="77777777" w:rsidR="008C5A65" w:rsidRPr="00E63DEC" w:rsidRDefault="008C5A65" w:rsidP="005C4F4A">
            <w:pPr>
              <w:pStyle w:val="tasblebullet"/>
            </w:pPr>
            <w:r>
              <w:t>Software licensing</w:t>
            </w:r>
          </w:p>
          <w:p w14:paraId="0EB97516" w14:textId="77777777" w:rsidR="008C5A65" w:rsidRDefault="008C5A65" w:rsidP="005C4F4A">
            <w:pPr>
              <w:pStyle w:val="tasblebullet"/>
            </w:pPr>
            <w:r>
              <w:t>IT hardware</w:t>
            </w:r>
          </w:p>
          <w:p w14:paraId="7BCD74A0" w14:textId="77777777" w:rsidR="008C5A65" w:rsidRPr="006A6886" w:rsidRDefault="008C5A65" w:rsidP="00190BC9">
            <w:pPr>
              <w:pStyle w:val="Bullet1"/>
              <w:numPr>
                <w:ilvl w:val="0"/>
                <w:numId w:val="0"/>
              </w:numPr>
              <w:ind w:hanging="283"/>
            </w:pPr>
          </w:p>
        </w:tc>
      </w:tr>
      <w:tr w:rsidR="008C5A65" w:rsidRPr="00CC1F98" w14:paraId="55858C5D" w14:textId="77777777" w:rsidTr="005C4F4A">
        <w:trPr>
          <w:gridAfter w:val="1"/>
          <w:wAfter w:w="6" w:type="dxa"/>
        </w:trPr>
        <w:tc>
          <w:tcPr>
            <w:tcW w:w="5387" w:type="dxa"/>
          </w:tcPr>
          <w:p w14:paraId="6419A85E" w14:textId="24D30FBF" w:rsidR="008C5A65" w:rsidRPr="00DA1E79" w:rsidRDefault="008C5A65" w:rsidP="00190BC9">
            <w:pPr>
              <w:pStyle w:val="Normal1"/>
              <w:ind w:left="0"/>
              <w:rPr>
                <w:sz w:val="24"/>
                <w:szCs w:val="24"/>
              </w:rPr>
            </w:pPr>
            <w:r w:rsidRPr="00DA1E79">
              <w:rPr>
                <w:sz w:val="24"/>
                <w:szCs w:val="24"/>
              </w:rPr>
              <w:t xml:space="preserve">47 critical incident </w:t>
            </w:r>
            <w:r w:rsidR="00C757FF">
              <w:rPr>
                <w:sz w:val="24"/>
                <w:szCs w:val="24"/>
              </w:rPr>
              <w:t xml:space="preserve">contract </w:t>
            </w:r>
            <w:r w:rsidRPr="00DA1E79">
              <w:rPr>
                <w:sz w:val="24"/>
                <w:szCs w:val="24"/>
              </w:rPr>
              <w:t>approvals valued at $24.9</w:t>
            </w:r>
            <w:r w:rsidR="00E7550C">
              <w:rPr>
                <w:sz w:val="24"/>
                <w:szCs w:val="24"/>
              </w:rPr>
              <w:t xml:space="preserve"> million*</w:t>
            </w:r>
          </w:p>
        </w:tc>
        <w:tc>
          <w:tcPr>
            <w:tcW w:w="3827" w:type="dxa"/>
            <w:vMerge/>
          </w:tcPr>
          <w:p w14:paraId="475CFDE8" w14:textId="77777777" w:rsidR="008C5A65" w:rsidRPr="00D962DA" w:rsidRDefault="008C5A65" w:rsidP="00190BC9">
            <w:pPr>
              <w:pStyle w:val="Normal1"/>
              <w:ind w:left="0"/>
              <w:rPr>
                <w:b/>
              </w:rPr>
            </w:pPr>
          </w:p>
        </w:tc>
      </w:tr>
      <w:tr w:rsidR="008C5A65" w:rsidRPr="00CC1F98" w14:paraId="2600F3F0" w14:textId="77777777" w:rsidTr="005C4F4A">
        <w:trPr>
          <w:gridAfter w:val="1"/>
          <w:wAfter w:w="6" w:type="dxa"/>
          <w:trHeight w:val="1080"/>
        </w:trPr>
        <w:tc>
          <w:tcPr>
            <w:tcW w:w="5387" w:type="dxa"/>
            <w:vMerge w:val="restart"/>
          </w:tcPr>
          <w:p w14:paraId="7F66B8E1" w14:textId="77777777" w:rsidR="008C5A65" w:rsidRDefault="008C5A65" w:rsidP="00190BC9">
            <w:pPr>
              <w:pStyle w:val="Normal1"/>
              <w:ind w:left="0"/>
              <w:rPr>
                <w:b/>
                <w:lang w:val="en-US"/>
              </w:rPr>
            </w:pPr>
            <w:r w:rsidRPr="0051388F">
              <w:rPr>
                <w:b/>
                <w:lang w:val="en-US"/>
              </w:rPr>
              <w:t>Highlights</w:t>
            </w:r>
          </w:p>
          <w:p w14:paraId="22CF7B90" w14:textId="1A70025F" w:rsidR="008C5A65" w:rsidRPr="0070012D" w:rsidRDefault="008C5A65" w:rsidP="005C4F4A">
            <w:pPr>
              <w:pStyle w:val="tasblebullet"/>
            </w:pPr>
            <w:r w:rsidRPr="0070012D">
              <w:t xml:space="preserve">Updated procurement policies and guides and </w:t>
            </w:r>
            <w:r w:rsidR="00E7550C">
              <w:t>implemented a process for a</w:t>
            </w:r>
            <w:r w:rsidRPr="0070012D">
              <w:t xml:space="preserve"> central depository </w:t>
            </w:r>
            <w:r w:rsidR="00E7550C">
              <w:t>for</w:t>
            </w:r>
            <w:r w:rsidR="00E7550C" w:rsidRPr="0070012D">
              <w:t xml:space="preserve"> </w:t>
            </w:r>
            <w:r w:rsidRPr="0070012D">
              <w:t>stor</w:t>
            </w:r>
            <w:r w:rsidR="00E7550C">
              <w:t>ing</w:t>
            </w:r>
            <w:r w:rsidRPr="0070012D">
              <w:t xml:space="preserve"> procurement documents.</w:t>
            </w:r>
          </w:p>
          <w:p w14:paraId="0CC4057A" w14:textId="51DD590A" w:rsidR="008C5A65" w:rsidRDefault="008C5A65" w:rsidP="005C4F4A">
            <w:pPr>
              <w:pStyle w:val="tasblebullet"/>
            </w:pPr>
            <w:r w:rsidRPr="0070012D">
              <w:t>Implemented data captur</w:t>
            </w:r>
            <w:r w:rsidR="00825A8B">
              <w:t>e</w:t>
            </w:r>
            <w:r w:rsidRPr="0070012D">
              <w:t xml:space="preserve"> tools to report on spending with social enterprises, all procurement activity and customer relationship management.</w:t>
            </w:r>
          </w:p>
          <w:p w14:paraId="1690DBFB" w14:textId="3EADE100" w:rsidR="00E7550C" w:rsidRPr="0070012D" w:rsidRDefault="00E7550C" w:rsidP="005C4F4A">
            <w:pPr>
              <w:pStyle w:val="tasblebullet"/>
            </w:pPr>
            <w:r>
              <w:t>Increased focus on compliance and quality assurance reviews with market invitations, leading to DPC’s best supplier satisfaction scores to date.</w:t>
            </w:r>
          </w:p>
          <w:p w14:paraId="0983860D" w14:textId="040D902D" w:rsidR="008C5A65" w:rsidRPr="007D29CF" w:rsidRDefault="008C5A65" w:rsidP="005C4F4A">
            <w:pPr>
              <w:pStyle w:val="tasblebullet"/>
            </w:pPr>
            <w:r w:rsidRPr="0070012D">
              <w:rPr>
                <w:color w:val="000000" w:themeColor="text1"/>
              </w:rPr>
              <w:t>Increased capability through group and individual training, partnering with business areas on complex procurements, simplifying forms and templates and updating procurement information on the</w:t>
            </w:r>
            <w:r w:rsidR="00E7550C">
              <w:rPr>
                <w:color w:val="000000" w:themeColor="text1"/>
              </w:rPr>
              <w:t xml:space="preserve"> DPC</w:t>
            </w:r>
            <w:r w:rsidRPr="0070012D">
              <w:rPr>
                <w:color w:val="000000" w:themeColor="text1"/>
              </w:rPr>
              <w:t xml:space="preserve"> intranet.</w:t>
            </w:r>
            <w:r>
              <w:rPr>
                <w:color w:val="000000" w:themeColor="text1"/>
              </w:rPr>
              <w:t xml:space="preserve"> </w:t>
            </w:r>
          </w:p>
        </w:tc>
        <w:tc>
          <w:tcPr>
            <w:tcW w:w="3827" w:type="dxa"/>
            <w:vMerge/>
          </w:tcPr>
          <w:p w14:paraId="15BA454A" w14:textId="77777777" w:rsidR="008C5A65" w:rsidRPr="00D962DA" w:rsidRDefault="008C5A65" w:rsidP="00190BC9">
            <w:pPr>
              <w:pStyle w:val="Normal1"/>
              <w:ind w:left="0"/>
              <w:rPr>
                <w:b/>
              </w:rPr>
            </w:pPr>
          </w:p>
        </w:tc>
      </w:tr>
      <w:tr w:rsidR="008C5A65" w:rsidRPr="00CC1F98" w14:paraId="36DD59D7" w14:textId="77777777" w:rsidTr="005C4F4A">
        <w:trPr>
          <w:gridAfter w:val="1"/>
          <w:wAfter w:w="6" w:type="dxa"/>
          <w:trHeight w:val="1170"/>
        </w:trPr>
        <w:tc>
          <w:tcPr>
            <w:tcW w:w="5387" w:type="dxa"/>
            <w:vMerge/>
          </w:tcPr>
          <w:p w14:paraId="0D9AFFAE" w14:textId="77777777" w:rsidR="008C5A65" w:rsidRPr="00BF215D" w:rsidRDefault="008C5A65" w:rsidP="00190BC9">
            <w:pPr>
              <w:pStyle w:val="Bullet1"/>
              <w:numPr>
                <w:ilvl w:val="0"/>
                <w:numId w:val="0"/>
              </w:numPr>
            </w:pPr>
          </w:p>
        </w:tc>
        <w:tc>
          <w:tcPr>
            <w:tcW w:w="3827" w:type="dxa"/>
          </w:tcPr>
          <w:p w14:paraId="0E4F6040" w14:textId="77777777" w:rsidR="008C5A65" w:rsidRDefault="008C5A65" w:rsidP="00190BC9">
            <w:pPr>
              <w:pStyle w:val="Bullet1"/>
              <w:numPr>
                <w:ilvl w:val="0"/>
                <w:numId w:val="0"/>
              </w:numPr>
              <w:rPr>
                <w:noProof/>
              </w:rPr>
            </w:pPr>
            <w:r>
              <w:rPr>
                <w:noProof/>
              </w:rPr>
              <w:t xml:space="preserve">Mostly </w:t>
            </w:r>
            <w:r w:rsidRPr="009431B0">
              <w:rPr>
                <w:noProof/>
                <w:sz w:val="36"/>
                <w:szCs w:val="36"/>
              </w:rPr>
              <w:t>transactional</w:t>
            </w:r>
            <w:r>
              <w:rPr>
                <w:noProof/>
              </w:rPr>
              <w:t xml:space="preserve"> complexity profile</w:t>
            </w:r>
          </w:p>
          <w:p w14:paraId="162C26E8" w14:textId="77777777" w:rsidR="008C5A65" w:rsidRPr="0070012D" w:rsidRDefault="008C5A65" w:rsidP="00190BC9">
            <w:pPr>
              <w:pStyle w:val="Bullet1"/>
              <w:numPr>
                <w:ilvl w:val="0"/>
                <w:numId w:val="0"/>
              </w:numPr>
              <w:rPr>
                <w:noProof/>
              </w:rPr>
            </w:pPr>
            <w:r>
              <w:rPr>
                <w:noProof/>
              </w:rPr>
              <w:drawing>
                <wp:inline distT="0" distB="0" distL="0" distR="0" wp14:anchorId="3A88AD88" wp14:editId="79839031">
                  <wp:extent cx="2257425" cy="1495425"/>
                  <wp:effectExtent l="0" t="0" r="9525" b="9525"/>
                  <wp:docPr id="20" name="Chart 20">
                    <a:extLst xmlns:a="http://schemas.openxmlformats.org/drawingml/2006/main">
                      <a:ext uri="{FF2B5EF4-FFF2-40B4-BE49-F238E27FC236}">
                        <a16:creationId xmlns:a16="http://schemas.microsoft.com/office/drawing/2014/main" id="{35DC02A1-4DE7-403B-8EF7-7B8FAAF86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8C5A65" w:rsidRPr="00CC1F98" w14:paraId="2BACC6F9" w14:textId="77777777" w:rsidTr="005C4F4A">
        <w:tc>
          <w:tcPr>
            <w:tcW w:w="9220" w:type="dxa"/>
            <w:gridSpan w:val="3"/>
          </w:tcPr>
          <w:p w14:paraId="64CC527D" w14:textId="77777777" w:rsidR="008C5A65" w:rsidRPr="00C8283A" w:rsidRDefault="008C5A65" w:rsidP="00190BC9">
            <w:pPr>
              <w:pStyle w:val="Normal1"/>
              <w:ind w:left="0"/>
              <w:rPr>
                <w:lang w:val="en-US"/>
              </w:rPr>
            </w:pPr>
            <w:r>
              <w:rPr>
                <w:b/>
                <w:bCs/>
                <w:lang w:val="en-US"/>
              </w:rPr>
              <w:t>AO</w:t>
            </w:r>
            <w:r w:rsidRPr="009431B0">
              <w:rPr>
                <w:b/>
                <w:bCs/>
                <w:lang w:val="en-US"/>
              </w:rPr>
              <w:t>:</w:t>
            </w:r>
            <w:r w:rsidRPr="00C000FB">
              <w:rPr>
                <w:lang w:val="en-US"/>
              </w:rPr>
              <w:t xml:space="preserve"> </w:t>
            </w:r>
            <w:r w:rsidRPr="006A6886">
              <w:rPr>
                <w:lang w:val="en-US"/>
              </w:rPr>
              <w:t>Chris Eccles, Secretary</w:t>
            </w:r>
          </w:p>
          <w:p w14:paraId="0D8566E5" w14:textId="77777777" w:rsidR="008C5A65" w:rsidRPr="005E5585" w:rsidRDefault="008C5A65" w:rsidP="00190BC9">
            <w:pPr>
              <w:spacing w:before="40" w:after="40"/>
              <w:rPr>
                <w:rFonts w:ascii="Calibri" w:hAnsi="Calibri" w:cs="Calibri"/>
                <w:sz w:val="22"/>
                <w:szCs w:val="22"/>
                <w:lang w:val="en-US"/>
              </w:rPr>
            </w:pPr>
            <w:r w:rsidRPr="009431B0">
              <w:rPr>
                <w:rFonts w:ascii="Calibri" w:hAnsi="Calibri" w:cs="Calibri"/>
                <w:b/>
                <w:bCs/>
                <w:sz w:val="22"/>
                <w:szCs w:val="22"/>
                <w:lang w:val="en-US"/>
              </w:rPr>
              <w:t>CPO:</w:t>
            </w:r>
            <w:r w:rsidRPr="005E5585">
              <w:rPr>
                <w:rFonts w:ascii="Calibri" w:hAnsi="Calibri" w:cs="Calibri"/>
                <w:sz w:val="22"/>
                <w:szCs w:val="22"/>
                <w:lang w:val="en-US"/>
              </w:rPr>
              <w:t xml:space="preserve"> </w:t>
            </w:r>
            <w:r w:rsidRPr="006A6886">
              <w:rPr>
                <w:rFonts w:ascii="Calibri" w:hAnsi="Calibri" w:cs="Calibri"/>
                <w:sz w:val="22"/>
                <w:szCs w:val="22"/>
                <w:lang w:val="en-US"/>
              </w:rPr>
              <w:t xml:space="preserve">Kylie </w:t>
            </w:r>
            <w:proofErr w:type="spellStart"/>
            <w:r w:rsidRPr="006A6886">
              <w:rPr>
                <w:rFonts w:ascii="Calibri" w:hAnsi="Calibri" w:cs="Calibri"/>
                <w:sz w:val="22"/>
                <w:szCs w:val="22"/>
                <w:lang w:val="en-US"/>
              </w:rPr>
              <w:t>Callander</w:t>
            </w:r>
            <w:proofErr w:type="spellEnd"/>
            <w:r w:rsidRPr="006A6886">
              <w:rPr>
                <w:rFonts w:ascii="Calibri" w:hAnsi="Calibri" w:cs="Calibri"/>
                <w:sz w:val="22"/>
                <w:szCs w:val="22"/>
                <w:lang w:val="en-US"/>
              </w:rPr>
              <w:t>, CPO, Corporate Services</w:t>
            </w:r>
          </w:p>
          <w:p w14:paraId="51C91EBB" w14:textId="77777777" w:rsidR="008C5A65" w:rsidRPr="006A6886" w:rsidRDefault="008C5A65" w:rsidP="00190BC9">
            <w:pPr>
              <w:spacing w:before="40" w:after="40"/>
              <w:rPr>
                <w:rFonts w:asciiTheme="majorHAnsi" w:hAnsiTheme="majorHAnsi" w:cstheme="majorHAnsi"/>
                <w:b/>
                <w:sz w:val="20"/>
                <w:szCs w:val="20"/>
              </w:rPr>
            </w:pPr>
            <w:r w:rsidRPr="009431B0">
              <w:rPr>
                <w:rFonts w:ascii="Calibri" w:hAnsi="Calibri" w:cs="Calibri"/>
                <w:b/>
                <w:bCs/>
                <w:sz w:val="22"/>
                <w:szCs w:val="22"/>
                <w:lang w:val="en-US"/>
              </w:rPr>
              <w:t>IPU Chair:</w:t>
            </w:r>
            <w:r w:rsidRPr="005E5585">
              <w:rPr>
                <w:rFonts w:ascii="Calibri" w:hAnsi="Calibri" w:cs="Calibri"/>
                <w:sz w:val="22"/>
                <w:szCs w:val="22"/>
                <w:lang w:val="en-US"/>
              </w:rPr>
              <w:t xml:space="preserve"> </w:t>
            </w:r>
            <w:r w:rsidRPr="009431B0">
              <w:rPr>
                <w:rFonts w:ascii="Calibri" w:hAnsi="Calibri" w:cs="Calibri"/>
                <w:sz w:val="22"/>
                <w:szCs w:val="22"/>
                <w:lang w:val="en-US"/>
              </w:rPr>
              <w:t>Andrew Campbell</w:t>
            </w:r>
            <w:r w:rsidRPr="006A6886">
              <w:rPr>
                <w:rFonts w:ascii="Calibri" w:hAnsi="Calibri" w:cs="Calibri"/>
                <w:sz w:val="22"/>
                <w:szCs w:val="22"/>
                <w:lang w:val="en-US"/>
              </w:rPr>
              <w:t>, Executive Director, Corporate Services</w:t>
            </w:r>
            <w:r>
              <w:rPr>
                <w:rFonts w:ascii="Calibri" w:hAnsi="Calibri" w:cs="Calibri"/>
                <w:sz w:val="22"/>
                <w:szCs w:val="22"/>
                <w:lang w:val="en-US"/>
              </w:rPr>
              <w:t>;</w:t>
            </w:r>
            <w:r w:rsidRPr="006A6886">
              <w:rPr>
                <w:rFonts w:ascii="Calibri" w:hAnsi="Calibri" w:cs="Calibri"/>
                <w:sz w:val="22"/>
                <w:szCs w:val="22"/>
                <w:lang w:val="en-US"/>
              </w:rPr>
              <w:t xml:space="preserve"> Governance, Policy and Coordination</w:t>
            </w:r>
          </w:p>
        </w:tc>
      </w:tr>
    </w:tbl>
    <w:p w14:paraId="1E5A0C89" w14:textId="77777777" w:rsidR="008C5A65" w:rsidRDefault="008C5A65" w:rsidP="008C5A65">
      <w:pPr>
        <w:pStyle w:val="Normal1"/>
        <w:ind w:left="0"/>
      </w:pPr>
      <w:r>
        <w:rPr>
          <w:lang w:eastAsia="en-US"/>
        </w:rPr>
        <w:t xml:space="preserve">* </w:t>
      </w:r>
      <w:r>
        <w:t>Contracts valued at $100 000 or more.</w:t>
      </w:r>
    </w:p>
    <w:p w14:paraId="7F9FA195" w14:textId="77777777" w:rsidR="008C5A65" w:rsidRPr="006A6886" w:rsidRDefault="008C5A65" w:rsidP="008C5A65">
      <w:pPr>
        <w:pStyle w:val="Normal1"/>
        <w:ind w:left="0"/>
        <w:rPr>
          <w:lang w:eastAsia="en-US"/>
        </w:rPr>
      </w:pPr>
    </w:p>
    <w:p w14:paraId="53203707" w14:textId="77777777" w:rsidR="008C5A65" w:rsidRDefault="008C5A65">
      <w:pPr>
        <w:rPr>
          <w:rFonts w:ascii="Calibri" w:hAnsi="Calibri" w:cs="Calibri"/>
          <w:b/>
          <w:color w:val="4D4D4D"/>
          <w:kern w:val="28"/>
          <w:sz w:val="26"/>
          <w:szCs w:val="22"/>
          <w:lang w:eastAsia="en-US"/>
        </w:rPr>
      </w:pPr>
      <w:r>
        <w:br w:type="page"/>
      </w:r>
    </w:p>
    <w:p w14:paraId="2A06CBB7" w14:textId="1CB1268A" w:rsidR="008C5A65" w:rsidRDefault="008C5A65" w:rsidP="008C5A65">
      <w:pPr>
        <w:pStyle w:val="Heading3NoNum"/>
        <w:ind w:left="0"/>
      </w:pPr>
      <w:r w:rsidRPr="00CD6245">
        <w:lastRenderedPageBreak/>
        <w:t>Performance</w:t>
      </w:r>
    </w:p>
    <w:p w14:paraId="2AD9F4CF" w14:textId="2F9DA0A8" w:rsidR="00825A8B" w:rsidRDefault="008C5A65" w:rsidP="00B97777">
      <w:pPr>
        <w:pStyle w:val="Normal1"/>
        <w:ind w:left="0"/>
        <w:rPr>
          <w:lang w:eastAsia="en-US"/>
        </w:rPr>
      </w:pPr>
      <w:r>
        <w:rPr>
          <w:lang w:eastAsia="en-US"/>
        </w:rPr>
        <w:t xml:space="preserve">In 2019–20, </w:t>
      </w:r>
      <w:r w:rsidRPr="0070012D">
        <w:rPr>
          <w:lang w:eastAsia="en-US"/>
        </w:rPr>
        <w:t>DPC</w:t>
      </w:r>
      <w:r>
        <w:rPr>
          <w:lang w:eastAsia="en-US"/>
        </w:rPr>
        <w:t xml:space="preserve"> </w:t>
      </w:r>
      <w:r w:rsidR="0095458C">
        <w:rPr>
          <w:lang w:eastAsia="en-US"/>
        </w:rPr>
        <w:t xml:space="preserve">procurement </w:t>
      </w:r>
      <w:r>
        <w:rPr>
          <w:lang w:eastAsia="en-US"/>
        </w:rPr>
        <w:t xml:space="preserve">improved across all performance measures after a strong </w:t>
      </w:r>
      <w:r w:rsidRPr="0070012D">
        <w:rPr>
          <w:lang w:eastAsia="en-US"/>
        </w:rPr>
        <w:t xml:space="preserve">focus on improving governance by addressing VGPB audit recommendations and updating policies and guidelines. </w:t>
      </w:r>
      <w:r>
        <w:rPr>
          <w:lang w:eastAsia="en-US"/>
        </w:rPr>
        <w:t>DPC worked on</w:t>
      </w:r>
      <w:r w:rsidRPr="0070012D">
        <w:rPr>
          <w:lang w:eastAsia="en-US"/>
        </w:rPr>
        <w:t xml:space="preserve"> improving procurement processes and making it easier for staff to follow</w:t>
      </w:r>
      <w:r>
        <w:rPr>
          <w:lang w:eastAsia="en-US"/>
        </w:rPr>
        <w:t xml:space="preserve"> them</w:t>
      </w:r>
      <w:r w:rsidRPr="0070012D">
        <w:rPr>
          <w:lang w:eastAsia="en-US"/>
        </w:rPr>
        <w:t xml:space="preserve">. </w:t>
      </w:r>
      <w:r>
        <w:rPr>
          <w:lang w:eastAsia="en-US"/>
        </w:rPr>
        <w:t xml:space="preserve">The procurement team committed to </w:t>
      </w:r>
      <w:r w:rsidRPr="0070012D">
        <w:rPr>
          <w:lang w:eastAsia="en-US"/>
        </w:rPr>
        <w:t xml:space="preserve">providing the </w:t>
      </w:r>
      <w:r>
        <w:rPr>
          <w:lang w:eastAsia="en-US"/>
        </w:rPr>
        <w:t>d</w:t>
      </w:r>
      <w:r w:rsidRPr="0070012D">
        <w:rPr>
          <w:lang w:eastAsia="en-US"/>
        </w:rPr>
        <w:t>epartment with consistent, quality procurement advice and partnering with business areas on complex procurements</w:t>
      </w:r>
      <w:r>
        <w:rPr>
          <w:lang w:eastAsia="en-US"/>
        </w:rPr>
        <w:t xml:space="preserve">, all of which </w:t>
      </w:r>
      <w:r w:rsidRPr="0070012D">
        <w:rPr>
          <w:lang w:eastAsia="en-US"/>
        </w:rPr>
        <w:t>contributed to improved capability across DPC.</w:t>
      </w:r>
      <w:bookmarkStart w:id="249" w:name="_Ref489541247"/>
      <w:bookmarkStart w:id="250" w:name="_Toc478646284"/>
      <w:bookmarkStart w:id="251" w:name="_Toc503949269"/>
      <w:bookmarkStart w:id="252" w:name="_Toc12717995"/>
      <w:bookmarkStart w:id="253" w:name="_Toc17130217"/>
      <w:bookmarkStart w:id="254" w:name="_Toc48837164"/>
    </w:p>
    <w:p w14:paraId="37A50D56" w14:textId="2F1C02DF" w:rsidR="00B97777" w:rsidRDefault="0095458C" w:rsidP="00B97777">
      <w:pPr>
        <w:pStyle w:val="Normal1"/>
        <w:ind w:left="0"/>
        <w:rPr>
          <w:lang w:eastAsia="en-US"/>
        </w:rPr>
      </w:pPr>
      <w:r>
        <w:fldChar w:fldCharType="begin"/>
      </w:r>
      <w:r>
        <w:instrText xml:space="preserve"> REF _Ref489541247 \h </w:instrText>
      </w:r>
      <w:r>
        <w:fldChar w:fldCharType="separate"/>
      </w:r>
      <w:r w:rsidR="00152B74">
        <w:rPr>
          <w:b/>
          <w:bCs/>
          <w:lang w:val="en-US"/>
        </w:rPr>
        <w:t>Error! Not a valid bookmark self-reference.</w:t>
      </w:r>
      <w:r>
        <w:fldChar w:fldCharType="end"/>
      </w:r>
      <w:r w:rsidRPr="00CD6245">
        <w:t xml:space="preserve"> </w:t>
      </w:r>
      <w:r>
        <w:t>sets out DPC’s performance in 2019–20, compared with the two previous years.</w:t>
      </w:r>
    </w:p>
    <w:p w14:paraId="6684A3CF" w14:textId="5E821C88" w:rsidR="008C5A65" w:rsidRDefault="008C5A65" w:rsidP="00FE6219">
      <w:pPr>
        <w:pStyle w:val="Caption"/>
        <w:tabs>
          <w:tab w:val="clear" w:pos="851"/>
        </w:tabs>
        <w:ind w:left="0"/>
      </w:pPr>
      <w:bookmarkStart w:id="255" w:name="_Ref49183362"/>
      <w:bookmarkStart w:id="256" w:name="_Toc49185554"/>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31</w:t>
      </w:r>
      <w:r>
        <w:rPr>
          <w:noProof/>
        </w:rPr>
        <w:fldChar w:fldCharType="end"/>
      </w:r>
      <w:bookmarkEnd w:id="249"/>
      <w:bookmarkEnd w:id="255"/>
      <w:r w:rsidRPr="00CD6245">
        <w:t xml:space="preserve">: </w:t>
      </w:r>
      <w:r>
        <w:t>DPC</w:t>
      </w:r>
      <w:r w:rsidRPr="00CD6245">
        <w:t xml:space="preserve"> performance in </w:t>
      </w:r>
      <w:bookmarkEnd w:id="250"/>
      <w:bookmarkEnd w:id="251"/>
      <w:r>
        <w:t>2019–20</w:t>
      </w:r>
      <w:bookmarkEnd w:id="252"/>
      <w:bookmarkEnd w:id="253"/>
      <w:bookmarkEnd w:id="254"/>
      <w:bookmarkEnd w:id="256"/>
    </w:p>
    <w:tbl>
      <w:tblPr>
        <w:tblStyle w:val="TableGrid1"/>
        <w:tblW w:w="9214" w:type="dxa"/>
        <w:tblInd w:w="-5" w:type="dxa"/>
        <w:tblLook w:val="04A0" w:firstRow="1" w:lastRow="0" w:firstColumn="1" w:lastColumn="0" w:noHBand="0" w:noVBand="1"/>
      </w:tblPr>
      <w:tblGrid>
        <w:gridCol w:w="3119"/>
        <w:gridCol w:w="2693"/>
        <w:gridCol w:w="1134"/>
        <w:gridCol w:w="1134"/>
        <w:gridCol w:w="1134"/>
      </w:tblGrid>
      <w:tr w:rsidR="008C5A65" w:rsidRPr="00DA1E79" w14:paraId="3100EB4C" w14:textId="77777777" w:rsidTr="00190BC9">
        <w:tc>
          <w:tcPr>
            <w:tcW w:w="5812" w:type="dxa"/>
            <w:gridSpan w:val="2"/>
            <w:vMerge w:val="restart"/>
          </w:tcPr>
          <w:p w14:paraId="098D3B0E" w14:textId="77777777" w:rsidR="008C5A65" w:rsidRPr="00DA1E79" w:rsidRDefault="008C5A65" w:rsidP="005C4F4A">
            <w:pPr>
              <w:pStyle w:val="TableHeader"/>
            </w:pPr>
            <w:r w:rsidRPr="00DA1E79">
              <w:t>Performance measure</w:t>
            </w:r>
          </w:p>
        </w:tc>
        <w:tc>
          <w:tcPr>
            <w:tcW w:w="1134" w:type="dxa"/>
          </w:tcPr>
          <w:p w14:paraId="0A1F4F6C" w14:textId="77777777" w:rsidR="008C5A65" w:rsidRPr="00DA1E79" w:rsidRDefault="008C5A65" w:rsidP="005C4F4A">
            <w:pPr>
              <w:pStyle w:val="TableHeader"/>
            </w:pPr>
            <w:r w:rsidRPr="00DA1E79">
              <w:t xml:space="preserve">2017–18 </w:t>
            </w:r>
          </w:p>
        </w:tc>
        <w:tc>
          <w:tcPr>
            <w:tcW w:w="1134" w:type="dxa"/>
          </w:tcPr>
          <w:p w14:paraId="6E3692B6" w14:textId="77777777" w:rsidR="008C5A65" w:rsidRPr="00DA1E79" w:rsidRDefault="008C5A65" w:rsidP="005C4F4A">
            <w:pPr>
              <w:pStyle w:val="TableHeader"/>
            </w:pPr>
            <w:r w:rsidRPr="00DA1E79">
              <w:t>2018–19</w:t>
            </w:r>
          </w:p>
        </w:tc>
        <w:tc>
          <w:tcPr>
            <w:tcW w:w="1134" w:type="dxa"/>
          </w:tcPr>
          <w:p w14:paraId="3EA73DF6" w14:textId="77777777" w:rsidR="008C5A65" w:rsidRPr="00DA1E79" w:rsidRDefault="008C5A65" w:rsidP="005C4F4A">
            <w:pPr>
              <w:pStyle w:val="TableHeader"/>
            </w:pPr>
            <w:r w:rsidRPr="00DA1E79">
              <w:t>2019–20</w:t>
            </w:r>
          </w:p>
        </w:tc>
      </w:tr>
      <w:tr w:rsidR="008C5A65" w:rsidRPr="00DA1E79" w14:paraId="2A2862A5" w14:textId="77777777" w:rsidTr="00190BC9">
        <w:tc>
          <w:tcPr>
            <w:tcW w:w="5812" w:type="dxa"/>
            <w:gridSpan w:val="2"/>
            <w:vMerge/>
          </w:tcPr>
          <w:p w14:paraId="0B4F8FCA" w14:textId="77777777" w:rsidR="008C5A65" w:rsidRPr="00DA1E79" w:rsidRDefault="008C5A65" w:rsidP="005C4F4A">
            <w:pPr>
              <w:pStyle w:val="TableHeader"/>
            </w:pPr>
          </w:p>
        </w:tc>
        <w:tc>
          <w:tcPr>
            <w:tcW w:w="3402" w:type="dxa"/>
            <w:gridSpan w:val="3"/>
          </w:tcPr>
          <w:p w14:paraId="064BEF4F" w14:textId="77777777" w:rsidR="008C5A65" w:rsidRPr="00DA1E79" w:rsidRDefault="008C5A65" w:rsidP="005C4F4A">
            <w:pPr>
              <w:pStyle w:val="TableHeader"/>
            </w:pPr>
            <w:r w:rsidRPr="00DA1E79">
              <w:t>(%)</w:t>
            </w:r>
          </w:p>
        </w:tc>
      </w:tr>
      <w:tr w:rsidR="008C5A65" w:rsidRPr="005C4F4A" w14:paraId="6FE657D5" w14:textId="77777777" w:rsidTr="00190BC9">
        <w:tc>
          <w:tcPr>
            <w:tcW w:w="5812" w:type="dxa"/>
            <w:gridSpan w:val="2"/>
          </w:tcPr>
          <w:p w14:paraId="6A5D2F94" w14:textId="77777777" w:rsidR="008C5A65" w:rsidRPr="005C4F4A" w:rsidRDefault="008C5A65" w:rsidP="000B20B5">
            <w:pPr>
              <w:pStyle w:val="TableText"/>
              <w:rPr>
                <w:rStyle w:val="Strong"/>
              </w:rPr>
            </w:pPr>
            <w:r w:rsidRPr="005C4F4A">
              <w:rPr>
                <w:rStyle w:val="Strong"/>
              </w:rPr>
              <w:t>Value created from department procurement activity</w:t>
            </w:r>
          </w:p>
        </w:tc>
        <w:tc>
          <w:tcPr>
            <w:tcW w:w="1134" w:type="dxa"/>
          </w:tcPr>
          <w:p w14:paraId="13F7203A" w14:textId="77777777" w:rsidR="008C5A65" w:rsidRPr="005C4F4A" w:rsidRDefault="008C5A65" w:rsidP="000B20B5">
            <w:pPr>
              <w:pStyle w:val="TableText"/>
              <w:rPr>
                <w:rStyle w:val="Strong"/>
              </w:rPr>
            </w:pPr>
            <w:r w:rsidRPr="005C4F4A">
              <w:rPr>
                <w:rStyle w:val="Strong"/>
              </w:rPr>
              <w:t>6.6</w:t>
            </w:r>
          </w:p>
        </w:tc>
        <w:tc>
          <w:tcPr>
            <w:tcW w:w="1134" w:type="dxa"/>
          </w:tcPr>
          <w:p w14:paraId="0A9C1449" w14:textId="77777777" w:rsidR="008C5A65" w:rsidRPr="005C4F4A" w:rsidRDefault="008C5A65" w:rsidP="000B20B5">
            <w:pPr>
              <w:pStyle w:val="TableText"/>
              <w:rPr>
                <w:rStyle w:val="Strong"/>
              </w:rPr>
            </w:pPr>
            <w:r w:rsidRPr="005C4F4A">
              <w:rPr>
                <w:rStyle w:val="Strong"/>
              </w:rPr>
              <w:t>0.3</w:t>
            </w:r>
          </w:p>
        </w:tc>
        <w:tc>
          <w:tcPr>
            <w:tcW w:w="1134" w:type="dxa"/>
          </w:tcPr>
          <w:p w14:paraId="20C2E560" w14:textId="77777777" w:rsidR="008C5A65" w:rsidRPr="005C4F4A" w:rsidRDefault="008C5A65" w:rsidP="000B20B5">
            <w:pPr>
              <w:pStyle w:val="TableText"/>
              <w:rPr>
                <w:rStyle w:val="Strong"/>
              </w:rPr>
            </w:pPr>
            <w:r w:rsidRPr="005C4F4A">
              <w:rPr>
                <w:rStyle w:val="Strong"/>
              </w:rPr>
              <w:t>1.9</w:t>
            </w:r>
          </w:p>
        </w:tc>
      </w:tr>
      <w:tr w:rsidR="008C5A65" w:rsidRPr="005F2BDA" w14:paraId="76F904A1" w14:textId="77777777" w:rsidTr="00190BC9">
        <w:tc>
          <w:tcPr>
            <w:tcW w:w="9214" w:type="dxa"/>
            <w:gridSpan w:val="5"/>
          </w:tcPr>
          <w:p w14:paraId="72C47CEA" w14:textId="508896DE" w:rsidR="008C5A65" w:rsidRPr="005F2BDA" w:rsidRDefault="008C5A65" w:rsidP="000B20B5">
            <w:pPr>
              <w:pStyle w:val="TableText"/>
            </w:pPr>
            <w:r>
              <w:t xml:space="preserve">Current systems make tracking savings challenging to report. DPC </w:t>
            </w:r>
            <w:r w:rsidR="0095458C">
              <w:t>anticipates</w:t>
            </w:r>
            <w:r>
              <w:t xml:space="preserve"> </w:t>
            </w:r>
            <w:r w:rsidRPr="00F15CDF">
              <w:t>transition</w:t>
            </w:r>
            <w:r w:rsidR="0095458C">
              <w:t>ing</w:t>
            </w:r>
            <w:r w:rsidRPr="00F15CDF">
              <w:t xml:space="preserve"> to a new procurement application in 2021</w:t>
            </w:r>
            <w:r>
              <w:t>–</w:t>
            </w:r>
            <w:r w:rsidRPr="00F15CDF">
              <w:t xml:space="preserve">22 </w:t>
            </w:r>
            <w:r>
              <w:t xml:space="preserve">that will </w:t>
            </w:r>
            <w:r w:rsidRPr="00F15CDF">
              <w:t>improve savings</w:t>
            </w:r>
            <w:r w:rsidR="0095458C">
              <w:t xml:space="preserve"> reporting</w:t>
            </w:r>
            <w:r w:rsidRPr="00F15CDF">
              <w:t>, cost avoidance and benefits tracking.</w:t>
            </w:r>
            <w:r w:rsidRPr="11914ABC">
              <w:rPr>
                <w:rFonts w:eastAsia="Calibri"/>
                <w:sz w:val="19"/>
                <w:szCs w:val="19"/>
              </w:rPr>
              <w:t xml:space="preserve"> </w:t>
            </w:r>
          </w:p>
        </w:tc>
      </w:tr>
      <w:tr w:rsidR="001D2ACD" w:rsidRPr="005C4F4A" w14:paraId="4B0B1641" w14:textId="77777777" w:rsidTr="00436BFB">
        <w:tc>
          <w:tcPr>
            <w:tcW w:w="5812" w:type="dxa"/>
            <w:gridSpan w:val="2"/>
          </w:tcPr>
          <w:p w14:paraId="4A339CC8" w14:textId="77777777" w:rsidR="001D2ACD" w:rsidRPr="005C4F4A" w:rsidRDefault="001D2ACD" w:rsidP="000B20B5">
            <w:pPr>
              <w:pStyle w:val="TableText"/>
              <w:rPr>
                <w:rStyle w:val="Strong"/>
              </w:rPr>
            </w:pPr>
            <w:r w:rsidRPr="005C4F4A">
              <w:rPr>
                <w:rStyle w:val="Strong"/>
              </w:rPr>
              <w:t>Managed spend</w:t>
            </w:r>
          </w:p>
        </w:tc>
        <w:tc>
          <w:tcPr>
            <w:tcW w:w="1134" w:type="dxa"/>
            <w:shd w:val="clear" w:color="auto" w:fill="FFFFFF" w:themeFill="background1"/>
          </w:tcPr>
          <w:p w14:paraId="39128E15" w14:textId="78B25E42" w:rsidR="001D2ACD" w:rsidRPr="005C4F4A" w:rsidRDefault="001D2ACD" w:rsidP="000B20B5">
            <w:pPr>
              <w:pStyle w:val="TableText"/>
              <w:rPr>
                <w:rStyle w:val="Strong"/>
              </w:rPr>
            </w:pPr>
            <w:r w:rsidRPr="005C4F4A">
              <w:rPr>
                <w:rStyle w:val="Strong"/>
              </w:rPr>
              <w:t>n/a</w:t>
            </w:r>
          </w:p>
        </w:tc>
        <w:tc>
          <w:tcPr>
            <w:tcW w:w="1134" w:type="dxa"/>
            <w:shd w:val="clear" w:color="auto" w:fill="FFFFFF" w:themeFill="background1"/>
          </w:tcPr>
          <w:p w14:paraId="17E184E9" w14:textId="6B69B294" w:rsidR="001D2ACD" w:rsidRPr="005C4F4A" w:rsidRDefault="001D2ACD" w:rsidP="000B20B5">
            <w:pPr>
              <w:pStyle w:val="TableText"/>
              <w:rPr>
                <w:rStyle w:val="Strong"/>
              </w:rPr>
            </w:pPr>
            <w:r w:rsidRPr="005C4F4A">
              <w:rPr>
                <w:rStyle w:val="Strong"/>
              </w:rPr>
              <w:t>n/a</w:t>
            </w:r>
          </w:p>
        </w:tc>
        <w:tc>
          <w:tcPr>
            <w:tcW w:w="1134" w:type="dxa"/>
          </w:tcPr>
          <w:p w14:paraId="41B4AAD9" w14:textId="77777777" w:rsidR="001D2ACD" w:rsidRPr="005C4F4A" w:rsidRDefault="001D2ACD" w:rsidP="000B20B5">
            <w:pPr>
              <w:pStyle w:val="TableText"/>
              <w:rPr>
                <w:rStyle w:val="Strong"/>
              </w:rPr>
            </w:pPr>
            <w:r w:rsidRPr="005C4F4A">
              <w:rPr>
                <w:rStyle w:val="Strong"/>
              </w:rPr>
              <w:t>29.3</w:t>
            </w:r>
          </w:p>
        </w:tc>
      </w:tr>
      <w:tr w:rsidR="008C5A65" w:rsidRPr="00505378" w14:paraId="54C8B11E" w14:textId="77777777" w:rsidTr="00190BC9">
        <w:tc>
          <w:tcPr>
            <w:tcW w:w="9214" w:type="dxa"/>
            <w:gridSpan w:val="5"/>
          </w:tcPr>
          <w:p w14:paraId="0361AA23" w14:textId="231096DF" w:rsidR="008C5A65" w:rsidRPr="00C000FB" w:rsidRDefault="008C5A65" w:rsidP="000B20B5">
            <w:pPr>
              <w:pStyle w:val="TableText"/>
            </w:pPr>
            <w:r>
              <w:t xml:space="preserve">This new measure was challenging due to data reporting gaps in the </w:t>
            </w:r>
            <w:r w:rsidRPr="00F15CDF">
              <w:t>finance system</w:t>
            </w:r>
            <w:r>
              <w:t xml:space="preserve">, however new reporting capability </w:t>
            </w:r>
            <w:r w:rsidR="0095458C">
              <w:t xml:space="preserve">is expected to </w:t>
            </w:r>
            <w:r>
              <w:t>be available in 2020–21.</w:t>
            </w:r>
          </w:p>
        </w:tc>
      </w:tr>
      <w:tr w:rsidR="008C5A65" w:rsidRPr="005C4F4A" w14:paraId="116C0B35" w14:textId="77777777" w:rsidTr="00190BC9">
        <w:tc>
          <w:tcPr>
            <w:tcW w:w="5812" w:type="dxa"/>
            <w:gridSpan w:val="2"/>
          </w:tcPr>
          <w:p w14:paraId="323FB2C7" w14:textId="77777777" w:rsidR="008C5A65" w:rsidRPr="005C4F4A" w:rsidRDefault="008C5A65" w:rsidP="000B20B5">
            <w:pPr>
              <w:pStyle w:val="TableText"/>
              <w:rPr>
                <w:rStyle w:val="Strong"/>
              </w:rPr>
            </w:pPr>
            <w:r w:rsidRPr="005C4F4A">
              <w:rPr>
                <w:rStyle w:val="Strong"/>
              </w:rPr>
              <w:t>Increase in procurement capability</w:t>
            </w:r>
          </w:p>
        </w:tc>
        <w:tc>
          <w:tcPr>
            <w:tcW w:w="1134" w:type="dxa"/>
          </w:tcPr>
          <w:p w14:paraId="50BA3ED4" w14:textId="77777777" w:rsidR="008C5A65" w:rsidRPr="005C4F4A" w:rsidRDefault="008C5A65" w:rsidP="000B20B5">
            <w:pPr>
              <w:pStyle w:val="TableText"/>
              <w:rPr>
                <w:rStyle w:val="Strong"/>
              </w:rPr>
            </w:pPr>
            <w:r w:rsidRPr="005C4F4A">
              <w:rPr>
                <w:rStyle w:val="Strong"/>
              </w:rPr>
              <w:t>17.6</w:t>
            </w:r>
          </w:p>
        </w:tc>
        <w:tc>
          <w:tcPr>
            <w:tcW w:w="1134" w:type="dxa"/>
          </w:tcPr>
          <w:p w14:paraId="1409303F" w14:textId="77777777" w:rsidR="008C5A65" w:rsidRPr="005C4F4A" w:rsidRDefault="008C5A65" w:rsidP="000B20B5">
            <w:pPr>
              <w:pStyle w:val="TableText"/>
              <w:rPr>
                <w:rStyle w:val="Strong"/>
              </w:rPr>
            </w:pPr>
            <w:r w:rsidRPr="005C4F4A">
              <w:rPr>
                <w:rStyle w:val="Strong"/>
              </w:rPr>
              <w:t>10.0</w:t>
            </w:r>
          </w:p>
        </w:tc>
        <w:tc>
          <w:tcPr>
            <w:tcW w:w="1134" w:type="dxa"/>
          </w:tcPr>
          <w:p w14:paraId="3F8CA393" w14:textId="77777777" w:rsidR="008C5A65" w:rsidRPr="005C4F4A" w:rsidRDefault="008C5A65" w:rsidP="000B20B5">
            <w:pPr>
              <w:pStyle w:val="TableText"/>
              <w:rPr>
                <w:rStyle w:val="Strong"/>
              </w:rPr>
            </w:pPr>
            <w:r w:rsidRPr="005C4F4A">
              <w:rPr>
                <w:rStyle w:val="Strong"/>
              </w:rPr>
              <w:t>14.1</w:t>
            </w:r>
          </w:p>
        </w:tc>
      </w:tr>
      <w:tr w:rsidR="008C5A65" w:rsidRPr="00505378" w14:paraId="29FF6294" w14:textId="77777777" w:rsidTr="00190BC9">
        <w:tc>
          <w:tcPr>
            <w:tcW w:w="9214" w:type="dxa"/>
            <w:gridSpan w:val="5"/>
          </w:tcPr>
          <w:p w14:paraId="78F6AAB2" w14:textId="49B5B600" w:rsidR="008C5A65" w:rsidRPr="00C000FB" w:rsidRDefault="008C5A65" w:rsidP="000B20B5">
            <w:pPr>
              <w:pStyle w:val="TableText"/>
            </w:pPr>
            <w:r>
              <w:t>Capability increased from 85 to 97 (out of 150). This increase came from implementing</w:t>
            </w:r>
            <w:r w:rsidR="0095458C">
              <w:t xml:space="preserve"> </w:t>
            </w:r>
            <w:r w:rsidR="00400673">
              <w:t>DPC’s</w:t>
            </w:r>
            <w:r>
              <w:t xml:space="preserve"> VGPB audit recommendations</w:t>
            </w:r>
            <w:r w:rsidR="00400673">
              <w:t xml:space="preserve"> including</w:t>
            </w:r>
            <w:r>
              <w:t xml:space="preserve"> tar</w:t>
            </w:r>
            <w:r w:rsidRPr="00F15CDF">
              <w:t xml:space="preserve">geted training </w:t>
            </w:r>
            <w:r>
              <w:t>on</w:t>
            </w:r>
            <w:r w:rsidRPr="00F15CDF">
              <w:t xml:space="preserve"> probity, centralised recordkeeping and contract management</w:t>
            </w:r>
            <w:r>
              <w:t>, refined procurement processes and better communication of processes to staff, and ad</w:t>
            </w:r>
            <w:r w:rsidR="00FE3B3A">
              <w:t xml:space="preserve"> </w:t>
            </w:r>
            <w:r>
              <w:t>hoc partnering with business unit</w:t>
            </w:r>
            <w:r w:rsidR="00400673">
              <w:t>s</w:t>
            </w:r>
            <w:r>
              <w:t xml:space="preserve"> in response to common procurement information requests. </w:t>
            </w:r>
          </w:p>
        </w:tc>
      </w:tr>
      <w:tr w:rsidR="008C5A65" w:rsidRPr="005C4F4A" w14:paraId="404A6580" w14:textId="77777777" w:rsidTr="00190BC9">
        <w:tc>
          <w:tcPr>
            <w:tcW w:w="3119" w:type="dxa"/>
            <w:vMerge w:val="restart"/>
          </w:tcPr>
          <w:p w14:paraId="4575A19B" w14:textId="77777777" w:rsidR="008C5A65" w:rsidRPr="005C4F4A" w:rsidRDefault="008C5A65" w:rsidP="000B20B5">
            <w:pPr>
              <w:pStyle w:val="TableText"/>
              <w:rPr>
                <w:rStyle w:val="Strong"/>
              </w:rPr>
            </w:pPr>
            <w:r w:rsidRPr="005C4F4A">
              <w:rPr>
                <w:rStyle w:val="Strong"/>
              </w:rPr>
              <w:t>Supplier satisfaction assessment</w:t>
            </w:r>
          </w:p>
        </w:tc>
        <w:tc>
          <w:tcPr>
            <w:tcW w:w="2693" w:type="dxa"/>
          </w:tcPr>
          <w:p w14:paraId="4CC588FB" w14:textId="77777777" w:rsidR="008C5A65" w:rsidRPr="005C4F4A" w:rsidRDefault="008C5A65" w:rsidP="000B20B5">
            <w:pPr>
              <w:pStyle w:val="TableText"/>
              <w:rPr>
                <w:rStyle w:val="Strong"/>
              </w:rPr>
            </w:pPr>
            <w:r w:rsidRPr="005C4F4A">
              <w:rPr>
                <w:rStyle w:val="Strong"/>
              </w:rPr>
              <w:t>Successful satisfied</w:t>
            </w:r>
          </w:p>
        </w:tc>
        <w:tc>
          <w:tcPr>
            <w:tcW w:w="1134" w:type="dxa"/>
          </w:tcPr>
          <w:p w14:paraId="5124DE93" w14:textId="77777777" w:rsidR="008C5A65" w:rsidRPr="005C4F4A" w:rsidRDefault="008C5A65" w:rsidP="000B20B5">
            <w:pPr>
              <w:pStyle w:val="TableText"/>
              <w:rPr>
                <w:rStyle w:val="Strong"/>
              </w:rPr>
            </w:pPr>
            <w:r w:rsidRPr="005C4F4A">
              <w:rPr>
                <w:rStyle w:val="Strong"/>
              </w:rPr>
              <w:t>78</w:t>
            </w:r>
          </w:p>
        </w:tc>
        <w:tc>
          <w:tcPr>
            <w:tcW w:w="1134" w:type="dxa"/>
          </w:tcPr>
          <w:p w14:paraId="0E7B7BA1" w14:textId="77777777" w:rsidR="008C5A65" w:rsidRPr="005C4F4A" w:rsidRDefault="008C5A65" w:rsidP="000B20B5">
            <w:pPr>
              <w:pStyle w:val="TableText"/>
              <w:rPr>
                <w:rStyle w:val="Strong"/>
              </w:rPr>
            </w:pPr>
            <w:r w:rsidRPr="005C4F4A">
              <w:rPr>
                <w:rStyle w:val="Strong"/>
              </w:rPr>
              <w:t>84</w:t>
            </w:r>
          </w:p>
        </w:tc>
        <w:tc>
          <w:tcPr>
            <w:tcW w:w="1134" w:type="dxa"/>
          </w:tcPr>
          <w:p w14:paraId="32429B3E" w14:textId="77777777" w:rsidR="008C5A65" w:rsidRPr="005C4F4A" w:rsidRDefault="008C5A65" w:rsidP="000B20B5">
            <w:pPr>
              <w:pStyle w:val="TableText"/>
              <w:rPr>
                <w:rStyle w:val="Strong"/>
              </w:rPr>
            </w:pPr>
            <w:r w:rsidRPr="005C4F4A">
              <w:rPr>
                <w:rStyle w:val="Strong"/>
              </w:rPr>
              <w:t>100</w:t>
            </w:r>
          </w:p>
        </w:tc>
      </w:tr>
      <w:tr w:rsidR="008C5A65" w:rsidRPr="005C4F4A" w14:paraId="4EC81CCE" w14:textId="77777777" w:rsidTr="00190BC9">
        <w:tc>
          <w:tcPr>
            <w:tcW w:w="3119" w:type="dxa"/>
            <w:vMerge/>
          </w:tcPr>
          <w:p w14:paraId="0124C063" w14:textId="77777777" w:rsidR="008C5A65" w:rsidRPr="005C4F4A" w:rsidRDefault="008C5A65" w:rsidP="000B20B5">
            <w:pPr>
              <w:pStyle w:val="TableText"/>
              <w:rPr>
                <w:rStyle w:val="Strong"/>
              </w:rPr>
            </w:pPr>
          </w:p>
        </w:tc>
        <w:tc>
          <w:tcPr>
            <w:tcW w:w="2693" w:type="dxa"/>
          </w:tcPr>
          <w:p w14:paraId="79F5441E" w14:textId="77777777" w:rsidR="008C5A65" w:rsidRPr="005C4F4A" w:rsidRDefault="008C5A65" w:rsidP="000B20B5">
            <w:pPr>
              <w:pStyle w:val="TableText"/>
              <w:rPr>
                <w:rStyle w:val="Strong"/>
              </w:rPr>
            </w:pPr>
            <w:r w:rsidRPr="005C4F4A">
              <w:rPr>
                <w:rStyle w:val="Strong"/>
              </w:rPr>
              <w:t>Unsuccessful satisfied</w:t>
            </w:r>
          </w:p>
        </w:tc>
        <w:tc>
          <w:tcPr>
            <w:tcW w:w="1134" w:type="dxa"/>
          </w:tcPr>
          <w:p w14:paraId="51432EE8" w14:textId="77777777" w:rsidR="008C5A65" w:rsidRPr="005C4F4A" w:rsidRDefault="008C5A65" w:rsidP="000B20B5">
            <w:pPr>
              <w:pStyle w:val="TableText"/>
              <w:rPr>
                <w:rStyle w:val="Strong"/>
              </w:rPr>
            </w:pPr>
            <w:r w:rsidRPr="005C4F4A">
              <w:rPr>
                <w:rStyle w:val="Strong"/>
              </w:rPr>
              <w:t>25</w:t>
            </w:r>
          </w:p>
        </w:tc>
        <w:tc>
          <w:tcPr>
            <w:tcW w:w="1134" w:type="dxa"/>
          </w:tcPr>
          <w:p w14:paraId="196B50FA" w14:textId="77777777" w:rsidR="008C5A65" w:rsidRPr="005C4F4A" w:rsidRDefault="008C5A65" w:rsidP="000B20B5">
            <w:pPr>
              <w:pStyle w:val="TableText"/>
              <w:rPr>
                <w:rStyle w:val="Strong"/>
              </w:rPr>
            </w:pPr>
            <w:r w:rsidRPr="005C4F4A">
              <w:rPr>
                <w:rStyle w:val="Strong"/>
              </w:rPr>
              <w:t>66</w:t>
            </w:r>
          </w:p>
        </w:tc>
        <w:tc>
          <w:tcPr>
            <w:tcW w:w="1134" w:type="dxa"/>
          </w:tcPr>
          <w:p w14:paraId="450E405E" w14:textId="77777777" w:rsidR="008C5A65" w:rsidRPr="005C4F4A" w:rsidRDefault="008C5A65" w:rsidP="000B20B5">
            <w:pPr>
              <w:pStyle w:val="TableText"/>
              <w:rPr>
                <w:rStyle w:val="Strong"/>
              </w:rPr>
            </w:pPr>
            <w:r w:rsidRPr="005C4F4A">
              <w:rPr>
                <w:rStyle w:val="Strong"/>
              </w:rPr>
              <w:t>75</w:t>
            </w:r>
          </w:p>
        </w:tc>
      </w:tr>
      <w:tr w:rsidR="008C5A65" w:rsidRPr="00505378" w14:paraId="74C91F81" w14:textId="77777777" w:rsidTr="00190BC9">
        <w:tc>
          <w:tcPr>
            <w:tcW w:w="9214" w:type="dxa"/>
            <w:gridSpan w:val="5"/>
          </w:tcPr>
          <w:p w14:paraId="6E05EFB0" w14:textId="0F3A9CFD" w:rsidR="008C5A65" w:rsidRPr="00C000FB" w:rsidRDefault="008C5A65" w:rsidP="000B20B5">
            <w:pPr>
              <w:pStyle w:val="TableText"/>
            </w:pPr>
            <w:r>
              <w:t xml:space="preserve">DPC has implemented a survey platform and process to enable live surveys to be sent out directly </w:t>
            </w:r>
            <w:r w:rsidR="0095458C">
              <w:t xml:space="preserve">after </w:t>
            </w:r>
            <w:r>
              <w:t>the end of the procurement process. Supplier satisfaction has increased after acting on feedback from previous surveys</w:t>
            </w:r>
            <w:r w:rsidR="0095458C">
              <w:t xml:space="preserve"> </w:t>
            </w:r>
            <w:r w:rsidR="00400673">
              <w:t>including</w:t>
            </w:r>
            <w:r>
              <w:t xml:space="preserve"> educating staff on the procurement market approach and more thorough review of invitation to supply documentation by the </w:t>
            </w:r>
            <w:r w:rsidR="0095458C">
              <w:t>C</w:t>
            </w:r>
            <w:r>
              <w:t xml:space="preserve">orporate </w:t>
            </w:r>
            <w:r w:rsidR="0095458C">
              <w:t>P</w:t>
            </w:r>
            <w:r>
              <w:t xml:space="preserve">rocurement </w:t>
            </w:r>
            <w:r w:rsidR="0095458C">
              <w:t>T</w:t>
            </w:r>
            <w:r>
              <w:t xml:space="preserve">eam. </w:t>
            </w:r>
          </w:p>
        </w:tc>
      </w:tr>
      <w:tr w:rsidR="008C5A65" w:rsidRPr="005C4F4A" w14:paraId="14EB6B6C" w14:textId="77777777" w:rsidTr="00190BC9">
        <w:tc>
          <w:tcPr>
            <w:tcW w:w="5812" w:type="dxa"/>
            <w:gridSpan w:val="2"/>
          </w:tcPr>
          <w:p w14:paraId="62CA9FB5" w14:textId="77777777" w:rsidR="008C5A65" w:rsidRPr="005C4F4A" w:rsidRDefault="008C5A65" w:rsidP="000B20B5">
            <w:pPr>
              <w:pStyle w:val="TableText"/>
              <w:rPr>
                <w:rStyle w:val="Strong"/>
              </w:rPr>
            </w:pPr>
            <w:r w:rsidRPr="005C4F4A">
              <w:rPr>
                <w:rStyle w:val="Strong"/>
              </w:rPr>
              <w:t>Planned procurement activity as a % of actual procurement activity</w:t>
            </w:r>
          </w:p>
        </w:tc>
        <w:tc>
          <w:tcPr>
            <w:tcW w:w="1134" w:type="dxa"/>
          </w:tcPr>
          <w:p w14:paraId="125DC8BC" w14:textId="77777777" w:rsidR="008C5A65" w:rsidRPr="005C4F4A" w:rsidRDefault="008C5A65" w:rsidP="000B20B5">
            <w:pPr>
              <w:pStyle w:val="TableText"/>
              <w:rPr>
                <w:rStyle w:val="Strong"/>
              </w:rPr>
            </w:pPr>
            <w:r w:rsidRPr="005C4F4A">
              <w:rPr>
                <w:rStyle w:val="Strong"/>
              </w:rPr>
              <w:t>48.4</w:t>
            </w:r>
          </w:p>
        </w:tc>
        <w:tc>
          <w:tcPr>
            <w:tcW w:w="1134" w:type="dxa"/>
          </w:tcPr>
          <w:p w14:paraId="32EA8FF1" w14:textId="77777777" w:rsidR="008C5A65" w:rsidRPr="005C4F4A" w:rsidRDefault="008C5A65" w:rsidP="000B20B5">
            <w:pPr>
              <w:pStyle w:val="TableText"/>
              <w:rPr>
                <w:rStyle w:val="Strong"/>
              </w:rPr>
            </w:pPr>
            <w:r w:rsidRPr="005C4F4A">
              <w:rPr>
                <w:rStyle w:val="Strong"/>
              </w:rPr>
              <w:t>30.1</w:t>
            </w:r>
          </w:p>
        </w:tc>
        <w:tc>
          <w:tcPr>
            <w:tcW w:w="1134" w:type="dxa"/>
          </w:tcPr>
          <w:p w14:paraId="6BA0DA81" w14:textId="77777777" w:rsidR="008C5A65" w:rsidRPr="005C4F4A" w:rsidRDefault="008C5A65" w:rsidP="000B20B5">
            <w:pPr>
              <w:pStyle w:val="TableText"/>
              <w:rPr>
                <w:rStyle w:val="Strong"/>
              </w:rPr>
            </w:pPr>
            <w:r w:rsidRPr="005C4F4A">
              <w:rPr>
                <w:rStyle w:val="Strong"/>
              </w:rPr>
              <w:t>50.0</w:t>
            </w:r>
          </w:p>
        </w:tc>
      </w:tr>
      <w:tr w:rsidR="008C5A65" w:rsidRPr="006C6059" w14:paraId="7ADC5FE4" w14:textId="77777777" w:rsidTr="00190BC9">
        <w:tc>
          <w:tcPr>
            <w:tcW w:w="9214" w:type="dxa"/>
            <w:gridSpan w:val="5"/>
          </w:tcPr>
          <w:p w14:paraId="2684B8B8" w14:textId="66C45446" w:rsidR="008C5A65" w:rsidRDefault="008C5A65" w:rsidP="000B20B5">
            <w:pPr>
              <w:pStyle w:val="TableText"/>
            </w:pPr>
            <w:r>
              <w:t xml:space="preserve">DPC has increased communication with business units to capture better quality forward planning. It also introduced a </w:t>
            </w:r>
            <w:r w:rsidRPr="00DB32F4">
              <w:t>dedicated</w:t>
            </w:r>
            <w:r w:rsidR="0095458C">
              <w:t xml:space="preserve"> Corporate</w:t>
            </w:r>
            <w:r w:rsidRPr="00DB32F4">
              <w:t xml:space="preserve"> </w:t>
            </w:r>
            <w:r w:rsidR="0095458C">
              <w:t>P</w:t>
            </w:r>
            <w:r w:rsidRPr="00DB32F4">
              <w:t xml:space="preserve">rocurement </w:t>
            </w:r>
            <w:r w:rsidR="0095458C">
              <w:t>T</w:t>
            </w:r>
            <w:r w:rsidRPr="00DB32F4">
              <w:t>eam resource to proactively monitor and maintain activity plans.</w:t>
            </w:r>
          </w:p>
          <w:p w14:paraId="4CAF444F" w14:textId="19375F66" w:rsidR="008C5A65" w:rsidRPr="005F2BDA" w:rsidRDefault="008C5A65" w:rsidP="000B20B5">
            <w:pPr>
              <w:pStyle w:val="TableText"/>
            </w:pPr>
            <w:r>
              <w:t>This performance measure was affected by the need to respond to bushfires and COVID</w:t>
            </w:r>
            <w:r w:rsidR="00BD1CD2">
              <w:t>-19</w:t>
            </w:r>
            <w:r>
              <w:t xml:space="preserve"> as business strategies changed and several planned procurements were cancelled. </w:t>
            </w:r>
          </w:p>
        </w:tc>
      </w:tr>
    </w:tbl>
    <w:p w14:paraId="73579BD2" w14:textId="77777777" w:rsidR="008C5A65" w:rsidRDefault="008C5A65" w:rsidP="008C5A65"/>
    <w:p w14:paraId="0301BA02" w14:textId="77777777" w:rsidR="008C5A65" w:rsidRPr="004E7CDE" w:rsidRDefault="008C5A65" w:rsidP="008C5A65"/>
    <w:p w14:paraId="744995CC" w14:textId="77777777" w:rsidR="008C5A65" w:rsidRDefault="008C5A65" w:rsidP="008C5A65"/>
    <w:p w14:paraId="4604A05B" w14:textId="77777777" w:rsidR="008C5A65" w:rsidRDefault="008C5A65" w:rsidP="008C5A65"/>
    <w:p w14:paraId="7CFBE920" w14:textId="672B67D5" w:rsidR="004E7CDE" w:rsidRDefault="004E7CDE" w:rsidP="004E7CDE"/>
    <w:p w14:paraId="073B5649" w14:textId="77777777" w:rsidR="004E7CDE" w:rsidRPr="004E7CDE" w:rsidRDefault="004E7CDE" w:rsidP="004E7CDE"/>
    <w:p w14:paraId="3F25565B" w14:textId="77777777" w:rsidR="00BA5B0B" w:rsidRDefault="00BA5B0B" w:rsidP="00BA5B0B"/>
    <w:bookmarkEnd w:id="247"/>
    <w:p w14:paraId="166EC816" w14:textId="77777777" w:rsidR="00BA5B0B" w:rsidRDefault="00BA5B0B">
      <w:pPr>
        <w:rPr>
          <w:rFonts w:ascii="Calibri" w:hAnsi="Calibri" w:cs="Calibri"/>
          <w:color w:val="4D4D4D"/>
          <w:kern w:val="28"/>
          <w:sz w:val="30"/>
          <w:szCs w:val="22"/>
          <w:lang w:eastAsia="en-US"/>
        </w:rPr>
      </w:pPr>
      <w:r>
        <w:br w:type="page"/>
      </w:r>
    </w:p>
    <w:p w14:paraId="126205B6" w14:textId="77777777" w:rsidR="00105E1D" w:rsidRPr="0056399F" w:rsidRDefault="00105E1D" w:rsidP="00105E1D">
      <w:pPr>
        <w:keepNext/>
        <w:keepLines/>
        <w:widowControl w:val="0"/>
        <w:spacing w:before="280" w:after="120" w:line="216" w:lineRule="auto"/>
        <w:ind w:left="794"/>
        <w:outlineLvl w:val="1"/>
        <w:rPr>
          <w:rFonts w:ascii="Calibri" w:eastAsia="MS Gothic" w:hAnsi="Calibri" w:cs="Calibri"/>
          <w:color w:val="4D4D4D"/>
          <w:kern w:val="28"/>
          <w:sz w:val="30"/>
        </w:rPr>
      </w:pPr>
      <w:bookmarkStart w:id="257" w:name="_Toc52187747"/>
      <w:bookmarkEnd w:id="248"/>
      <w:r w:rsidRPr="00393793">
        <w:rPr>
          <w:rFonts w:ascii="Calibri" w:eastAsia="MS Gothic" w:hAnsi="Calibri" w:cs="Calibri"/>
          <w:color w:val="4D4D4D"/>
          <w:kern w:val="28"/>
          <w:sz w:val="30"/>
        </w:rPr>
        <w:lastRenderedPageBreak/>
        <w:t>Department of Transport</w:t>
      </w:r>
      <w:bookmarkEnd w:id="257"/>
    </w:p>
    <w:p w14:paraId="5581DED3" w14:textId="6B4CC418" w:rsidR="00105E1D" w:rsidRDefault="00105E1D" w:rsidP="00BB362B">
      <w:pPr>
        <w:pStyle w:val="Normal1"/>
      </w:pPr>
      <w:r>
        <w:t>The Department of Transport (DoT) plans, builds and operates an integrated, sustainable and safe transport system for Australia’s fastest-growing state.</w:t>
      </w:r>
    </w:p>
    <w:p w14:paraId="724E17F8" w14:textId="513A421F" w:rsidR="00105E1D" w:rsidRDefault="00105E1D" w:rsidP="00BB362B">
      <w:pPr>
        <w:pStyle w:val="Normal1"/>
      </w:pPr>
      <w:r>
        <w:t>VicRoads and Public Transport Victoria</w:t>
      </w:r>
      <w:r w:rsidR="00400673">
        <w:t xml:space="preserve"> (PTV)</w:t>
      </w:r>
      <w:r>
        <w:t xml:space="preserve"> transitioned</w:t>
      </w:r>
      <w:r w:rsidR="00F05259">
        <w:t xml:space="preserve"> in</w:t>
      </w:r>
      <w:r>
        <w:t>to DoT from 1</w:t>
      </w:r>
      <w:r w:rsidR="00FE3B3A">
        <w:t> </w:t>
      </w:r>
      <w:r>
        <w:t>July</w:t>
      </w:r>
      <w:r w:rsidR="00FE3B3A">
        <w:t> </w:t>
      </w:r>
      <w:r>
        <w:t>2019.</w:t>
      </w:r>
    </w:p>
    <w:p w14:paraId="38FA84B3" w14:textId="2834B34C" w:rsidR="00105E1D" w:rsidRDefault="00105E1D" w:rsidP="00BB362B">
      <w:pPr>
        <w:pStyle w:val="Normal1"/>
      </w:pPr>
      <w:r w:rsidRPr="0056399F">
        <w:t>One of DoT’s key programs of work is the Major Transport Infrastructure Agency (MTIA)</w:t>
      </w:r>
      <w:r>
        <w:t xml:space="preserve">, </w:t>
      </w:r>
      <w:r w:rsidRPr="0056399F">
        <w:t xml:space="preserve">delivered through the Office of the Director-General. MTIA is responsible for the </w:t>
      </w:r>
      <w:r w:rsidR="003165DA">
        <w:t>G</w:t>
      </w:r>
      <w:r w:rsidRPr="0056399F">
        <w:t xml:space="preserve">overnment’s ‘big build’ transport construction program across five key projects: North East Link Project, Level Crossing Removal Project, Westgate Tunnel Project, Major Road Projects Victoria and Rail Projects Victoria. </w:t>
      </w:r>
      <w:r>
        <w:t>MTIA has a dedicated CPO.</w:t>
      </w:r>
    </w:p>
    <w:p w14:paraId="7DC18763" w14:textId="77777777" w:rsidR="00105E1D" w:rsidRPr="0056399F" w:rsidRDefault="00105E1D" w:rsidP="00105E1D">
      <w:pPr>
        <w:keepNext/>
        <w:keepLines/>
        <w:widowControl w:val="0"/>
        <w:spacing w:before="200" w:after="120" w:line="216" w:lineRule="auto"/>
        <w:ind w:left="794"/>
        <w:outlineLvl w:val="2"/>
        <w:rPr>
          <w:rFonts w:ascii="Calibri" w:hAnsi="Calibri" w:cs="Calibri"/>
          <w:b/>
          <w:color w:val="4D4D4D"/>
          <w:kern w:val="28"/>
          <w:sz w:val="26"/>
          <w:lang w:val="fr-FR"/>
        </w:rPr>
      </w:pPr>
      <w:r w:rsidRPr="0056399F">
        <w:rPr>
          <w:rFonts w:ascii="Calibri" w:hAnsi="Calibri" w:cs="Calibri"/>
          <w:b/>
          <w:color w:val="4D4D4D"/>
          <w:kern w:val="28"/>
          <w:sz w:val="26"/>
          <w:lang w:val="fr-FR"/>
        </w:rPr>
        <w:t xml:space="preserve">Procurement profile </w:t>
      </w:r>
      <w:proofErr w:type="spellStart"/>
      <w:r w:rsidRPr="0056399F">
        <w:rPr>
          <w:rFonts w:ascii="Calibri" w:hAnsi="Calibri" w:cs="Calibri"/>
          <w:b/>
          <w:color w:val="4D4D4D"/>
          <w:kern w:val="28"/>
          <w:sz w:val="26"/>
          <w:lang w:val="fr-FR"/>
        </w:rPr>
        <w:t>in</w:t>
      </w:r>
      <w:proofErr w:type="spellEnd"/>
      <w:r w:rsidRPr="0056399F">
        <w:rPr>
          <w:rFonts w:ascii="Calibri" w:hAnsi="Calibri" w:cs="Calibri"/>
          <w:b/>
          <w:color w:val="4D4D4D"/>
          <w:kern w:val="28"/>
          <w:sz w:val="26"/>
          <w:lang w:val="fr-FR"/>
        </w:rPr>
        <w:t xml:space="preserve"> 2019–20</w:t>
      </w:r>
    </w:p>
    <w:tbl>
      <w:tblPr>
        <w:tblStyle w:val="TableGrid"/>
        <w:tblW w:w="8337" w:type="dxa"/>
        <w:tblInd w:w="846" w:type="dxa"/>
        <w:tblLook w:val="04A0" w:firstRow="1" w:lastRow="0" w:firstColumn="1" w:lastColumn="0" w:noHBand="0" w:noVBand="1"/>
      </w:tblPr>
      <w:tblGrid>
        <w:gridCol w:w="4201"/>
        <w:gridCol w:w="760"/>
        <w:gridCol w:w="3364"/>
        <w:gridCol w:w="12"/>
      </w:tblGrid>
      <w:tr w:rsidR="00105E1D" w:rsidRPr="0056399F" w14:paraId="2E480ABD" w14:textId="77777777" w:rsidTr="005C4F4A">
        <w:trPr>
          <w:gridAfter w:val="1"/>
          <w:wAfter w:w="12" w:type="dxa"/>
        </w:trPr>
        <w:tc>
          <w:tcPr>
            <w:tcW w:w="4961" w:type="dxa"/>
            <w:gridSpan w:val="2"/>
          </w:tcPr>
          <w:p w14:paraId="0473E24C" w14:textId="69C313D8" w:rsidR="00105E1D" w:rsidRPr="00BB362B" w:rsidRDefault="00105E1D" w:rsidP="0096155E">
            <w:pPr>
              <w:spacing w:before="100" w:after="100"/>
              <w:rPr>
                <w:rFonts w:ascii="Calibri" w:hAnsi="Calibri" w:cs="Calibri"/>
              </w:rPr>
            </w:pPr>
            <w:r w:rsidRPr="00BB362B">
              <w:rPr>
                <w:rFonts w:ascii="Calibri" w:hAnsi="Calibri" w:cs="Calibri"/>
              </w:rPr>
              <w:t>218 one-off supply contracts approval valued at $19</w:t>
            </w:r>
            <w:r w:rsidR="00400673">
              <w:rPr>
                <w:rFonts w:ascii="Calibri" w:hAnsi="Calibri" w:cs="Calibri"/>
              </w:rPr>
              <w:t>0.9</w:t>
            </w:r>
            <w:r w:rsidRPr="00BB362B">
              <w:rPr>
                <w:rFonts w:ascii="Calibri" w:hAnsi="Calibri" w:cs="Calibri"/>
              </w:rPr>
              <w:t xml:space="preserve"> million*</w:t>
            </w:r>
          </w:p>
        </w:tc>
        <w:tc>
          <w:tcPr>
            <w:tcW w:w="3364" w:type="dxa"/>
          </w:tcPr>
          <w:p w14:paraId="6CBD1E80" w14:textId="77777777" w:rsidR="00105E1D" w:rsidRPr="00182958" w:rsidRDefault="00105E1D" w:rsidP="0096155E">
            <w:pPr>
              <w:spacing w:before="100" w:after="100"/>
              <w:rPr>
                <w:rFonts w:ascii="Calibri" w:hAnsi="Calibri" w:cs="Calibri"/>
              </w:rPr>
            </w:pPr>
            <w:r w:rsidRPr="00182958">
              <w:rPr>
                <w:rFonts w:ascii="Calibri" w:hAnsi="Calibri" w:cs="Calibri"/>
                <w:b/>
                <w:bCs/>
              </w:rPr>
              <w:t>Centre-led</w:t>
            </w:r>
            <w:r w:rsidRPr="00182958">
              <w:rPr>
                <w:rFonts w:ascii="Calibri" w:hAnsi="Calibri" w:cs="Calibri"/>
                <w:lang w:val="en-US"/>
              </w:rPr>
              <w:t xml:space="preserve"> procurement function</w:t>
            </w:r>
          </w:p>
        </w:tc>
      </w:tr>
      <w:tr w:rsidR="00105E1D" w:rsidRPr="0056399F" w14:paraId="4747A05D" w14:textId="77777777" w:rsidTr="005C4F4A">
        <w:trPr>
          <w:gridAfter w:val="1"/>
          <w:wAfter w:w="12" w:type="dxa"/>
        </w:trPr>
        <w:tc>
          <w:tcPr>
            <w:tcW w:w="4961" w:type="dxa"/>
            <w:gridSpan w:val="2"/>
          </w:tcPr>
          <w:p w14:paraId="1CD0C06A" w14:textId="6D8565AE" w:rsidR="00105E1D" w:rsidRPr="00BB362B" w:rsidRDefault="00105E1D" w:rsidP="0096155E">
            <w:pPr>
              <w:spacing w:before="100" w:after="100"/>
              <w:rPr>
                <w:rFonts w:ascii="Calibri" w:hAnsi="Calibri" w:cs="Calibri"/>
              </w:rPr>
            </w:pPr>
            <w:r w:rsidRPr="00BB362B">
              <w:rPr>
                <w:rFonts w:ascii="Calibri" w:hAnsi="Calibri" w:cs="Calibri"/>
              </w:rPr>
              <w:t xml:space="preserve">2 critical incident </w:t>
            </w:r>
            <w:r w:rsidR="00C757FF">
              <w:rPr>
                <w:rFonts w:ascii="Calibri" w:hAnsi="Calibri" w:cs="Calibri"/>
              </w:rPr>
              <w:t>contract approvals</w:t>
            </w:r>
            <w:r w:rsidR="00C757FF" w:rsidRPr="00BB362B">
              <w:rPr>
                <w:rFonts w:ascii="Calibri" w:hAnsi="Calibri" w:cs="Calibri"/>
              </w:rPr>
              <w:t xml:space="preserve"> </w:t>
            </w:r>
            <w:r w:rsidRPr="00BB362B">
              <w:rPr>
                <w:rFonts w:ascii="Calibri" w:hAnsi="Calibri" w:cs="Calibri"/>
              </w:rPr>
              <w:t>valued at $2</w:t>
            </w:r>
            <w:r w:rsidR="00400673">
              <w:rPr>
                <w:rFonts w:ascii="Calibri" w:hAnsi="Calibri" w:cs="Calibri"/>
              </w:rPr>
              <w:t>.3</w:t>
            </w:r>
            <w:r w:rsidRPr="00BB362B">
              <w:rPr>
                <w:rFonts w:ascii="Calibri" w:hAnsi="Calibri" w:cs="Calibri"/>
              </w:rPr>
              <w:t> million</w:t>
            </w:r>
          </w:p>
        </w:tc>
        <w:tc>
          <w:tcPr>
            <w:tcW w:w="3364" w:type="dxa"/>
            <w:vMerge w:val="restart"/>
          </w:tcPr>
          <w:p w14:paraId="0F726E7D" w14:textId="77777777" w:rsidR="00105E1D" w:rsidRPr="0056399F" w:rsidRDefault="00105E1D" w:rsidP="0096155E">
            <w:pPr>
              <w:spacing w:before="100" w:after="100"/>
              <w:rPr>
                <w:rFonts w:ascii="Calibri" w:hAnsi="Calibri" w:cs="Calibri"/>
                <w:b/>
              </w:rPr>
            </w:pPr>
            <w:r w:rsidRPr="0056399F">
              <w:rPr>
                <w:rFonts w:ascii="Calibri" w:hAnsi="Calibri" w:cs="Calibri"/>
                <w:b/>
              </w:rPr>
              <w:t>Top categories of contract approvals</w:t>
            </w:r>
          </w:p>
          <w:p w14:paraId="34056BEE" w14:textId="77777777" w:rsidR="00105E1D" w:rsidRPr="00DA1E79" w:rsidRDefault="00105E1D" w:rsidP="005C4F4A">
            <w:pPr>
              <w:pStyle w:val="tasblebullet"/>
            </w:pPr>
            <w:r w:rsidRPr="00DA1E79">
              <w:t>Professional services</w:t>
            </w:r>
          </w:p>
          <w:p w14:paraId="4F0A5DFB" w14:textId="77777777" w:rsidR="00105E1D" w:rsidRPr="00DA1E79" w:rsidRDefault="00105E1D" w:rsidP="005C4F4A">
            <w:pPr>
              <w:pStyle w:val="tasblebullet"/>
            </w:pPr>
            <w:r w:rsidRPr="00DA1E79">
              <w:t>Rolling stock</w:t>
            </w:r>
          </w:p>
          <w:p w14:paraId="5BC43BD3" w14:textId="77777777" w:rsidR="00105E1D" w:rsidRPr="00DA1E79" w:rsidRDefault="00105E1D" w:rsidP="005C4F4A">
            <w:pPr>
              <w:pStyle w:val="tasblebullet"/>
            </w:pPr>
            <w:r w:rsidRPr="00DA1E79">
              <w:t>Franchise services</w:t>
            </w:r>
          </w:p>
          <w:p w14:paraId="1237FF19" w14:textId="77777777" w:rsidR="00105E1D" w:rsidRPr="00DA1E79" w:rsidRDefault="00105E1D" w:rsidP="005C4F4A">
            <w:pPr>
              <w:pStyle w:val="tasblebullet"/>
            </w:pPr>
            <w:r w:rsidRPr="00DA1E79">
              <w:t>ICT services</w:t>
            </w:r>
          </w:p>
          <w:p w14:paraId="094215B6" w14:textId="77777777" w:rsidR="00105E1D" w:rsidRPr="005C4F4A" w:rsidRDefault="00105E1D" w:rsidP="005C4F4A">
            <w:pPr>
              <w:pStyle w:val="tasblebullet"/>
            </w:pPr>
            <w:r w:rsidRPr="005C4F4A">
              <w:t>Human resources</w:t>
            </w:r>
          </w:p>
        </w:tc>
      </w:tr>
      <w:tr w:rsidR="00105E1D" w:rsidRPr="0056399F" w14:paraId="1592C658" w14:textId="77777777" w:rsidTr="005C4F4A">
        <w:trPr>
          <w:gridAfter w:val="1"/>
          <w:wAfter w:w="12" w:type="dxa"/>
          <w:trHeight w:val="2003"/>
        </w:trPr>
        <w:tc>
          <w:tcPr>
            <w:tcW w:w="4961" w:type="dxa"/>
            <w:gridSpan w:val="2"/>
            <w:vMerge w:val="restart"/>
            <w:tcBorders>
              <w:bottom w:val="single" w:sz="4" w:space="0" w:color="auto"/>
            </w:tcBorders>
          </w:tcPr>
          <w:p w14:paraId="21DFE0EF" w14:textId="77777777" w:rsidR="00105E1D" w:rsidRPr="0056399F" w:rsidRDefault="00105E1D" w:rsidP="0096155E">
            <w:pPr>
              <w:spacing w:before="100" w:after="100"/>
              <w:rPr>
                <w:rFonts w:ascii="Calibri" w:hAnsi="Calibri" w:cs="Calibri"/>
                <w:b/>
                <w:lang w:val="en-US"/>
              </w:rPr>
            </w:pPr>
            <w:r w:rsidRPr="0056399F">
              <w:rPr>
                <w:rFonts w:ascii="Calibri" w:hAnsi="Calibri" w:cs="Calibri"/>
                <w:b/>
                <w:lang w:val="en-US"/>
              </w:rPr>
              <w:t>Highlights</w:t>
            </w:r>
          </w:p>
          <w:p w14:paraId="24C4FFCD" w14:textId="7E40FC16" w:rsidR="00105E1D" w:rsidRPr="005C4F4A" w:rsidRDefault="00105E1D" w:rsidP="005C4F4A">
            <w:pPr>
              <w:pStyle w:val="tasblebullet"/>
            </w:pPr>
            <w:r w:rsidRPr="005C4F4A">
              <w:t xml:space="preserve">After merging DoT, VicRoads and PTV, </w:t>
            </w:r>
            <w:bookmarkStart w:id="258" w:name="_Hlk47347954"/>
            <w:r w:rsidRPr="005C4F4A">
              <w:t xml:space="preserve">the </w:t>
            </w:r>
            <w:r w:rsidR="008466A8" w:rsidRPr="005C4F4A">
              <w:t>Procurement Branch</w:t>
            </w:r>
            <w:r w:rsidRPr="005C4F4A">
              <w:t xml:space="preserve"> worked with stakeholders to develop an integrated procurement framework, which has since been approved by DoT’s executive board</w:t>
            </w:r>
            <w:bookmarkEnd w:id="258"/>
            <w:r w:rsidRPr="005C4F4A">
              <w:t>.</w:t>
            </w:r>
          </w:p>
          <w:p w14:paraId="3496202F" w14:textId="17426AC4" w:rsidR="00105E1D" w:rsidRPr="005C4F4A" w:rsidRDefault="00105E1D" w:rsidP="005C4F4A">
            <w:pPr>
              <w:pStyle w:val="tasblebullet"/>
            </w:pPr>
            <w:r w:rsidRPr="005C4F4A">
              <w:t>Implemented procurement and contract management training modules.</w:t>
            </w:r>
          </w:p>
          <w:p w14:paraId="7E5D7433" w14:textId="77777777" w:rsidR="00105E1D" w:rsidRPr="005C4F4A" w:rsidRDefault="00105E1D" w:rsidP="005C4F4A">
            <w:pPr>
              <w:pStyle w:val="tasblebullet"/>
            </w:pPr>
            <w:r w:rsidRPr="005C4F4A">
              <w:t xml:space="preserve">Engaged several Aboriginal enterprises offering </w:t>
            </w:r>
            <w:proofErr w:type="spellStart"/>
            <w:r w:rsidRPr="005C4F4A">
              <w:t>labour</w:t>
            </w:r>
            <w:proofErr w:type="spellEnd"/>
            <w:r w:rsidRPr="005C4F4A">
              <w:t>-hire services for construction, achieving both social procurement and workforce outcomes.</w:t>
            </w:r>
          </w:p>
          <w:p w14:paraId="623FD384" w14:textId="6A06A1B7" w:rsidR="00105E1D" w:rsidRPr="005C4F4A" w:rsidRDefault="00105E1D" w:rsidP="005C4F4A">
            <w:pPr>
              <w:pStyle w:val="tasblebullet"/>
            </w:pPr>
            <w:r w:rsidRPr="005C4F4A">
              <w:t>Rolled out a central reporting tool to improve social procurement and Local Jobs First reporting.</w:t>
            </w:r>
          </w:p>
          <w:p w14:paraId="45A26D0F" w14:textId="0AA05E63" w:rsidR="00105E1D" w:rsidRPr="005C4F4A" w:rsidRDefault="00400673" w:rsidP="005C4F4A">
            <w:pPr>
              <w:pStyle w:val="tasblebullet"/>
            </w:pPr>
            <w:r w:rsidRPr="005C4F4A">
              <w:t>Began</w:t>
            </w:r>
            <w:r w:rsidR="00105E1D" w:rsidRPr="005C4F4A">
              <w:t xml:space="preserve"> introducing a single source-to-contract tool to manage the end-to-end procurement process across DoT, VicRoads and PTV. </w:t>
            </w:r>
          </w:p>
        </w:tc>
        <w:tc>
          <w:tcPr>
            <w:tcW w:w="3364" w:type="dxa"/>
            <w:vMerge/>
            <w:tcBorders>
              <w:bottom w:val="single" w:sz="4" w:space="0" w:color="auto"/>
            </w:tcBorders>
          </w:tcPr>
          <w:p w14:paraId="033EA6D4" w14:textId="77777777" w:rsidR="00105E1D" w:rsidRPr="0056399F" w:rsidRDefault="00105E1D" w:rsidP="006F3D3F">
            <w:pPr>
              <w:numPr>
                <w:ilvl w:val="0"/>
                <w:numId w:val="12"/>
              </w:numPr>
              <w:spacing w:before="100" w:after="100"/>
              <w:ind w:left="321"/>
              <w:rPr>
                <w:rFonts w:ascii="Calibri" w:hAnsi="Calibri" w:cs="Calibri"/>
              </w:rPr>
            </w:pPr>
          </w:p>
        </w:tc>
      </w:tr>
      <w:tr w:rsidR="00105E1D" w:rsidRPr="0056399F" w14:paraId="5AF45B42" w14:textId="77777777" w:rsidTr="005C4F4A">
        <w:trPr>
          <w:gridAfter w:val="1"/>
          <w:wAfter w:w="12" w:type="dxa"/>
          <w:trHeight w:val="747"/>
        </w:trPr>
        <w:tc>
          <w:tcPr>
            <w:tcW w:w="4961" w:type="dxa"/>
            <w:gridSpan w:val="2"/>
            <w:vMerge/>
            <w:tcBorders>
              <w:bottom w:val="single" w:sz="4" w:space="0" w:color="auto"/>
            </w:tcBorders>
          </w:tcPr>
          <w:p w14:paraId="3ACFE1B5" w14:textId="77777777" w:rsidR="00105E1D" w:rsidRPr="0056399F" w:rsidRDefault="00105E1D" w:rsidP="0096155E">
            <w:pPr>
              <w:spacing w:before="100" w:after="100"/>
              <w:rPr>
                <w:rFonts w:ascii="Calibri" w:hAnsi="Calibri" w:cs="Calibri"/>
              </w:rPr>
            </w:pPr>
          </w:p>
        </w:tc>
        <w:tc>
          <w:tcPr>
            <w:tcW w:w="3364" w:type="dxa"/>
            <w:tcBorders>
              <w:bottom w:val="single" w:sz="4" w:space="0" w:color="auto"/>
            </w:tcBorders>
          </w:tcPr>
          <w:p w14:paraId="5412AF06" w14:textId="77777777" w:rsidR="00105E1D" w:rsidRPr="00182958" w:rsidRDefault="00105E1D" w:rsidP="0096155E">
            <w:pPr>
              <w:spacing w:before="100" w:after="100"/>
              <w:rPr>
                <w:rFonts w:ascii="Calibri" w:hAnsi="Calibri" w:cs="Calibri"/>
              </w:rPr>
            </w:pPr>
            <w:r w:rsidRPr="00182958">
              <w:rPr>
                <w:rFonts w:ascii="Calibri" w:hAnsi="Calibri" w:cs="Calibri"/>
              </w:rPr>
              <w:t xml:space="preserve">Mainly </w:t>
            </w:r>
            <w:r w:rsidRPr="00182958">
              <w:rPr>
                <w:rFonts w:ascii="Calibri" w:hAnsi="Calibri" w:cs="Calibri"/>
                <w:b/>
                <w:bCs/>
              </w:rPr>
              <w:t>transactional</w:t>
            </w:r>
            <w:r w:rsidRPr="00182958">
              <w:rPr>
                <w:rFonts w:ascii="Calibri" w:hAnsi="Calibri" w:cs="Calibri"/>
              </w:rPr>
              <w:t xml:space="preserve"> complexity profile</w:t>
            </w:r>
          </w:p>
          <w:p w14:paraId="6BD163F3" w14:textId="77777777" w:rsidR="00105E1D" w:rsidRPr="0056399F" w:rsidRDefault="00105E1D" w:rsidP="0096155E">
            <w:pPr>
              <w:spacing w:before="100" w:after="100"/>
              <w:rPr>
                <w:rFonts w:ascii="Calibri" w:hAnsi="Calibri" w:cs="Calibri"/>
              </w:rPr>
            </w:pPr>
            <w:r>
              <w:rPr>
                <w:noProof/>
              </w:rPr>
              <w:drawing>
                <wp:inline distT="0" distB="0" distL="0" distR="0" wp14:anchorId="1A16DD24" wp14:editId="473F9F9C">
                  <wp:extent cx="1790700" cy="1819275"/>
                  <wp:effectExtent l="0" t="0" r="0" b="9525"/>
                  <wp:docPr id="8" name="Chart 8">
                    <a:extLst xmlns:a="http://schemas.openxmlformats.org/drawingml/2006/main">
                      <a:ext uri="{FF2B5EF4-FFF2-40B4-BE49-F238E27FC236}">
                        <a16:creationId xmlns:a16="http://schemas.microsoft.com/office/drawing/2014/main" id="{AB191142-315B-4F10-9E74-E46378D59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105E1D" w:rsidRPr="005C4F4A" w14:paraId="36C22A96" w14:textId="77777777" w:rsidTr="005C4F4A">
        <w:tc>
          <w:tcPr>
            <w:tcW w:w="4201" w:type="dxa"/>
          </w:tcPr>
          <w:p w14:paraId="6B5DE816" w14:textId="77777777" w:rsidR="00105E1D" w:rsidRPr="005C4F4A" w:rsidRDefault="00105E1D" w:rsidP="0096155E">
            <w:pPr>
              <w:spacing w:before="100" w:after="100"/>
              <w:rPr>
                <w:rFonts w:ascii="Calibri" w:hAnsi="Calibri" w:cs="Calibri"/>
                <w:b/>
                <w:bCs/>
                <w:sz w:val="22"/>
                <w:szCs w:val="22"/>
                <w:lang w:val="en-US"/>
              </w:rPr>
            </w:pPr>
            <w:r w:rsidRPr="005C4F4A">
              <w:rPr>
                <w:rFonts w:ascii="Calibri" w:hAnsi="Calibri" w:cs="Calibri"/>
                <w:b/>
                <w:bCs/>
                <w:sz w:val="22"/>
                <w:szCs w:val="22"/>
                <w:lang w:val="en-US"/>
              </w:rPr>
              <w:t>DoT</w:t>
            </w:r>
          </w:p>
          <w:p w14:paraId="0C9D9087" w14:textId="77777777" w:rsidR="00105E1D" w:rsidRPr="005C4F4A" w:rsidRDefault="00105E1D" w:rsidP="0096155E">
            <w:pPr>
              <w:spacing w:before="100" w:after="100"/>
              <w:rPr>
                <w:rFonts w:ascii="Calibri" w:hAnsi="Calibri" w:cs="Calibri"/>
                <w:sz w:val="22"/>
                <w:szCs w:val="22"/>
                <w:lang w:val="en-US"/>
              </w:rPr>
            </w:pPr>
            <w:r w:rsidRPr="005C4F4A">
              <w:rPr>
                <w:rFonts w:ascii="Calibri" w:hAnsi="Calibri" w:cs="Calibri"/>
                <w:b/>
                <w:bCs/>
                <w:sz w:val="22"/>
                <w:szCs w:val="22"/>
                <w:lang w:val="en-US"/>
              </w:rPr>
              <w:t xml:space="preserve">AO: </w:t>
            </w:r>
            <w:r w:rsidRPr="005C4F4A">
              <w:rPr>
                <w:rFonts w:ascii="Calibri" w:hAnsi="Calibri" w:cs="Calibri"/>
                <w:sz w:val="22"/>
                <w:szCs w:val="22"/>
                <w:lang w:val="en-US"/>
              </w:rPr>
              <w:t>Paul Younis, Secretary</w:t>
            </w:r>
          </w:p>
          <w:p w14:paraId="13BE3A53" w14:textId="77777777" w:rsidR="00105E1D" w:rsidRPr="005C4F4A" w:rsidRDefault="00105E1D" w:rsidP="0096155E">
            <w:pPr>
              <w:spacing w:before="100" w:after="100"/>
              <w:rPr>
                <w:rFonts w:ascii="Calibri" w:hAnsi="Calibri" w:cs="Calibri"/>
                <w:b/>
                <w:bCs/>
                <w:sz w:val="22"/>
                <w:szCs w:val="22"/>
                <w:lang w:val="en-US"/>
              </w:rPr>
            </w:pPr>
            <w:r w:rsidRPr="005C4F4A">
              <w:rPr>
                <w:rFonts w:ascii="Calibri" w:hAnsi="Calibri" w:cs="Calibri"/>
                <w:b/>
                <w:bCs/>
                <w:sz w:val="22"/>
                <w:szCs w:val="22"/>
                <w:lang w:val="en-US"/>
              </w:rPr>
              <w:t>CPO:</w:t>
            </w:r>
            <w:r w:rsidRPr="005C4F4A">
              <w:rPr>
                <w:rFonts w:ascii="Calibri" w:hAnsi="Calibri" w:cs="Calibri"/>
                <w:sz w:val="22"/>
                <w:szCs w:val="22"/>
                <w:lang w:val="en-US"/>
              </w:rPr>
              <w:t xml:space="preserve"> Lisa Williams, CPO</w:t>
            </w:r>
          </w:p>
          <w:p w14:paraId="03D04D3C" w14:textId="77777777" w:rsidR="00105E1D" w:rsidRPr="005C4F4A" w:rsidRDefault="00105E1D" w:rsidP="0096155E">
            <w:pPr>
              <w:spacing w:before="40" w:after="40"/>
              <w:rPr>
                <w:rFonts w:ascii="Calibri" w:hAnsi="Calibri" w:cs="Calibri"/>
                <w:sz w:val="22"/>
                <w:szCs w:val="22"/>
                <w:lang w:val="en-US"/>
              </w:rPr>
            </w:pPr>
            <w:r w:rsidRPr="005C4F4A">
              <w:rPr>
                <w:rFonts w:ascii="Calibri" w:hAnsi="Calibri" w:cs="Calibri"/>
                <w:b/>
                <w:bCs/>
                <w:sz w:val="22"/>
                <w:szCs w:val="22"/>
                <w:lang w:val="en-US"/>
              </w:rPr>
              <w:t>IPU Chair:</w:t>
            </w:r>
            <w:r w:rsidRPr="005C4F4A">
              <w:rPr>
                <w:rFonts w:ascii="Calibri" w:hAnsi="Calibri" w:cs="Calibri"/>
                <w:sz w:val="22"/>
                <w:szCs w:val="22"/>
                <w:lang w:val="en-US"/>
              </w:rPr>
              <w:t xml:space="preserve"> Janine Haddow, Procurement Advisory Committee Chair</w:t>
            </w:r>
            <w:r w:rsidRPr="005C4F4A">
              <w:rPr>
                <w:sz w:val="22"/>
                <w:szCs w:val="22"/>
              </w:rPr>
              <w:t xml:space="preserve"> </w:t>
            </w:r>
          </w:p>
        </w:tc>
        <w:tc>
          <w:tcPr>
            <w:tcW w:w="4136" w:type="dxa"/>
            <w:gridSpan w:val="3"/>
          </w:tcPr>
          <w:p w14:paraId="692FAA6C" w14:textId="77777777" w:rsidR="00105E1D" w:rsidRPr="005C4F4A" w:rsidRDefault="00105E1D" w:rsidP="0096155E">
            <w:pPr>
              <w:spacing w:before="40" w:after="40"/>
              <w:rPr>
                <w:rFonts w:ascii="Calibri" w:hAnsi="Calibri" w:cs="Calibri"/>
                <w:b/>
                <w:bCs/>
                <w:sz w:val="22"/>
                <w:szCs w:val="22"/>
                <w:lang w:val="en-US"/>
              </w:rPr>
            </w:pPr>
            <w:r w:rsidRPr="005C4F4A">
              <w:rPr>
                <w:rFonts w:ascii="Calibri" w:hAnsi="Calibri" w:cs="Calibri"/>
                <w:b/>
                <w:bCs/>
                <w:sz w:val="22"/>
                <w:szCs w:val="22"/>
                <w:lang w:val="en-US"/>
              </w:rPr>
              <w:t>MTIA</w:t>
            </w:r>
          </w:p>
          <w:p w14:paraId="64A9D0D7" w14:textId="77777777" w:rsidR="00105E1D" w:rsidRPr="005C4F4A" w:rsidRDefault="00105E1D" w:rsidP="0096155E">
            <w:pPr>
              <w:spacing w:before="100" w:after="100"/>
              <w:rPr>
                <w:rFonts w:ascii="Calibri" w:hAnsi="Calibri" w:cs="Calibri"/>
                <w:b/>
                <w:bCs/>
                <w:sz w:val="22"/>
                <w:szCs w:val="22"/>
                <w:lang w:val="en-US"/>
              </w:rPr>
            </w:pPr>
            <w:r w:rsidRPr="005C4F4A">
              <w:rPr>
                <w:rFonts w:ascii="Calibri" w:hAnsi="Calibri" w:cs="Calibri"/>
                <w:b/>
                <w:bCs/>
                <w:sz w:val="22"/>
                <w:szCs w:val="22"/>
                <w:lang w:val="en-US"/>
              </w:rPr>
              <w:t xml:space="preserve">AO: </w:t>
            </w:r>
            <w:r w:rsidRPr="005C4F4A">
              <w:rPr>
                <w:rFonts w:ascii="Calibri" w:hAnsi="Calibri" w:cs="Calibri"/>
                <w:sz w:val="22"/>
                <w:szCs w:val="22"/>
                <w:lang w:val="en-US"/>
              </w:rPr>
              <w:t xml:space="preserve">Corey </w:t>
            </w:r>
            <w:proofErr w:type="spellStart"/>
            <w:r w:rsidRPr="005C4F4A">
              <w:rPr>
                <w:rFonts w:ascii="Calibri" w:hAnsi="Calibri" w:cs="Calibri"/>
                <w:sz w:val="22"/>
                <w:szCs w:val="22"/>
                <w:lang w:val="en-US"/>
              </w:rPr>
              <w:t>Hannett</w:t>
            </w:r>
            <w:proofErr w:type="spellEnd"/>
            <w:r w:rsidRPr="005C4F4A">
              <w:rPr>
                <w:rFonts w:ascii="Calibri" w:hAnsi="Calibri" w:cs="Calibri"/>
                <w:sz w:val="22"/>
                <w:szCs w:val="22"/>
                <w:lang w:val="en-US"/>
              </w:rPr>
              <w:t>,</w:t>
            </w:r>
            <w:r w:rsidRPr="005C4F4A">
              <w:rPr>
                <w:rFonts w:ascii="Calibri" w:hAnsi="Calibri" w:cs="Calibri"/>
                <w:b/>
                <w:bCs/>
                <w:sz w:val="22"/>
                <w:szCs w:val="22"/>
                <w:lang w:val="en-US"/>
              </w:rPr>
              <w:t xml:space="preserve"> </w:t>
            </w:r>
            <w:r w:rsidRPr="005C4F4A">
              <w:rPr>
                <w:rFonts w:ascii="Calibri" w:hAnsi="Calibri" w:cs="Calibri"/>
                <w:sz w:val="22"/>
                <w:szCs w:val="22"/>
                <w:lang w:val="en-US"/>
              </w:rPr>
              <w:t>Director-General</w:t>
            </w:r>
          </w:p>
          <w:p w14:paraId="61BDBF9D" w14:textId="77777777" w:rsidR="00105E1D" w:rsidRPr="005C4F4A" w:rsidRDefault="00105E1D" w:rsidP="0096155E">
            <w:pPr>
              <w:spacing w:before="100" w:after="100"/>
              <w:rPr>
                <w:rFonts w:ascii="Calibri" w:hAnsi="Calibri" w:cs="Calibri"/>
                <w:b/>
                <w:bCs/>
                <w:sz w:val="22"/>
                <w:szCs w:val="22"/>
                <w:lang w:val="en-US"/>
              </w:rPr>
            </w:pPr>
            <w:r w:rsidRPr="005C4F4A">
              <w:rPr>
                <w:rFonts w:ascii="Calibri" w:hAnsi="Calibri" w:cs="Calibri"/>
                <w:b/>
                <w:bCs/>
                <w:sz w:val="22"/>
                <w:szCs w:val="22"/>
                <w:lang w:val="en-US"/>
              </w:rPr>
              <w:t xml:space="preserve">CPO: </w:t>
            </w:r>
            <w:r w:rsidRPr="005C4F4A">
              <w:rPr>
                <w:rFonts w:ascii="Calibri" w:hAnsi="Calibri" w:cs="Calibri"/>
                <w:sz w:val="22"/>
                <w:szCs w:val="22"/>
                <w:lang w:val="en-US"/>
              </w:rPr>
              <w:t>Juliana Tiong, CPO</w:t>
            </w:r>
          </w:p>
          <w:p w14:paraId="476CDF5F" w14:textId="77777777" w:rsidR="00105E1D" w:rsidRPr="005C4F4A" w:rsidRDefault="00105E1D" w:rsidP="0096155E">
            <w:pPr>
              <w:spacing w:before="100" w:after="100"/>
              <w:rPr>
                <w:rFonts w:ascii="Calibri" w:hAnsi="Calibri" w:cs="Calibri"/>
                <w:b/>
                <w:sz w:val="22"/>
                <w:szCs w:val="22"/>
              </w:rPr>
            </w:pPr>
            <w:r w:rsidRPr="005C4F4A">
              <w:rPr>
                <w:rFonts w:ascii="Calibri" w:hAnsi="Calibri" w:cs="Calibri"/>
                <w:b/>
                <w:bCs/>
                <w:sz w:val="22"/>
                <w:szCs w:val="22"/>
                <w:lang w:val="en-US"/>
              </w:rPr>
              <w:t xml:space="preserve">IPU Chair: </w:t>
            </w:r>
            <w:r w:rsidRPr="005C4F4A">
              <w:rPr>
                <w:rFonts w:ascii="Calibri" w:hAnsi="Calibri" w:cs="Calibri"/>
                <w:sz w:val="22"/>
                <w:szCs w:val="22"/>
                <w:lang w:val="en-US"/>
              </w:rPr>
              <w:t xml:space="preserve">Arthur </w:t>
            </w:r>
            <w:proofErr w:type="spellStart"/>
            <w:r w:rsidRPr="005C4F4A">
              <w:rPr>
                <w:rFonts w:ascii="Calibri" w:hAnsi="Calibri" w:cs="Calibri"/>
                <w:sz w:val="22"/>
                <w:szCs w:val="22"/>
                <w:lang w:val="en-US"/>
              </w:rPr>
              <w:t>Apted</w:t>
            </w:r>
            <w:proofErr w:type="spellEnd"/>
            <w:r w:rsidRPr="005C4F4A">
              <w:rPr>
                <w:rFonts w:ascii="Calibri" w:hAnsi="Calibri" w:cs="Calibri"/>
                <w:sz w:val="22"/>
                <w:szCs w:val="22"/>
                <w:lang w:val="en-US"/>
              </w:rPr>
              <w:t>, Procurement Oversight Committee Chair</w:t>
            </w:r>
          </w:p>
        </w:tc>
      </w:tr>
    </w:tbl>
    <w:p w14:paraId="51E8859F" w14:textId="77777777" w:rsidR="00105E1D" w:rsidRDefault="00105E1D" w:rsidP="00105E1D">
      <w:pPr>
        <w:spacing w:before="100" w:after="100"/>
        <w:ind w:left="794"/>
        <w:rPr>
          <w:rFonts w:ascii="Calibri" w:hAnsi="Calibri" w:cs="Calibri"/>
          <w:b/>
          <w:color w:val="4D4D4D"/>
          <w:kern w:val="28"/>
          <w:sz w:val="26"/>
        </w:rPr>
      </w:pPr>
      <w:r w:rsidRPr="0056399F">
        <w:rPr>
          <w:rFonts w:ascii="Calibri" w:hAnsi="Calibri" w:cs="Calibri"/>
        </w:rPr>
        <w:t>* Contracts valued at $100 000 or more.</w:t>
      </w:r>
      <w:r>
        <w:rPr>
          <w:rFonts w:ascii="Calibri" w:hAnsi="Calibri" w:cs="Calibri"/>
          <w:b/>
          <w:color w:val="4D4D4D"/>
          <w:kern w:val="28"/>
          <w:sz w:val="26"/>
        </w:rPr>
        <w:br w:type="page"/>
      </w:r>
    </w:p>
    <w:p w14:paraId="605B0964" w14:textId="77777777" w:rsidR="00105E1D" w:rsidRPr="0056399F" w:rsidRDefault="00105E1D" w:rsidP="00105E1D">
      <w:pPr>
        <w:keepNext/>
        <w:keepLines/>
        <w:widowControl w:val="0"/>
        <w:spacing w:before="200" w:after="120" w:line="216" w:lineRule="auto"/>
        <w:ind w:left="794"/>
        <w:outlineLvl w:val="2"/>
        <w:rPr>
          <w:rFonts w:ascii="Calibri" w:hAnsi="Calibri" w:cs="Calibri"/>
          <w:b/>
          <w:color w:val="4D4D4D"/>
          <w:kern w:val="28"/>
          <w:sz w:val="26"/>
        </w:rPr>
      </w:pPr>
      <w:r w:rsidRPr="0056399F">
        <w:rPr>
          <w:rFonts w:ascii="Calibri" w:hAnsi="Calibri" w:cs="Calibri"/>
          <w:b/>
          <w:color w:val="4D4D4D"/>
          <w:kern w:val="28"/>
          <w:sz w:val="26"/>
        </w:rPr>
        <w:lastRenderedPageBreak/>
        <w:t>Performance</w:t>
      </w:r>
    </w:p>
    <w:p w14:paraId="1F8418FF" w14:textId="20862D1E" w:rsidR="00105E1D" w:rsidRPr="0002111B" w:rsidRDefault="00105E1D" w:rsidP="00393793">
      <w:pPr>
        <w:pStyle w:val="Normal1"/>
      </w:pPr>
      <w:r w:rsidRPr="0002111B">
        <w:t>Overall</w:t>
      </w:r>
      <w:r>
        <w:t xml:space="preserve">, </w:t>
      </w:r>
      <w:r w:rsidRPr="0002111B">
        <w:t xml:space="preserve">DoT performed relatively well given the </w:t>
      </w:r>
      <w:r>
        <w:t>big m</w:t>
      </w:r>
      <w:r w:rsidRPr="0002111B">
        <w:t xml:space="preserve">achinery of </w:t>
      </w:r>
      <w:r>
        <w:t>g</w:t>
      </w:r>
      <w:r w:rsidRPr="0002111B">
        <w:t>overnment change</w:t>
      </w:r>
      <w:r>
        <w:t>s in 2019.</w:t>
      </w:r>
      <w:r w:rsidRPr="0002111B">
        <w:t xml:space="preserve"> </w:t>
      </w:r>
      <w:r>
        <w:t xml:space="preserve">The department’s </w:t>
      </w:r>
      <w:r w:rsidRPr="0002111B">
        <w:t xml:space="preserve">new integrated </w:t>
      </w:r>
      <w:r>
        <w:t>p</w:t>
      </w:r>
      <w:r w:rsidRPr="0002111B">
        <w:t>rocurement framework and</w:t>
      </w:r>
      <w:r>
        <w:t xml:space="preserve"> upcoming</w:t>
      </w:r>
      <w:r w:rsidRPr="0002111B">
        <w:t xml:space="preserve"> </w:t>
      </w:r>
      <w:r>
        <w:t>implementation of a</w:t>
      </w:r>
      <w:r w:rsidRPr="0002111B">
        <w:t xml:space="preserve"> single </w:t>
      </w:r>
      <w:r>
        <w:t>s</w:t>
      </w:r>
      <w:r w:rsidRPr="0002111B">
        <w:t>ource</w:t>
      </w:r>
      <w:r>
        <w:t>-</w:t>
      </w:r>
      <w:r w:rsidRPr="0002111B">
        <w:t xml:space="preserve">to </w:t>
      </w:r>
      <w:r>
        <w:t>c</w:t>
      </w:r>
      <w:r w:rsidRPr="0002111B">
        <w:t xml:space="preserve">ontract tool </w:t>
      </w:r>
      <w:r>
        <w:t xml:space="preserve">(Zycus) </w:t>
      </w:r>
      <w:r w:rsidRPr="0002111B">
        <w:t xml:space="preserve">will enable </w:t>
      </w:r>
      <w:r>
        <w:t xml:space="preserve">the </w:t>
      </w:r>
      <w:r w:rsidR="00681807">
        <w:t>P</w:t>
      </w:r>
      <w:r w:rsidRPr="0002111B">
        <w:t xml:space="preserve">rocurement </w:t>
      </w:r>
      <w:r w:rsidR="00681807">
        <w:t>B</w:t>
      </w:r>
      <w:r w:rsidRPr="0002111B">
        <w:t>ranch to build capability, apply controls and use automation to reduce the risk of errors.</w:t>
      </w:r>
    </w:p>
    <w:p w14:paraId="29BFB60C" w14:textId="2300C0D2" w:rsidR="00105E1D" w:rsidRPr="0002111B" w:rsidRDefault="00105E1D" w:rsidP="00393793">
      <w:pPr>
        <w:pStyle w:val="Normal1"/>
      </w:pPr>
      <w:r w:rsidRPr="00681807">
        <w:fldChar w:fldCharType="begin"/>
      </w:r>
      <w:r w:rsidRPr="00681807">
        <w:instrText xml:space="preserve"> REF _Ref15553484 \h </w:instrText>
      </w:r>
      <w:r w:rsidR="00393793" w:rsidRPr="00681807">
        <w:instrText xml:space="preserve"> \* MERGEFORMAT </w:instrText>
      </w:r>
      <w:r w:rsidRPr="00681807">
        <w:fldChar w:fldCharType="separate"/>
      </w:r>
      <w:r w:rsidR="00152B74" w:rsidRPr="0056399F">
        <w:t xml:space="preserve">Table </w:t>
      </w:r>
      <w:r w:rsidR="00152B74">
        <w:rPr>
          <w:noProof/>
        </w:rPr>
        <w:t>32</w:t>
      </w:r>
      <w:r w:rsidRPr="00681807">
        <w:fldChar w:fldCharType="end"/>
      </w:r>
      <w:r w:rsidRPr="00681807">
        <w:t xml:space="preserve"> </w:t>
      </w:r>
      <w:r w:rsidRPr="0056399F">
        <w:t>sets out DoT’s performance in 2019–20</w:t>
      </w:r>
      <w:r>
        <w:t>. Given the changes to DoT’s procurement profile in 2019, it is not possible to make a meaningful comparison with previous years.</w:t>
      </w:r>
    </w:p>
    <w:p w14:paraId="3AB7A1CF" w14:textId="14C77F18" w:rsidR="00105E1D" w:rsidRPr="0056399F" w:rsidRDefault="00105E1D" w:rsidP="006D2032">
      <w:pPr>
        <w:pStyle w:val="Caption"/>
      </w:pPr>
      <w:bookmarkStart w:id="259" w:name="_Ref15553484"/>
      <w:bookmarkStart w:id="260" w:name="_Toc12717996"/>
      <w:bookmarkStart w:id="261" w:name="_Toc17130218"/>
      <w:bookmarkStart w:id="262" w:name="_Toc48837165"/>
      <w:bookmarkStart w:id="263" w:name="_Toc49185555"/>
      <w:r w:rsidRPr="0056399F">
        <w:t xml:space="preserve">Table </w:t>
      </w:r>
      <w:r w:rsidRPr="0056399F">
        <w:rPr>
          <w:noProof/>
        </w:rPr>
        <w:fldChar w:fldCharType="begin"/>
      </w:r>
      <w:r w:rsidRPr="0056399F">
        <w:rPr>
          <w:noProof/>
        </w:rPr>
        <w:instrText xml:space="preserve"> SEQ Table \* ARABIC </w:instrText>
      </w:r>
      <w:r w:rsidRPr="0056399F">
        <w:rPr>
          <w:noProof/>
        </w:rPr>
        <w:fldChar w:fldCharType="separate"/>
      </w:r>
      <w:r w:rsidR="00152B74">
        <w:rPr>
          <w:noProof/>
        </w:rPr>
        <w:t>32</w:t>
      </w:r>
      <w:r w:rsidRPr="0056399F">
        <w:rPr>
          <w:noProof/>
        </w:rPr>
        <w:fldChar w:fldCharType="end"/>
      </w:r>
      <w:bookmarkEnd w:id="259"/>
      <w:r w:rsidRPr="0056399F">
        <w:t>: DoT performance in 2019–20</w:t>
      </w:r>
      <w:bookmarkEnd w:id="260"/>
      <w:bookmarkEnd w:id="261"/>
      <w:bookmarkEnd w:id="262"/>
      <w:bookmarkEnd w:id="263"/>
    </w:p>
    <w:tbl>
      <w:tblPr>
        <w:tblStyle w:val="TableGrid1"/>
        <w:tblW w:w="9214" w:type="dxa"/>
        <w:tblInd w:w="704" w:type="dxa"/>
        <w:tblLook w:val="04A0" w:firstRow="1" w:lastRow="0" w:firstColumn="1" w:lastColumn="0" w:noHBand="0" w:noVBand="1"/>
      </w:tblPr>
      <w:tblGrid>
        <w:gridCol w:w="3119"/>
        <w:gridCol w:w="2693"/>
        <w:gridCol w:w="1134"/>
        <w:gridCol w:w="1134"/>
        <w:gridCol w:w="1134"/>
      </w:tblGrid>
      <w:tr w:rsidR="00105E1D" w:rsidRPr="0056399F" w14:paraId="2BE2162A" w14:textId="77777777" w:rsidTr="0096155E">
        <w:tc>
          <w:tcPr>
            <w:tcW w:w="5812" w:type="dxa"/>
            <w:gridSpan w:val="2"/>
            <w:vMerge w:val="restart"/>
          </w:tcPr>
          <w:p w14:paraId="31C74590" w14:textId="77777777" w:rsidR="00105E1D" w:rsidRPr="0056399F" w:rsidRDefault="00105E1D" w:rsidP="005C4F4A">
            <w:pPr>
              <w:pStyle w:val="TableHeader"/>
            </w:pPr>
            <w:r w:rsidRPr="0056399F">
              <w:t>Performance measure</w:t>
            </w:r>
          </w:p>
        </w:tc>
        <w:tc>
          <w:tcPr>
            <w:tcW w:w="1134" w:type="dxa"/>
          </w:tcPr>
          <w:p w14:paraId="44C4641A" w14:textId="77777777" w:rsidR="00105E1D" w:rsidRPr="0056399F" w:rsidRDefault="00105E1D" w:rsidP="005C4F4A">
            <w:pPr>
              <w:pStyle w:val="TableHeader"/>
            </w:pPr>
            <w:r w:rsidRPr="0056399F">
              <w:t xml:space="preserve">2017–18 </w:t>
            </w:r>
          </w:p>
        </w:tc>
        <w:tc>
          <w:tcPr>
            <w:tcW w:w="1134" w:type="dxa"/>
          </w:tcPr>
          <w:p w14:paraId="3D411B87" w14:textId="77777777" w:rsidR="00105E1D" w:rsidRPr="0056399F" w:rsidRDefault="00105E1D" w:rsidP="005C4F4A">
            <w:pPr>
              <w:pStyle w:val="TableHeader"/>
            </w:pPr>
            <w:r w:rsidRPr="0056399F">
              <w:t>2018–19</w:t>
            </w:r>
          </w:p>
        </w:tc>
        <w:tc>
          <w:tcPr>
            <w:tcW w:w="1134" w:type="dxa"/>
          </w:tcPr>
          <w:p w14:paraId="05C9DAF8" w14:textId="77777777" w:rsidR="00105E1D" w:rsidRPr="0056399F" w:rsidRDefault="00105E1D" w:rsidP="005C4F4A">
            <w:pPr>
              <w:pStyle w:val="TableHeader"/>
            </w:pPr>
            <w:r w:rsidRPr="0056399F">
              <w:t>2019–20</w:t>
            </w:r>
          </w:p>
        </w:tc>
      </w:tr>
      <w:tr w:rsidR="00105E1D" w:rsidRPr="0056399F" w14:paraId="1D532B4C" w14:textId="77777777" w:rsidTr="0096155E">
        <w:tc>
          <w:tcPr>
            <w:tcW w:w="5812" w:type="dxa"/>
            <w:gridSpan w:val="2"/>
            <w:vMerge/>
          </w:tcPr>
          <w:p w14:paraId="1B791A55" w14:textId="77777777" w:rsidR="00105E1D" w:rsidRPr="0056399F" w:rsidRDefault="00105E1D" w:rsidP="005C4F4A">
            <w:pPr>
              <w:pStyle w:val="TableHeader"/>
            </w:pPr>
          </w:p>
        </w:tc>
        <w:tc>
          <w:tcPr>
            <w:tcW w:w="3402" w:type="dxa"/>
            <w:gridSpan w:val="3"/>
          </w:tcPr>
          <w:p w14:paraId="0FF3F6E3" w14:textId="77777777" w:rsidR="00105E1D" w:rsidRPr="0056399F" w:rsidRDefault="00105E1D" w:rsidP="005C4F4A">
            <w:pPr>
              <w:pStyle w:val="TableHeader"/>
            </w:pPr>
            <w:r w:rsidRPr="0056399F">
              <w:t>(%)</w:t>
            </w:r>
          </w:p>
        </w:tc>
      </w:tr>
      <w:tr w:rsidR="00105E1D" w:rsidRPr="005C4F4A" w14:paraId="3C0ABD74" w14:textId="77777777" w:rsidTr="0096155E">
        <w:tc>
          <w:tcPr>
            <w:tcW w:w="5812" w:type="dxa"/>
            <w:gridSpan w:val="2"/>
          </w:tcPr>
          <w:p w14:paraId="1AB0CB5E" w14:textId="77777777" w:rsidR="00105E1D" w:rsidRPr="005C4F4A" w:rsidRDefault="00105E1D" w:rsidP="005C4F4A">
            <w:pPr>
              <w:pStyle w:val="TableText"/>
              <w:rPr>
                <w:rStyle w:val="Strong"/>
              </w:rPr>
            </w:pPr>
            <w:r w:rsidRPr="005C4F4A">
              <w:rPr>
                <w:rStyle w:val="Strong"/>
              </w:rPr>
              <w:t>Value created from department procurement activity</w:t>
            </w:r>
          </w:p>
        </w:tc>
        <w:tc>
          <w:tcPr>
            <w:tcW w:w="1134" w:type="dxa"/>
          </w:tcPr>
          <w:p w14:paraId="0B7696F0" w14:textId="77777777" w:rsidR="00105E1D" w:rsidRPr="005C4F4A" w:rsidRDefault="00105E1D" w:rsidP="005C4F4A">
            <w:pPr>
              <w:pStyle w:val="TableText"/>
              <w:rPr>
                <w:rStyle w:val="Strong"/>
              </w:rPr>
            </w:pPr>
            <w:r w:rsidRPr="005C4F4A">
              <w:rPr>
                <w:rStyle w:val="Strong"/>
              </w:rPr>
              <w:t>5.3</w:t>
            </w:r>
          </w:p>
        </w:tc>
        <w:tc>
          <w:tcPr>
            <w:tcW w:w="1134" w:type="dxa"/>
          </w:tcPr>
          <w:p w14:paraId="5F893B18" w14:textId="77777777" w:rsidR="00105E1D" w:rsidRPr="005C4F4A" w:rsidRDefault="00105E1D" w:rsidP="005C4F4A">
            <w:pPr>
              <w:pStyle w:val="TableText"/>
              <w:rPr>
                <w:rStyle w:val="Strong"/>
              </w:rPr>
            </w:pPr>
            <w:r w:rsidRPr="005C4F4A">
              <w:rPr>
                <w:rStyle w:val="Strong"/>
              </w:rPr>
              <w:t>4.8</w:t>
            </w:r>
          </w:p>
        </w:tc>
        <w:tc>
          <w:tcPr>
            <w:tcW w:w="1134" w:type="dxa"/>
          </w:tcPr>
          <w:p w14:paraId="2EACF39E" w14:textId="77777777" w:rsidR="00105E1D" w:rsidRPr="005C4F4A" w:rsidRDefault="00105E1D" w:rsidP="005C4F4A">
            <w:pPr>
              <w:pStyle w:val="TableText"/>
              <w:rPr>
                <w:rStyle w:val="Strong"/>
              </w:rPr>
            </w:pPr>
            <w:r w:rsidRPr="005C4F4A">
              <w:rPr>
                <w:rStyle w:val="Strong"/>
              </w:rPr>
              <w:t>2.2</w:t>
            </w:r>
          </w:p>
        </w:tc>
      </w:tr>
      <w:tr w:rsidR="00105E1D" w:rsidRPr="0056399F" w14:paraId="0779DC43" w14:textId="77777777" w:rsidTr="0096155E">
        <w:tc>
          <w:tcPr>
            <w:tcW w:w="9214" w:type="dxa"/>
            <w:gridSpan w:val="5"/>
          </w:tcPr>
          <w:p w14:paraId="0312E8CE" w14:textId="023C94E3" w:rsidR="00105E1D" w:rsidRPr="0056399F" w:rsidRDefault="00105E1D" w:rsidP="005C4F4A">
            <w:pPr>
              <w:pStyle w:val="TableText"/>
              <w:rPr>
                <w:rFonts w:eastAsia="Times New Roman"/>
                <w:lang w:eastAsia="en-AU"/>
              </w:rPr>
            </w:pPr>
            <w:r>
              <w:rPr>
                <w:rFonts w:eastAsia="Times New Roman"/>
                <w:lang w:eastAsia="en-AU"/>
              </w:rPr>
              <w:t xml:space="preserve">The </w:t>
            </w:r>
            <w:r w:rsidR="00681807">
              <w:rPr>
                <w:rFonts w:eastAsia="Times New Roman"/>
                <w:lang w:eastAsia="en-AU"/>
              </w:rPr>
              <w:t>P</w:t>
            </w:r>
            <w:r>
              <w:rPr>
                <w:rFonts w:eastAsia="Times New Roman"/>
                <w:lang w:eastAsia="en-AU"/>
              </w:rPr>
              <w:t xml:space="preserve">rocurement </w:t>
            </w:r>
            <w:r w:rsidR="00681807">
              <w:rPr>
                <w:rFonts w:eastAsia="Times New Roman"/>
                <w:lang w:eastAsia="en-AU"/>
              </w:rPr>
              <w:t>B</w:t>
            </w:r>
            <w:r>
              <w:rPr>
                <w:rFonts w:eastAsia="Times New Roman"/>
                <w:lang w:eastAsia="en-AU"/>
              </w:rPr>
              <w:t>ranch increased its involvement with commercial decisions and negotiations, which is building procurement confidence and capability across the business.</w:t>
            </w:r>
          </w:p>
        </w:tc>
      </w:tr>
      <w:tr w:rsidR="001D2ACD" w:rsidRPr="005C4F4A" w14:paraId="4D00D926" w14:textId="77777777" w:rsidTr="00436BFB">
        <w:tc>
          <w:tcPr>
            <w:tcW w:w="5812" w:type="dxa"/>
            <w:gridSpan w:val="2"/>
          </w:tcPr>
          <w:p w14:paraId="6903BD5F" w14:textId="77777777" w:rsidR="001D2ACD" w:rsidRPr="005C4F4A" w:rsidRDefault="001D2ACD" w:rsidP="005C4F4A">
            <w:pPr>
              <w:pStyle w:val="TableText"/>
              <w:rPr>
                <w:rStyle w:val="Strong"/>
              </w:rPr>
            </w:pPr>
            <w:r w:rsidRPr="005C4F4A">
              <w:rPr>
                <w:rStyle w:val="Strong"/>
              </w:rPr>
              <w:t>Managed spend</w:t>
            </w:r>
          </w:p>
        </w:tc>
        <w:tc>
          <w:tcPr>
            <w:tcW w:w="1134" w:type="dxa"/>
            <w:shd w:val="clear" w:color="auto" w:fill="FFFFFF" w:themeFill="background1"/>
          </w:tcPr>
          <w:p w14:paraId="4F84DDD6" w14:textId="730DD8A4" w:rsidR="001D2ACD" w:rsidRPr="005C4F4A" w:rsidRDefault="001D2ACD" w:rsidP="005C4F4A">
            <w:pPr>
              <w:pStyle w:val="TableText"/>
              <w:rPr>
                <w:rStyle w:val="Strong"/>
              </w:rPr>
            </w:pPr>
            <w:r w:rsidRPr="005C4F4A">
              <w:rPr>
                <w:rStyle w:val="Strong"/>
              </w:rPr>
              <w:t>n/a</w:t>
            </w:r>
          </w:p>
        </w:tc>
        <w:tc>
          <w:tcPr>
            <w:tcW w:w="1134" w:type="dxa"/>
            <w:shd w:val="clear" w:color="auto" w:fill="FFFFFF" w:themeFill="background1"/>
          </w:tcPr>
          <w:p w14:paraId="373F40B8" w14:textId="3FBAE345" w:rsidR="001D2ACD" w:rsidRPr="005C4F4A" w:rsidRDefault="001D2ACD" w:rsidP="005C4F4A">
            <w:pPr>
              <w:pStyle w:val="TableText"/>
              <w:rPr>
                <w:rStyle w:val="Strong"/>
              </w:rPr>
            </w:pPr>
            <w:r w:rsidRPr="005C4F4A">
              <w:rPr>
                <w:rStyle w:val="Strong"/>
              </w:rPr>
              <w:t>n/a</w:t>
            </w:r>
          </w:p>
        </w:tc>
        <w:tc>
          <w:tcPr>
            <w:tcW w:w="1134" w:type="dxa"/>
          </w:tcPr>
          <w:p w14:paraId="10A2B4DA" w14:textId="77777777" w:rsidR="001D2ACD" w:rsidRPr="005C4F4A" w:rsidRDefault="001D2ACD" w:rsidP="005C4F4A">
            <w:pPr>
              <w:pStyle w:val="TableText"/>
              <w:rPr>
                <w:rStyle w:val="Strong"/>
              </w:rPr>
            </w:pPr>
            <w:r w:rsidRPr="005C4F4A">
              <w:rPr>
                <w:rStyle w:val="Strong"/>
              </w:rPr>
              <w:t>79.8</w:t>
            </w:r>
          </w:p>
        </w:tc>
      </w:tr>
      <w:tr w:rsidR="00105E1D" w:rsidRPr="0056399F" w14:paraId="2FFE791F" w14:textId="77777777" w:rsidTr="0096155E">
        <w:tc>
          <w:tcPr>
            <w:tcW w:w="9214" w:type="dxa"/>
            <w:gridSpan w:val="5"/>
          </w:tcPr>
          <w:p w14:paraId="34976B5C" w14:textId="77777777" w:rsidR="00105E1D" w:rsidRPr="0056399F" w:rsidRDefault="00105E1D" w:rsidP="005C4F4A">
            <w:pPr>
              <w:pStyle w:val="TableText"/>
              <w:rPr>
                <w:rFonts w:eastAsia="Times New Roman"/>
                <w:lang w:eastAsia="en-AU"/>
              </w:rPr>
            </w:pPr>
            <w:r>
              <w:rPr>
                <w:rFonts w:eastAsia="Times New Roman"/>
                <w:lang w:eastAsia="en-AU"/>
              </w:rPr>
              <w:t xml:space="preserve">Savings have not been well tracked across the department. Introducing Zycus will help with tracking and managing savings. </w:t>
            </w:r>
          </w:p>
        </w:tc>
      </w:tr>
      <w:tr w:rsidR="00105E1D" w:rsidRPr="005C4F4A" w14:paraId="3F71DE72" w14:textId="77777777" w:rsidTr="0096155E">
        <w:tc>
          <w:tcPr>
            <w:tcW w:w="5812" w:type="dxa"/>
            <w:gridSpan w:val="2"/>
          </w:tcPr>
          <w:p w14:paraId="507965CA" w14:textId="77777777" w:rsidR="00105E1D" w:rsidRPr="005C4F4A" w:rsidRDefault="00105E1D" w:rsidP="005C4F4A">
            <w:pPr>
              <w:pStyle w:val="TableText"/>
              <w:rPr>
                <w:rStyle w:val="Strong"/>
              </w:rPr>
            </w:pPr>
            <w:r w:rsidRPr="005C4F4A">
              <w:rPr>
                <w:rStyle w:val="Strong"/>
              </w:rPr>
              <w:t>Increase in procurement capability</w:t>
            </w:r>
          </w:p>
        </w:tc>
        <w:tc>
          <w:tcPr>
            <w:tcW w:w="1134" w:type="dxa"/>
          </w:tcPr>
          <w:p w14:paraId="5C42D3D1" w14:textId="77777777" w:rsidR="00105E1D" w:rsidRPr="005C4F4A" w:rsidRDefault="00105E1D" w:rsidP="005C4F4A">
            <w:pPr>
              <w:pStyle w:val="TableText"/>
              <w:rPr>
                <w:rStyle w:val="Strong"/>
              </w:rPr>
            </w:pPr>
            <w:r w:rsidRPr="005C4F4A">
              <w:rPr>
                <w:rStyle w:val="Strong"/>
              </w:rPr>
              <w:t>3.0</w:t>
            </w:r>
          </w:p>
        </w:tc>
        <w:tc>
          <w:tcPr>
            <w:tcW w:w="1134" w:type="dxa"/>
          </w:tcPr>
          <w:p w14:paraId="0AC4E62D" w14:textId="77777777" w:rsidR="00105E1D" w:rsidRPr="005C4F4A" w:rsidRDefault="00105E1D" w:rsidP="005C4F4A">
            <w:pPr>
              <w:pStyle w:val="TableText"/>
              <w:rPr>
                <w:rStyle w:val="Strong"/>
              </w:rPr>
            </w:pPr>
            <w:r w:rsidRPr="005C4F4A">
              <w:rPr>
                <w:rStyle w:val="Strong"/>
              </w:rPr>
              <w:t>5.8</w:t>
            </w:r>
          </w:p>
        </w:tc>
        <w:tc>
          <w:tcPr>
            <w:tcW w:w="1134" w:type="dxa"/>
          </w:tcPr>
          <w:p w14:paraId="3EBEF961" w14:textId="77777777" w:rsidR="00105E1D" w:rsidRPr="005C4F4A" w:rsidRDefault="00105E1D" w:rsidP="005C4F4A">
            <w:pPr>
              <w:pStyle w:val="TableText"/>
              <w:rPr>
                <w:rStyle w:val="Strong"/>
              </w:rPr>
            </w:pPr>
            <w:r w:rsidRPr="005C4F4A">
              <w:rPr>
                <w:rStyle w:val="Strong"/>
              </w:rPr>
              <w:t>18.7</w:t>
            </w:r>
          </w:p>
        </w:tc>
      </w:tr>
      <w:tr w:rsidR="00105E1D" w:rsidRPr="0056399F" w14:paraId="6B0B2148" w14:textId="77777777" w:rsidTr="0096155E">
        <w:tc>
          <w:tcPr>
            <w:tcW w:w="9214" w:type="dxa"/>
            <w:gridSpan w:val="5"/>
          </w:tcPr>
          <w:p w14:paraId="0E6F9DF3" w14:textId="3CACA091" w:rsidR="00105E1D" w:rsidRPr="0056399F" w:rsidRDefault="00105E1D" w:rsidP="005C4F4A">
            <w:pPr>
              <w:pStyle w:val="TableText"/>
              <w:rPr>
                <w:rFonts w:eastAsia="Times New Roman"/>
                <w:lang w:eastAsia="en-AU"/>
              </w:rPr>
            </w:pPr>
            <w:r>
              <w:rPr>
                <w:rFonts w:eastAsia="Times New Roman"/>
                <w:lang w:eastAsia="en-AU"/>
              </w:rPr>
              <w:t>Procurement capability increased from 116 to 138 out of 150 – an 18.7</w:t>
            </w:r>
            <w:r w:rsidR="00783F0A">
              <w:rPr>
                <w:rFonts w:eastAsia="Times New Roman"/>
                <w:lang w:eastAsia="en-AU"/>
              </w:rPr>
              <w:t xml:space="preserve"> per cent</w:t>
            </w:r>
            <w:r>
              <w:rPr>
                <w:rFonts w:eastAsia="Times New Roman"/>
                <w:lang w:eastAsia="en-AU"/>
              </w:rPr>
              <w:t xml:space="preserve"> increase from last year – which is a significant uplift in capability. The department is rolling out a suite of n</w:t>
            </w:r>
            <w:r w:rsidRPr="00E0781D">
              <w:rPr>
                <w:rFonts w:eastAsia="Times New Roman"/>
                <w:lang w:eastAsia="en-AU"/>
              </w:rPr>
              <w:t xml:space="preserve">ew procurement, probity and procurement legal training across the business and internally in the </w:t>
            </w:r>
            <w:r w:rsidR="00F05259">
              <w:rPr>
                <w:rFonts w:eastAsia="Times New Roman"/>
                <w:lang w:eastAsia="en-AU"/>
              </w:rPr>
              <w:t>P</w:t>
            </w:r>
            <w:r w:rsidRPr="00E0781D">
              <w:rPr>
                <w:rFonts w:eastAsia="Times New Roman"/>
                <w:lang w:eastAsia="en-AU"/>
              </w:rPr>
              <w:t xml:space="preserve">rocurement </w:t>
            </w:r>
            <w:r w:rsidR="00F05259">
              <w:rPr>
                <w:rFonts w:eastAsia="Times New Roman"/>
                <w:lang w:eastAsia="en-AU"/>
              </w:rPr>
              <w:t>B</w:t>
            </w:r>
            <w:r w:rsidRPr="00E0781D">
              <w:rPr>
                <w:rFonts w:eastAsia="Times New Roman"/>
                <w:lang w:eastAsia="en-AU"/>
              </w:rPr>
              <w:t xml:space="preserve">ranch. Procurement training will become </w:t>
            </w:r>
            <w:r>
              <w:rPr>
                <w:rFonts w:eastAsia="Times New Roman"/>
                <w:lang w:eastAsia="en-AU"/>
              </w:rPr>
              <w:t xml:space="preserve">a </w:t>
            </w:r>
            <w:r w:rsidRPr="00E0781D">
              <w:rPr>
                <w:rFonts w:eastAsia="Times New Roman"/>
                <w:lang w:eastAsia="en-AU"/>
              </w:rPr>
              <w:t xml:space="preserve">mandatory part of the onboarding </w:t>
            </w:r>
            <w:r>
              <w:rPr>
                <w:rFonts w:eastAsia="Times New Roman"/>
                <w:lang w:eastAsia="en-AU"/>
              </w:rPr>
              <w:t xml:space="preserve">process for new </w:t>
            </w:r>
            <w:r w:rsidRPr="00E0781D">
              <w:rPr>
                <w:rFonts w:eastAsia="Times New Roman"/>
                <w:lang w:eastAsia="en-AU"/>
              </w:rPr>
              <w:t>employees.</w:t>
            </w:r>
          </w:p>
        </w:tc>
      </w:tr>
      <w:tr w:rsidR="00105E1D" w:rsidRPr="005C4F4A" w14:paraId="0B61AD31" w14:textId="77777777" w:rsidTr="0096155E">
        <w:tc>
          <w:tcPr>
            <w:tcW w:w="3119" w:type="dxa"/>
            <w:vMerge w:val="restart"/>
          </w:tcPr>
          <w:p w14:paraId="2508B53A" w14:textId="77777777" w:rsidR="00105E1D" w:rsidRPr="005C4F4A" w:rsidRDefault="00105E1D" w:rsidP="005C4F4A">
            <w:pPr>
              <w:pStyle w:val="TableText"/>
              <w:rPr>
                <w:rStyle w:val="Strong"/>
              </w:rPr>
            </w:pPr>
            <w:r w:rsidRPr="005C4F4A">
              <w:rPr>
                <w:rStyle w:val="Strong"/>
              </w:rPr>
              <w:t>Supplier satisfaction assessment</w:t>
            </w:r>
          </w:p>
        </w:tc>
        <w:tc>
          <w:tcPr>
            <w:tcW w:w="2693" w:type="dxa"/>
          </w:tcPr>
          <w:p w14:paraId="5A1D4577" w14:textId="77777777" w:rsidR="00105E1D" w:rsidRPr="005C4F4A" w:rsidRDefault="00105E1D" w:rsidP="005C4F4A">
            <w:pPr>
              <w:pStyle w:val="TableText"/>
              <w:rPr>
                <w:rStyle w:val="Strong"/>
              </w:rPr>
            </w:pPr>
            <w:r w:rsidRPr="005C4F4A">
              <w:rPr>
                <w:rStyle w:val="Strong"/>
              </w:rPr>
              <w:t>Successful satisfied</w:t>
            </w:r>
          </w:p>
        </w:tc>
        <w:tc>
          <w:tcPr>
            <w:tcW w:w="1134" w:type="dxa"/>
          </w:tcPr>
          <w:p w14:paraId="2FFEC671" w14:textId="77777777" w:rsidR="00105E1D" w:rsidRPr="005C4F4A" w:rsidRDefault="00105E1D" w:rsidP="005C4F4A">
            <w:pPr>
              <w:pStyle w:val="TableText"/>
              <w:rPr>
                <w:rStyle w:val="Strong"/>
              </w:rPr>
            </w:pPr>
            <w:r w:rsidRPr="005C4F4A">
              <w:rPr>
                <w:rStyle w:val="Strong"/>
              </w:rPr>
              <w:t>71</w:t>
            </w:r>
          </w:p>
        </w:tc>
        <w:tc>
          <w:tcPr>
            <w:tcW w:w="1134" w:type="dxa"/>
          </w:tcPr>
          <w:p w14:paraId="5C0F9938" w14:textId="77777777" w:rsidR="00105E1D" w:rsidRPr="005C4F4A" w:rsidRDefault="00105E1D" w:rsidP="005C4F4A">
            <w:pPr>
              <w:pStyle w:val="TableText"/>
              <w:rPr>
                <w:rStyle w:val="Strong"/>
              </w:rPr>
            </w:pPr>
            <w:r w:rsidRPr="005C4F4A">
              <w:rPr>
                <w:rStyle w:val="Strong"/>
              </w:rPr>
              <w:t>96</w:t>
            </w:r>
          </w:p>
        </w:tc>
        <w:tc>
          <w:tcPr>
            <w:tcW w:w="1134" w:type="dxa"/>
          </w:tcPr>
          <w:p w14:paraId="5D75CDB6" w14:textId="77777777" w:rsidR="00105E1D" w:rsidRPr="005C4F4A" w:rsidRDefault="00105E1D" w:rsidP="005C4F4A">
            <w:pPr>
              <w:pStyle w:val="TableText"/>
              <w:rPr>
                <w:rStyle w:val="Strong"/>
              </w:rPr>
            </w:pPr>
            <w:r w:rsidRPr="005C4F4A">
              <w:rPr>
                <w:rStyle w:val="Strong"/>
              </w:rPr>
              <w:t>69</w:t>
            </w:r>
          </w:p>
        </w:tc>
      </w:tr>
      <w:tr w:rsidR="00105E1D" w:rsidRPr="005C4F4A" w14:paraId="17CDB1E1" w14:textId="77777777" w:rsidTr="0096155E">
        <w:tc>
          <w:tcPr>
            <w:tcW w:w="3119" w:type="dxa"/>
            <w:vMerge/>
          </w:tcPr>
          <w:p w14:paraId="3D3DDDC2" w14:textId="77777777" w:rsidR="00105E1D" w:rsidRPr="005C4F4A" w:rsidRDefault="00105E1D" w:rsidP="005C4F4A">
            <w:pPr>
              <w:pStyle w:val="TableText"/>
              <w:rPr>
                <w:rStyle w:val="Strong"/>
              </w:rPr>
            </w:pPr>
          </w:p>
        </w:tc>
        <w:tc>
          <w:tcPr>
            <w:tcW w:w="2693" w:type="dxa"/>
          </w:tcPr>
          <w:p w14:paraId="097134B8" w14:textId="77777777" w:rsidR="00105E1D" w:rsidRPr="005C4F4A" w:rsidRDefault="00105E1D" w:rsidP="005C4F4A">
            <w:pPr>
              <w:pStyle w:val="TableText"/>
              <w:rPr>
                <w:rStyle w:val="Strong"/>
              </w:rPr>
            </w:pPr>
            <w:r w:rsidRPr="005C4F4A">
              <w:rPr>
                <w:rStyle w:val="Strong"/>
              </w:rPr>
              <w:t>Unsuccessful satisfied</w:t>
            </w:r>
          </w:p>
        </w:tc>
        <w:tc>
          <w:tcPr>
            <w:tcW w:w="1134" w:type="dxa"/>
          </w:tcPr>
          <w:p w14:paraId="57003722" w14:textId="77777777" w:rsidR="00105E1D" w:rsidRPr="005C4F4A" w:rsidRDefault="00105E1D" w:rsidP="005C4F4A">
            <w:pPr>
              <w:pStyle w:val="TableText"/>
              <w:rPr>
                <w:rStyle w:val="Strong"/>
              </w:rPr>
            </w:pPr>
            <w:r w:rsidRPr="005C4F4A">
              <w:rPr>
                <w:rStyle w:val="Strong"/>
              </w:rPr>
              <w:t>45</w:t>
            </w:r>
          </w:p>
        </w:tc>
        <w:tc>
          <w:tcPr>
            <w:tcW w:w="1134" w:type="dxa"/>
          </w:tcPr>
          <w:p w14:paraId="3E4FE759" w14:textId="77777777" w:rsidR="00105E1D" w:rsidRPr="005C4F4A" w:rsidRDefault="00105E1D" w:rsidP="005C4F4A">
            <w:pPr>
              <w:pStyle w:val="TableText"/>
              <w:rPr>
                <w:rStyle w:val="Strong"/>
              </w:rPr>
            </w:pPr>
            <w:r w:rsidRPr="005C4F4A">
              <w:rPr>
                <w:rStyle w:val="Strong"/>
              </w:rPr>
              <w:t>24</w:t>
            </w:r>
          </w:p>
        </w:tc>
        <w:tc>
          <w:tcPr>
            <w:tcW w:w="1134" w:type="dxa"/>
          </w:tcPr>
          <w:p w14:paraId="1A6B0C90" w14:textId="77777777" w:rsidR="00105E1D" w:rsidRPr="005C4F4A" w:rsidRDefault="00105E1D" w:rsidP="005C4F4A">
            <w:pPr>
              <w:pStyle w:val="TableText"/>
              <w:rPr>
                <w:rStyle w:val="Strong"/>
              </w:rPr>
            </w:pPr>
            <w:r w:rsidRPr="005C4F4A">
              <w:rPr>
                <w:rStyle w:val="Strong"/>
              </w:rPr>
              <w:t>26</w:t>
            </w:r>
          </w:p>
        </w:tc>
      </w:tr>
      <w:tr w:rsidR="00105E1D" w:rsidRPr="0056399F" w14:paraId="79A20BEB" w14:textId="77777777" w:rsidTr="0096155E">
        <w:tc>
          <w:tcPr>
            <w:tcW w:w="9214" w:type="dxa"/>
            <w:gridSpan w:val="5"/>
          </w:tcPr>
          <w:p w14:paraId="492DB5BE" w14:textId="4598C05A" w:rsidR="00105E1D" w:rsidRPr="0056399F" w:rsidRDefault="00105E1D" w:rsidP="005C4F4A">
            <w:pPr>
              <w:pStyle w:val="TableText"/>
              <w:rPr>
                <w:rFonts w:eastAsia="Times New Roman"/>
                <w:lang w:eastAsia="en-AU"/>
              </w:rPr>
            </w:pPr>
            <w:r>
              <w:rPr>
                <w:rFonts w:eastAsia="Times New Roman"/>
                <w:lang w:eastAsia="en-AU"/>
              </w:rPr>
              <w:t>The department had a 14</w:t>
            </w:r>
            <w:r w:rsidR="00783F0A">
              <w:rPr>
                <w:rFonts w:eastAsia="Times New Roman"/>
                <w:lang w:eastAsia="en-AU"/>
              </w:rPr>
              <w:t xml:space="preserve"> per cent</w:t>
            </w:r>
            <w:r>
              <w:rPr>
                <w:rFonts w:eastAsia="Times New Roman"/>
                <w:lang w:eastAsia="en-AU"/>
              </w:rPr>
              <w:t xml:space="preserve"> response rate. The decrease in successful supplier satisfaction may be related to the machinery of government changes and a d</w:t>
            </w:r>
            <w:r w:rsidRPr="009C31BA">
              <w:rPr>
                <w:rFonts w:eastAsia="Times New Roman"/>
                <w:lang w:eastAsia="en-AU"/>
              </w:rPr>
              <w:t>isparity in the quality of supplier engagement across the organisati</w:t>
            </w:r>
            <w:r>
              <w:rPr>
                <w:rFonts w:eastAsia="Times New Roman"/>
                <w:lang w:eastAsia="en-AU"/>
              </w:rPr>
              <w:t>on. DoT implemented its integrated procurement framework in February 2020 and has since. improved communication with suppliers and facilitated more industry briefings and tender debriefs, which should increase supplier satisfaction in 2020–21.</w:t>
            </w:r>
          </w:p>
        </w:tc>
      </w:tr>
      <w:tr w:rsidR="00105E1D" w:rsidRPr="005C4F4A" w14:paraId="21E2B043" w14:textId="77777777" w:rsidTr="0096155E">
        <w:tc>
          <w:tcPr>
            <w:tcW w:w="5812" w:type="dxa"/>
            <w:gridSpan w:val="2"/>
          </w:tcPr>
          <w:p w14:paraId="58B024AA" w14:textId="77777777" w:rsidR="00105E1D" w:rsidRPr="005C4F4A" w:rsidRDefault="00105E1D" w:rsidP="005C4F4A">
            <w:pPr>
              <w:pStyle w:val="TableText"/>
              <w:rPr>
                <w:rStyle w:val="Strong"/>
              </w:rPr>
            </w:pPr>
            <w:r w:rsidRPr="005C4F4A">
              <w:rPr>
                <w:rStyle w:val="Strong"/>
              </w:rPr>
              <w:t>Planned procurement activity as a % of actual procurement activity</w:t>
            </w:r>
          </w:p>
        </w:tc>
        <w:tc>
          <w:tcPr>
            <w:tcW w:w="1134" w:type="dxa"/>
          </w:tcPr>
          <w:p w14:paraId="787B75FB" w14:textId="77777777" w:rsidR="00105E1D" w:rsidRPr="005C4F4A" w:rsidRDefault="00105E1D" w:rsidP="005C4F4A">
            <w:pPr>
              <w:pStyle w:val="TableText"/>
              <w:rPr>
                <w:rStyle w:val="Strong"/>
              </w:rPr>
            </w:pPr>
            <w:r w:rsidRPr="005C4F4A">
              <w:rPr>
                <w:rStyle w:val="Strong"/>
              </w:rPr>
              <w:t>40.0</w:t>
            </w:r>
          </w:p>
        </w:tc>
        <w:tc>
          <w:tcPr>
            <w:tcW w:w="1134" w:type="dxa"/>
          </w:tcPr>
          <w:p w14:paraId="336A116D" w14:textId="77777777" w:rsidR="00105E1D" w:rsidRPr="005C4F4A" w:rsidRDefault="00105E1D" w:rsidP="005C4F4A">
            <w:pPr>
              <w:pStyle w:val="TableText"/>
              <w:rPr>
                <w:rStyle w:val="Strong"/>
              </w:rPr>
            </w:pPr>
            <w:r w:rsidRPr="005C4F4A">
              <w:rPr>
                <w:rStyle w:val="Strong"/>
              </w:rPr>
              <w:t>66.7</w:t>
            </w:r>
          </w:p>
        </w:tc>
        <w:tc>
          <w:tcPr>
            <w:tcW w:w="1134" w:type="dxa"/>
          </w:tcPr>
          <w:p w14:paraId="072B442A" w14:textId="77777777" w:rsidR="00105E1D" w:rsidRPr="005C4F4A" w:rsidRDefault="00105E1D" w:rsidP="005C4F4A">
            <w:pPr>
              <w:pStyle w:val="TableText"/>
              <w:rPr>
                <w:rStyle w:val="Strong"/>
              </w:rPr>
            </w:pPr>
            <w:r w:rsidRPr="005C4F4A">
              <w:rPr>
                <w:rStyle w:val="Strong"/>
              </w:rPr>
              <w:t>10.5</w:t>
            </w:r>
          </w:p>
        </w:tc>
      </w:tr>
      <w:tr w:rsidR="00105E1D" w:rsidRPr="0056399F" w14:paraId="1DF80818" w14:textId="77777777" w:rsidTr="0096155E">
        <w:tc>
          <w:tcPr>
            <w:tcW w:w="9214" w:type="dxa"/>
            <w:gridSpan w:val="5"/>
          </w:tcPr>
          <w:p w14:paraId="1090CC3D" w14:textId="4F1E44B9" w:rsidR="00105E1D" w:rsidRPr="0056399F" w:rsidRDefault="00105E1D" w:rsidP="005C4F4A">
            <w:pPr>
              <w:pStyle w:val="TableText"/>
              <w:rPr>
                <w:rFonts w:eastAsia="Times New Roman"/>
                <w:lang w:eastAsia="en-AU"/>
              </w:rPr>
            </w:pPr>
            <w:r>
              <w:rPr>
                <w:rFonts w:eastAsia="Times New Roman"/>
                <w:lang w:eastAsia="en-AU"/>
              </w:rPr>
              <w:t xml:space="preserve">Although DoT, VicRoads and PTV each had a separate forward procurement plan in 2019–20, the department </w:t>
            </w:r>
            <w:r w:rsidR="00F05259">
              <w:rPr>
                <w:rFonts w:eastAsia="Times New Roman"/>
                <w:lang w:eastAsia="en-AU"/>
              </w:rPr>
              <w:t>was</w:t>
            </w:r>
            <w:r>
              <w:rPr>
                <w:rFonts w:eastAsia="Times New Roman"/>
                <w:lang w:eastAsia="en-AU"/>
              </w:rPr>
              <w:t xml:space="preserve"> still working on a joint plan for 2020–21. Now that the three organisations have merged their procurement functions, the </w:t>
            </w:r>
            <w:r w:rsidR="00F05259">
              <w:rPr>
                <w:rFonts w:eastAsia="Times New Roman"/>
                <w:lang w:eastAsia="en-AU"/>
              </w:rPr>
              <w:t>P</w:t>
            </w:r>
            <w:r>
              <w:rPr>
                <w:rFonts w:eastAsia="Times New Roman"/>
                <w:lang w:eastAsia="en-AU"/>
              </w:rPr>
              <w:t xml:space="preserve">rocurement </w:t>
            </w:r>
            <w:r w:rsidR="00F05259">
              <w:rPr>
                <w:rFonts w:eastAsia="Times New Roman"/>
                <w:lang w:eastAsia="en-AU"/>
              </w:rPr>
              <w:t>B</w:t>
            </w:r>
            <w:r>
              <w:rPr>
                <w:rFonts w:eastAsia="Times New Roman"/>
                <w:lang w:eastAsia="en-AU"/>
              </w:rPr>
              <w:t xml:space="preserve">ranch will </w:t>
            </w:r>
            <w:r w:rsidRPr="00D26811">
              <w:rPr>
                <w:rFonts w:eastAsia="Times New Roman"/>
                <w:lang w:eastAsia="en-AU"/>
              </w:rPr>
              <w:t xml:space="preserve">be able to facilitate better planning with </w:t>
            </w:r>
            <w:r>
              <w:rPr>
                <w:rFonts w:eastAsia="Times New Roman"/>
                <w:lang w:eastAsia="en-AU"/>
              </w:rPr>
              <w:t>b</w:t>
            </w:r>
            <w:r w:rsidRPr="00D26811">
              <w:rPr>
                <w:rFonts w:eastAsia="Times New Roman"/>
                <w:lang w:eastAsia="en-AU"/>
              </w:rPr>
              <w:t>usiness units to develop a more rigorous forward activity plan focused on business needs and expiring contracts.</w:t>
            </w:r>
            <w:r>
              <w:rPr>
                <w:rFonts w:eastAsia="Times New Roman"/>
                <w:lang w:eastAsia="en-AU"/>
              </w:rPr>
              <w:t xml:space="preserve"> </w:t>
            </w:r>
          </w:p>
        </w:tc>
      </w:tr>
    </w:tbl>
    <w:p w14:paraId="4F5B4295" w14:textId="77777777" w:rsidR="00105E1D" w:rsidRPr="0056399F" w:rsidRDefault="00105E1D" w:rsidP="00105E1D"/>
    <w:p w14:paraId="7B161B01" w14:textId="77777777" w:rsidR="00105E1D" w:rsidRDefault="00105E1D" w:rsidP="00105E1D"/>
    <w:p w14:paraId="057341F9" w14:textId="77777777" w:rsidR="002E398B" w:rsidRDefault="002E398B">
      <w:pPr>
        <w:rPr>
          <w:rFonts w:ascii="Calibri" w:hAnsi="Calibri" w:cs="Calibri"/>
          <w:color w:val="4D4D4D"/>
          <w:kern w:val="28"/>
          <w:sz w:val="30"/>
          <w:szCs w:val="22"/>
          <w:lang w:eastAsia="en-US"/>
        </w:rPr>
      </w:pPr>
      <w:r>
        <w:br w:type="page"/>
      </w:r>
    </w:p>
    <w:p w14:paraId="691C1BFF" w14:textId="77777777" w:rsidR="00393793" w:rsidRDefault="00393793" w:rsidP="00393793">
      <w:pPr>
        <w:pStyle w:val="Heading2NoNum"/>
      </w:pPr>
      <w:bookmarkStart w:id="264" w:name="_Toc35437757"/>
      <w:bookmarkStart w:id="265" w:name="_Toc52187748"/>
      <w:bookmarkStart w:id="266" w:name="_Hlk50645470"/>
      <w:bookmarkStart w:id="267" w:name="_Hlk17800864"/>
      <w:r w:rsidRPr="00567B7A">
        <w:lastRenderedPageBreak/>
        <w:t>Department of Treasury and Finance</w:t>
      </w:r>
      <w:bookmarkEnd w:id="264"/>
      <w:bookmarkEnd w:id="265"/>
    </w:p>
    <w:p w14:paraId="766AE8FD" w14:textId="3871B878" w:rsidR="00393793" w:rsidRDefault="00393793" w:rsidP="00393793">
      <w:pPr>
        <w:pStyle w:val="Normal1"/>
      </w:pPr>
      <w:r>
        <w:t xml:space="preserve">The </w:t>
      </w:r>
      <w:r w:rsidRPr="001511A2">
        <w:t xml:space="preserve">Department of Treasury and Finance (DTF) provides economic, financial and resource management advice to help the </w:t>
      </w:r>
      <w:r>
        <w:t>g</w:t>
      </w:r>
      <w:r w:rsidRPr="001511A2">
        <w:t>overnment deliver its policies.</w:t>
      </w:r>
      <w:r>
        <w:t xml:space="preserve"> DTF’s</w:t>
      </w:r>
      <w:r w:rsidRPr="00100444">
        <w:t xml:space="preserve"> procurement profile focuses largely on professional services to support these functions</w:t>
      </w:r>
      <w:r>
        <w:t xml:space="preserve"> and is primarily transactional.</w:t>
      </w:r>
    </w:p>
    <w:p w14:paraId="7E792C90" w14:textId="77777777" w:rsidR="00393793" w:rsidRDefault="00393793" w:rsidP="00393793">
      <w:pPr>
        <w:pStyle w:val="Normal1"/>
      </w:pPr>
      <w:r w:rsidRPr="00097D3C">
        <w:t xml:space="preserve">DTF is the lead agency for </w:t>
      </w:r>
      <w:r>
        <w:t>most non-ICT</w:t>
      </w:r>
      <w:r w:rsidRPr="00097D3C">
        <w:t xml:space="preserve"> SPCs through its Strategic Sourcing</w:t>
      </w:r>
      <w:r>
        <w:t xml:space="preserve"> Group.</w:t>
      </w:r>
    </w:p>
    <w:p w14:paraId="09AF9DDB" w14:textId="52E22EDF" w:rsidR="00393793" w:rsidRPr="001511A2" w:rsidRDefault="00393793" w:rsidP="00393793">
      <w:pPr>
        <w:pStyle w:val="Normal1"/>
      </w:pPr>
      <w:r w:rsidRPr="001118E9">
        <w:t>Invest Victoria trans</w:t>
      </w:r>
      <w:r>
        <w:t xml:space="preserve">itioned </w:t>
      </w:r>
      <w:r w:rsidRPr="001118E9">
        <w:t xml:space="preserve">into DTF </w:t>
      </w:r>
      <w:r>
        <w:t xml:space="preserve">as a result of </w:t>
      </w:r>
      <w:r w:rsidRPr="001118E9">
        <w:t>machinery of government change</w:t>
      </w:r>
      <w:r>
        <w:t>s</w:t>
      </w:r>
      <w:r w:rsidRPr="001118E9">
        <w:t xml:space="preserve"> </w:t>
      </w:r>
      <w:r>
        <w:t>on</w:t>
      </w:r>
      <w:r w:rsidRPr="001118E9">
        <w:t xml:space="preserve"> 1</w:t>
      </w:r>
      <w:r>
        <w:t> </w:t>
      </w:r>
      <w:r w:rsidRPr="001118E9">
        <w:t xml:space="preserve">January 2019. </w:t>
      </w:r>
      <w:r>
        <w:t xml:space="preserve">DTF began overseeing </w:t>
      </w:r>
      <w:r w:rsidR="00436BFB">
        <w:t>its</w:t>
      </w:r>
      <w:r>
        <w:t xml:space="preserve"> procurement from </w:t>
      </w:r>
      <w:r w:rsidRPr="001118E9">
        <w:t>1</w:t>
      </w:r>
      <w:r w:rsidR="00FE3B3A">
        <w:t> </w:t>
      </w:r>
      <w:r w:rsidRPr="001118E9">
        <w:t>July</w:t>
      </w:r>
      <w:r w:rsidR="00FE3B3A">
        <w:t> </w:t>
      </w:r>
      <w:r w:rsidRPr="001118E9">
        <w:t>2019.</w:t>
      </w:r>
    </w:p>
    <w:p w14:paraId="314792AE" w14:textId="77777777" w:rsidR="00393793" w:rsidRDefault="00393793" w:rsidP="00393793">
      <w:pPr>
        <w:pStyle w:val="Heading3NoNum"/>
      </w:pPr>
      <w:r w:rsidRPr="00CD6245">
        <w:t>Procurement profile</w:t>
      </w:r>
      <w:r>
        <w:t xml:space="preserve"> in 2019–20</w:t>
      </w:r>
    </w:p>
    <w:tbl>
      <w:tblPr>
        <w:tblStyle w:val="TableGrid"/>
        <w:tblW w:w="8363" w:type="dxa"/>
        <w:tblInd w:w="846" w:type="dxa"/>
        <w:tblLook w:val="04A0" w:firstRow="1" w:lastRow="0" w:firstColumn="1" w:lastColumn="0" w:noHBand="0" w:noVBand="1"/>
      </w:tblPr>
      <w:tblGrid>
        <w:gridCol w:w="3969"/>
        <w:gridCol w:w="4394"/>
      </w:tblGrid>
      <w:tr w:rsidR="00393793" w:rsidRPr="00CC1F98" w14:paraId="7D707658" w14:textId="77777777" w:rsidTr="00190BC9">
        <w:tc>
          <w:tcPr>
            <w:tcW w:w="3969" w:type="dxa"/>
          </w:tcPr>
          <w:p w14:paraId="21D2F8ED" w14:textId="7C1F41F4" w:rsidR="00393793" w:rsidRPr="001118E9" w:rsidRDefault="00393793" w:rsidP="00190BC9">
            <w:pPr>
              <w:pStyle w:val="Normal1"/>
              <w:ind w:left="0"/>
              <w:rPr>
                <w:sz w:val="24"/>
                <w:szCs w:val="24"/>
              </w:rPr>
            </w:pPr>
            <w:r>
              <w:rPr>
                <w:sz w:val="24"/>
                <w:szCs w:val="24"/>
              </w:rPr>
              <w:t>25</w:t>
            </w:r>
            <w:r w:rsidRPr="001118E9">
              <w:rPr>
                <w:sz w:val="24"/>
                <w:szCs w:val="24"/>
              </w:rPr>
              <w:t xml:space="preserve"> one-off supply contract approvals valued at $</w:t>
            </w:r>
            <w:r>
              <w:rPr>
                <w:sz w:val="24"/>
                <w:szCs w:val="24"/>
              </w:rPr>
              <w:t>6.2 </w:t>
            </w:r>
            <w:r w:rsidRPr="001118E9">
              <w:rPr>
                <w:sz w:val="24"/>
                <w:szCs w:val="24"/>
              </w:rPr>
              <w:t>million*</w:t>
            </w:r>
          </w:p>
        </w:tc>
        <w:tc>
          <w:tcPr>
            <w:tcW w:w="4394" w:type="dxa"/>
          </w:tcPr>
          <w:p w14:paraId="35A45C2A" w14:textId="77777777" w:rsidR="00393793" w:rsidRPr="00BD351B" w:rsidRDefault="00393793" w:rsidP="00190BC9">
            <w:pPr>
              <w:pStyle w:val="Normal1"/>
              <w:ind w:left="0"/>
            </w:pPr>
            <w:r w:rsidRPr="001118E9">
              <w:rPr>
                <w:b/>
                <w:bCs/>
                <w:sz w:val="24"/>
                <w:szCs w:val="24"/>
              </w:rPr>
              <w:t>Decentralised</w:t>
            </w:r>
            <w:r w:rsidRPr="001118E9">
              <w:rPr>
                <w:b/>
                <w:bCs/>
                <w:sz w:val="24"/>
                <w:szCs w:val="24"/>
                <w:lang w:val="en-US"/>
              </w:rPr>
              <w:t xml:space="preserve"> </w:t>
            </w:r>
            <w:r>
              <w:rPr>
                <w:lang w:val="en-US"/>
              </w:rPr>
              <w:t>procurement function</w:t>
            </w:r>
          </w:p>
        </w:tc>
      </w:tr>
      <w:tr w:rsidR="00393793" w:rsidRPr="00CC1F98" w14:paraId="467C677A" w14:textId="77777777" w:rsidTr="00190BC9">
        <w:tc>
          <w:tcPr>
            <w:tcW w:w="3969" w:type="dxa"/>
          </w:tcPr>
          <w:p w14:paraId="5E790BEC" w14:textId="5632290C" w:rsidR="00393793" w:rsidRPr="001118E9" w:rsidRDefault="00393793" w:rsidP="00190BC9">
            <w:pPr>
              <w:pStyle w:val="Normal1"/>
              <w:ind w:left="0"/>
              <w:rPr>
                <w:sz w:val="24"/>
                <w:szCs w:val="24"/>
              </w:rPr>
            </w:pPr>
            <w:r>
              <w:rPr>
                <w:sz w:val="24"/>
                <w:szCs w:val="24"/>
              </w:rPr>
              <w:t>1</w:t>
            </w:r>
            <w:r w:rsidRPr="001118E9">
              <w:rPr>
                <w:sz w:val="24"/>
                <w:szCs w:val="24"/>
              </w:rPr>
              <w:t xml:space="preserve"> SPC approval valued at $</w:t>
            </w:r>
            <w:r>
              <w:rPr>
                <w:sz w:val="24"/>
                <w:szCs w:val="24"/>
              </w:rPr>
              <w:t>65.0</w:t>
            </w:r>
            <w:r w:rsidRPr="001118E9">
              <w:rPr>
                <w:sz w:val="24"/>
                <w:szCs w:val="24"/>
              </w:rPr>
              <w:t xml:space="preserve"> million</w:t>
            </w:r>
            <w:r>
              <w:rPr>
                <w:sz w:val="24"/>
                <w:szCs w:val="24"/>
              </w:rPr>
              <w:t>*</w:t>
            </w:r>
          </w:p>
        </w:tc>
        <w:tc>
          <w:tcPr>
            <w:tcW w:w="4394" w:type="dxa"/>
            <w:vMerge w:val="restart"/>
          </w:tcPr>
          <w:p w14:paraId="64CB439C" w14:textId="77777777" w:rsidR="00393793" w:rsidRPr="00D962DA" w:rsidRDefault="00393793" w:rsidP="00190BC9">
            <w:pPr>
              <w:pStyle w:val="Normal1"/>
              <w:ind w:left="0"/>
              <w:rPr>
                <w:b/>
              </w:rPr>
            </w:pPr>
            <w:r w:rsidRPr="00D962DA">
              <w:rPr>
                <w:b/>
              </w:rPr>
              <w:t>Top categories of c</w:t>
            </w:r>
            <w:r>
              <w:rPr>
                <w:b/>
              </w:rPr>
              <w:t>ontract approval</w:t>
            </w:r>
          </w:p>
          <w:p w14:paraId="64EDA092" w14:textId="77777777" w:rsidR="00393793" w:rsidRPr="004C7894" w:rsidRDefault="00393793" w:rsidP="005C4F4A">
            <w:pPr>
              <w:pStyle w:val="tasblebullet"/>
            </w:pPr>
            <w:r w:rsidRPr="004C7894">
              <w:t>Professional advisory services</w:t>
            </w:r>
          </w:p>
          <w:p w14:paraId="0B35E645" w14:textId="77777777" w:rsidR="00393793" w:rsidRPr="004C7894" w:rsidRDefault="00393793" w:rsidP="005C4F4A">
            <w:pPr>
              <w:pStyle w:val="tasblebullet"/>
            </w:pPr>
            <w:r w:rsidRPr="004C7894">
              <w:t>eServices</w:t>
            </w:r>
          </w:p>
          <w:p w14:paraId="2DCFA7C1" w14:textId="77777777" w:rsidR="00393793" w:rsidRPr="004C7894" w:rsidRDefault="00393793" w:rsidP="005C4F4A">
            <w:pPr>
              <w:pStyle w:val="tasblebullet"/>
            </w:pPr>
            <w:r w:rsidRPr="004C7894">
              <w:t>Oracle systems</w:t>
            </w:r>
          </w:p>
          <w:p w14:paraId="126363EB" w14:textId="77777777" w:rsidR="00393793" w:rsidRPr="004C7894" w:rsidRDefault="00393793" w:rsidP="005C4F4A">
            <w:pPr>
              <w:pStyle w:val="tasblebullet"/>
            </w:pPr>
            <w:r w:rsidRPr="004C7894">
              <w:t>Staffing services</w:t>
            </w:r>
          </w:p>
          <w:p w14:paraId="09FCE8D2" w14:textId="77777777" w:rsidR="00393793" w:rsidRPr="006A6886" w:rsidRDefault="00393793" w:rsidP="005C4F4A">
            <w:pPr>
              <w:pStyle w:val="tasblebullet"/>
            </w:pPr>
            <w:r w:rsidRPr="004C7894">
              <w:t>Print management and associated services</w:t>
            </w:r>
          </w:p>
        </w:tc>
      </w:tr>
      <w:tr w:rsidR="00393793" w:rsidRPr="00CC1F98" w14:paraId="154C34E1" w14:textId="77777777" w:rsidTr="005C4F4A">
        <w:trPr>
          <w:trHeight w:val="1483"/>
        </w:trPr>
        <w:tc>
          <w:tcPr>
            <w:tcW w:w="3969" w:type="dxa"/>
            <w:vMerge w:val="restart"/>
            <w:tcBorders>
              <w:bottom w:val="single" w:sz="4" w:space="0" w:color="auto"/>
            </w:tcBorders>
          </w:tcPr>
          <w:p w14:paraId="2D9A8D16" w14:textId="77777777" w:rsidR="00393793" w:rsidRDefault="00393793" w:rsidP="00190BC9">
            <w:pPr>
              <w:pStyle w:val="Normal1"/>
              <w:ind w:left="0"/>
              <w:rPr>
                <w:b/>
                <w:lang w:val="en-US"/>
              </w:rPr>
            </w:pPr>
            <w:bookmarkStart w:id="268" w:name="_Hlk49358620"/>
            <w:r w:rsidRPr="0051388F">
              <w:rPr>
                <w:b/>
                <w:lang w:val="en-US"/>
              </w:rPr>
              <w:t>Highlights</w:t>
            </w:r>
          </w:p>
          <w:p w14:paraId="1D234FB3" w14:textId="7DBE9647" w:rsidR="00393793" w:rsidRPr="005161C3" w:rsidRDefault="00393793" w:rsidP="005C4F4A">
            <w:pPr>
              <w:pStyle w:val="tasblebullet"/>
            </w:pPr>
            <w:bookmarkStart w:id="269" w:name="_Hlk49359223"/>
            <w:r>
              <w:t>I</w:t>
            </w:r>
            <w:r w:rsidRPr="005161C3">
              <w:t>mplemented the Oracle Cloud finance system, which has improved reporting and strengthened oversight of procurement process and spend.</w:t>
            </w:r>
          </w:p>
          <w:p w14:paraId="5F4658B4" w14:textId="4D2916D6" w:rsidR="00393793" w:rsidRPr="00C27C0C" w:rsidRDefault="00393793" w:rsidP="005C4F4A">
            <w:pPr>
              <w:pStyle w:val="tasblebullet"/>
              <w:rPr>
                <w:sz w:val="24"/>
                <w:szCs w:val="24"/>
              </w:rPr>
            </w:pPr>
            <w:r>
              <w:t>R</w:t>
            </w:r>
            <w:r w:rsidRPr="005161C3">
              <w:t xml:space="preserve">eleased </w:t>
            </w:r>
            <w:r>
              <w:t>u</w:t>
            </w:r>
            <w:r w:rsidRPr="005161C3">
              <w:t>pdated contract management guidance to the department.</w:t>
            </w:r>
          </w:p>
          <w:p w14:paraId="081C5A04" w14:textId="3C5DE65C" w:rsidR="00070D6E" w:rsidRPr="00C27C0C" w:rsidRDefault="0052525D" w:rsidP="005C4F4A">
            <w:pPr>
              <w:pStyle w:val="tasblebullet"/>
              <w:rPr>
                <w:sz w:val="24"/>
                <w:szCs w:val="24"/>
              </w:rPr>
            </w:pPr>
            <w:r>
              <w:t>I</w:t>
            </w:r>
            <w:r w:rsidR="00087E6D">
              <w:t>ncrease</w:t>
            </w:r>
            <w:r>
              <w:t>d</w:t>
            </w:r>
            <w:r w:rsidR="00087E6D">
              <w:t xml:space="preserve"> both successful and unsuccessful supplier satisfaction</w:t>
            </w:r>
            <w:r w:rsidR="00070D6E">
              <w:t xml:space="preserve"> with results of</w:t>
            </w:r>
            <w:r w:rsidR="00087E6D">
              <w:t xml:space="preserve"> 100</w:t>
            </w:r>
            <w:r>
              <w:t xml:space="preserve"> per cent</w:t>
            </w:r>
            <w:r w:rsidR="00087E6D">
              <w:t xml:space="preserve"> and 55</w:t>
            </w:r>
            <w:r w:rsidR="00AF1EF0">
              <w:t> </w:t>
            </w:r>
            <w:r>
              <w:t>per</w:t>
            </w:r>
            <w:r w:rsidR="00AF1EF0">
              <w:t> </w:t>
            </w:r>
            <w:proofErr w:type="gramStart"/>
            <w:r>
              <w:t>cent</w:t>
            </w:r>
            <w:proofErr w:type="gramEnd"/>
            <w:r w:rsidR="00087E6D">
              <w:t xml:space="preserve"> respectively.</w:t>
            </w:r>
          </w:p>
          <w:p w14:paraId="7635B4BD" w14:textId="05095942" w:rsidR="00087E6D" w:rsidRPr="00C27C0C" w:rsidRDefault="0052525D" w:rsidP="005C4F4A">
            <w:pPr>
              <w:pStyle w:val="tasblebullet"/>
              <w:rPr>
                <w:sz w:val="24"/>
                <w:szCs w:val="24"/>
              </w:rPr>
            </w:pPr>
            <w:r>
              <w:t>C</w:t>
            </w:r>
            <w:r w:rsidR="00070D6E">
              <w:t>ontinued to focus on increasing engagement of social benefit suppliers.</w:t>
            </w:r>
            <w:bookmarkEnd w:id="268"/>
          </w:p>
          <w:p w14:paraId="6EB53D2C" w14:textId="0B190E31" w:rsidR="0076241C" w:rsidRPr="001118E9" w:rsidRDefault="00AF1EF0" w:rsidP="005C4F4A">
            <w:pPr>
              <w:pStyle w:val="tasblebullet"/>
              <w:rPr>
                <w:sz w:val="24"/>
                <w:szCs w:val="24"/>
              </w:rPr>
            </w:pPr>
            <w:r>
              <w:t xml:space="preserve">Drove </w:t>
            </w:r>
            <w:r w:rsidR="0076241C">
              <w:t xml:space="preserve">new and refreshed opportunities for SPCs such as </w:t>
            </w:r>
            <w:r>
              <w:t>b</w:t>
            </w:r>
            <w:r w:rsidR="0076241C">
              <w:t xml:space="preserve">anking and </w:t>
            </w:r>
            <w:r>
              <w:t>f</w:t>
            </w:r>
            <w:r w:rsidR="0076241C">
              <w:t xml:space="preserve">inancial </w:t>
            </w:r>
            <w:r>
              <w:t>s</w:t>
            </w:r>
            <w:r w:rsidR="0076241C">
              <w:t xml:space="preserve">ervices and </w:t>
            </w:r>
            <w:r>
              <w:t>f</w:t>
            </w:r>
            <w:r w:rsidR="0076241C">
              <w:t xml:space="preserve">uel and </w:t>
            </w:r>
            <w:r>
              <w:t>a</w:t>
            </w:r>
            <w:r w:rsidR="0076241C">
              <w:t xml:space="preserve">ssociated </w:t>
            </w:r>
            <w:r>
              <w:t>p</w:t>
            </w:r>
            <w:r w:rsidR="0076241C">
              <w:t xml:space="preserve">roducts. </w:t>
            </w:r>
            <w:bookmarkEnd w:id="269"/>
          </w:p>
        </w:tc>
        <w:tc>
          <w:tcPr>
            <w:tcW w:w="4394" w:type="dxa"/>
            <w:vMerge/>
            <w:tcBorders>
              <w:bottom w:val="single" w:sz="4" w:space="0" w:color="auto"/>
            </w:tcBorders>
          </w:tcPr>
          <w:p w14:paraId="39F8B533" w14:textId="77777777" w:rsidR="00393793" w:rsidRPr="00D962DA" w:rsidRDefault="00393793" w:rsidP="00190BC9">
            <w:pPr>
              <w:pStyle w:val="Normal1"/>
              <w:ind w:left="0"/>
              <w:rPr>
                <w:b/>
              </w:rPr>
            </w:pPr>
          </w:p>
        </w:tc>
      </w:tr>
      <w:tr w:rsidR="00393793" w:rsidRPr="00CC1F98" w14:paraId="7BDD14C7" w14:textId="77777777" w:rsidTr="00190BC9">
        <w:tc>
          <w:tcPr>
            <w:tcW w:w="3969" w:type="dxa"/>
            <w:vMerge/>
          </w:tcPr>
          <w:p w14:paraId="27955CED" w14:textId="77777777" w:rsidR="00393793" w:rsidRDefault="00393793" w:rsidP="00190BC9">
            <w:pPr>
              <w:pStyle w:val="Normal1"/>
              <w:ind w:left="0"/>
            </w:pPr>
          </w:p>
        </w:tc>
        <w:tc>
          <w:tcPr>
            <w:tcW w:w="4394" w:type="dxa"/>
          </w:tcPr>
          <w:p w14:paraId="281ACAFD" w14:textId="77777777" w:rsidR="00393793" w:rsidRDefault="00393793" w:rsidP="00190BC9">
            <w:pPr>
              <w:pStyle w:val="Normal1"/>
              <w:ind w:left="0"/>
              <w:rPr>
                <w:noProof/>
              </w:rPr>
            </w:pPr>
            <w:r w:rsidRPr="001118E9">
              <w:rPr>
                <w:b/>
                <w:bCs/>
                <w:noProof/>
                <w:sz w:val="24"/>
                <w:szCs w:val="24"/>
              </w:rPr>
              <w:t xml:space="preserve">Transactional </w:t>
            </w:r>
            <w:r>
              <w:rPr>
                <w:noProof/>
              </w:rPr>
              <w:t>complexity profile</w:t>
            </w:r>
          </w:p>
          <w:p w14:paraId="26EA0C0D" w14:textId="77777777" w:rsidR="00393793" w:rsidRDefault="00393793" w:rsidP="00190BC9">
            <w:pPr>
              <w:pStyle w:val="Normal1"/>
              <w:ind w:left="0"/>
              <w:rPr>
                <w:noProof/>
              </w:rPr>
            </w:pPr>
            <w:r>
              <w:rPr>
                <w:noProof/>
              </w:rPr>
              <w:drawing>
                <wp:inline distT="0" distB="0" distL="0" distR="0" wp14:anchorId="291E57E2" wp14:editId="15B3BEA6">
                  <wp:extent cx="2475230" cy="2152650"/>
                  <wp:effectExtent l="0" t="0" r="1270" b="0"/>
                  <wp:docPr id="19" name="Chart 19">
                    <a:extLst xmlns:a="http://schemas.openxmlformats.org/drawingml/2006/main">
                      <a:ext uri="{FF2B5EF4-FFF2-40B4-BE49-F238E27FC236}">
                        <a16:creationId xmlns:a16="http://schemas.microsoft.com/office/drawing/2014/main" id="{73906232-450F-43F4-AEA6-1527983E59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393793" w:rsidRPr="00CC1F98" w14:paraId="1BE5F680" w14:textId="77777777" w:rsidTr="00190BC9">
        <w:tc>
          <w:tcPr>
            <w:tcW w:w="8363" w:type="dxa"/>
            <w:gridSpan w:val="2"/>
          </w:tcPr>
          <w:p w14:paraId="6B731020" w14:textId="77777777" w:rsidR="00393793" w:rsidRPr="006A6886" w:rsidRDefault="00393793" w:rsidP="00190BC9">
            <w:pPr>
              <w:rPr>
                <w:rFonts w:ascii="Calibri" w:hAnsi="Calibri" w:cs="Calibri"/>
                <w:sz w:val="22"/>
                <w:szCs w:val="22"/>
                <w:lang w:val="en-US"/>
              </w:rPr>
            </w:pPr>
            <w:r w:rsidRPr="008943D7">
              <w:rPr>
                <w:rFonts w:ascii="Calibri" w:hAnsi="Calibri" w:cs="Calibri"/>
                <w:b/>
                <w:bCs/>
                <w:sz w:val="22"/>
                <w:szCs w:val="22"/>
                <w:lang w:val="en-US"/>
              </w:rPr>
              <w:t>AO:</w:t>
            </w:r>
            <w:r w:rsidRPr="006A6886">
              <w:rPr>
                <w:rFonts w:ascii="Calibri" w:hAnsi="Calibri" w:cs="Calibri"/>
                <w:sz w:val="22"/>
                <w:szCs w:val="22"/>
                <w:lang w:val="en-US"/>
              </w:rPr>
              <w:t xml:space="preserve"> David Martine, Secretary</w:t>
            </w:r>
          </w:p>
          <w:p w14:paraId="383E82F4" w14:textId="77777777" w:rsidR="00393793" w:rsidRPr="005E5585" w:rsidRDefault="00393793" w:rsidP="00190BC9">
            <w:pPr>
              <w:spacing w:before="40" w:after="40"/>
              <w:rPr>
                <w:rFonts w:ascii="Calibri" w:hAnsi="Calibri" w:cs="Calibri"/>
                <w:sz w:val="22"/>
                <w:szCs w:val="22"/>
                <w:lang w:val="en-US"/>
              </w:rPr>
            </w:pPr>
            <w:r w:rsidRPr="008943D7">
              <w:rPr>
                <w:rFonts w:ascii="Calibri" w:hAnsi="Calibri" w:cs="Calibri"/>
                <w:b/>
                <w:bCs/>
                <w:sz w:val="22"/>
                <w:szCs w:val="22"/>
                <w:lang w:val="en-US"/>
              </w:rPr>
              <w:t>CPO:</w:t>
            </w:r>
            <w:r w:rsidRPr="005E5585">
              <w:rPr>
                <w:rFonts w:ascii="Calibri" w:hAnsi="Calibri" w:cs="Calibri"/>
                <w:sz w:val="22"/>
                <w:szCs w:val="22"/>
                <w:lang w:val="en-US"/>
              </w:rPr>
              <w:t xml:space="preserve"> </w:t>
            </w:r>
            <w:r w:rsidRPr="006A6886">
              <w:rPr>
                <w:rFonts w:ascii="Calibri" w:hAnsi="Calibri" w:cs="Calibri"/>
                <w:sz w:val="22"/>
                <w:szCs w:val="22"/>
                <w:lang w:val="en-US"/>
              </w:rPr>
              <w:t xml:space="preserve">Steven Harris, CPO, </w:t>
            </w:r>
            <w:r w:rsidRPr="005161C3">
              <w:rPr>
                <w:rFonts w:ascii="Calibri" w:hAnsi="Calibri" w:cs="Calibri"/>
                <w:sz w:val="22"/>
                <w:szCs w:val="22"/>
                <w:lang w:val="en-US"/>
              </w:rPr>
              <w:t>Strategic Sourcing Group, Corporate and Government Services Division</w:t>
            </w:r>
          </w:p>
          <w:p w14:paraId="513290B3" w14:textId="77777777" w:rsidR="00393793" w:rsidRPr="006A6886" w:rsidRDefault="00393793" w:rsidP="00190BC9">
            <w:pPr>
              <w:spacing w:before="40" w:after="40"/>
              <w:rPr>
                <w:rFonts w:ascii="Calibri" w:hAnsi="Calibri" w:cs="Calibri"/>
                <w:sz w:val="22"/>
                <w:szCs w:val="22"/>
                <w:lang w:val="en-US"/>
              </w:rPr>
            </w:pPr>
            <w:r w:rsidRPr="008943D7">
              <w:rPr>
                <w:rFonts w:ascii="Calibri" w:hAnsi="Calibri" w:cs="Calibri"/>
                <w:b/>
                <w:bCs/>
                <w:sz w:val="22"/>
                <w:szCs w:val="22"/>
                <w:lang w:val="en-US"/>
              </w:rPr>
              <w:t>IPU Chair:</w:t>
            </w:r>
            <w:r w:rsidRPr="005E5585">
              <w:rPr>
                <w:rFonts w:ascii="Calibri" w:hAnsi="Calibri" w:cs="Calibri"/>
                <w:sz w:val="22"/>
                <w:szCs w:val="22"/>
                <w:lang w:val="en-US"/>
              </w:rPr>
              <w:t xml:space="preserve"> </w:t>
            </w:r>
            <w:r w:rsidRPr="00057C4A">
              <w:rPr>
                <w:rFonts w:ascii="Calibri" w:hAnsi="Calibri" w:cs="Calibri"/>
                <w:sz w:val="22"/>
                <w:szCs w:val="22"/>
                <w:lang w:val="en-US"/>
              </w:rPr>
              <w:t xml:space="preserve">Andrew </w:t>
            </w:r>
            <w:proofErr w:type="spellStart"/>
            <w:r w:rsidRPr="00057C4A">
              <w:rPr>
                <w:rFonts w:ascii="Calibri" w:hAnsi="Calibri" w:cs="Calibri"/>
                <w:sz w:val="22"/>
                <w:szCs w:val="22"/>
                <w:lang w:val="en-US"/>
              </w:rPr>
              <w:t>Witchard</w:t>
            </w:r>
            <w:proofErr w:type="spellEnd"/>
            <w:r>
              <w:rPr>
                <w:rFonts w:ascii="Calibri" w:hAnsi="Calibri" w:cs="Calibri"/>
                <w:sz w:val="22"/>
                <w:szCs w:val="22"/>
                <w:lang w:val="en-US"/>
              </w:rPr>
              <w:t xml:space="preserve">, </w:t>
            </w:r>
            <w:r w:rsidRPr="00057C4A">
              <w:rPr>
                <w:rFonts w:ascii="Calibri" w:hAnsi="Calibri" w:cs="Calibri"/>
                <w:sz w:val="22"/>
                <w:szCs w:val="22"/>
                <w:lang w:val="en-US"/>
              </w:rPr>
              <w:t>Executive Director</w:t>
            </w:r>
            <w:r>
              <w:rPr>
                <w:rFonts w:ascii="Calibri" w:hAnsi="Calibri" w:cs="Calibri"/>
                <w:sz w:val="22"/>
                <w:szCs w:val="22"/>
                <w:lang w:val="en-US"/>
              </w:rPr>
              <w:t xml:space="preserve">, </w:t>
            </w:r>
            <w:r w:rsidRPr="00057C4A">
              <w:rPr>
                <w:rFonts w:ascii="Calibri" w:hAnsi="Calibri" w:cs="Calibri"/>
                <w:sz w:val="22"/>
                <w:szCs w:val="22"/>
                <w:lang w:val="en-US"/>
              </w:rPr>
              <w:t>Revenue Group, Economic Division</w:t>
            </w:r>
          </w:p>
        </w:tc>
      </w:tr>
    </w:tbl>
    <w:p w14:paraId="602E4D50" w14:textId="77777777" w:rsidR="00393793" w:rsidRDefault="00393793" w:rsidP="00393793">
      <w:pPr>
        <w:pStyle w:val="Normal1"/>
      </w:pPr>
      <w:r>
        <w:t>* Contracts valued at $100 000 or more.</w:t>
      </w:r>
    </w:p>
    <w:p w14:paraId="6B58D478" w14:textId="357F7704" w:rsidR="00393793" w:rsidRDefault="00393793" w:rsidP="00393793">
      <w:pPr>
        <w:pStyle w:val="Heading3NoNum"/>
      </w:pPr>
      <w:r>
        <w:br w:type="page"/>
      </w:r>
      <w:r w:rsidRPr="00CD6245">
        <w:lastRenderedPageBreak/>
        <w:t>Performance</w:t>
      </w:r>
    </w:p>
    <w:p w14:paraId="7605ABF7" w14:textId="55EDFD82" w:rsidR="002B208A" w:rsidRPr="00D83543" w:rsidRDefault="002B208A" w:rsidP="00D83543">
      <w:pPr>
        <w:pStyle w:val="Normal1"/>
        <w:rPr>
          <w:lang w:eastAsia="en-US"/>
        </w:rPr>
      </w:pPr>
      <w:r w:rsidRPr="002B208A">
        <w:rPr>
          <w:lang w:eastAsia="en-US"/>
        </w:rPr>
        <w:t>DTF has maintained a focus on strong procurement process and controls this year while adapting to working</w:t>
      </w:r>
      <w:r>
        <w:rPr>
          <w:lang w:eastAsia="en-US"/>
        </w:rPr>
        <w:t xml:space="preserve"> </w:t>
      </w:r>
      <w:r w:rsidRPr="002B208A">
        <w:rPr>
          <w:lang w:eastAsia="en-US"/>
        </w:rPr>
        <w:t>from</w:t>
      </w:r>
      <w:r>
        <w:rPr>
          <w:lang w:eastAsia="en-US"/>
        </w:rPr>
        <w:t xml:space="preserve"> </w:t>
      </w:r>
      <w:r w:rsidRPr="002B208A">
        <w:rPr>
          <w:lang w:eastAsia="en-US"/>
        </w:rPr>
        <w:t xml:space="preserve">home. </w:t>
      </w:r>
      <w:r w:rsidR="00B15BF7">
        <w:rPr>
          <w:lang w:eastAsia="en-US"/>
        </w:rPr>
        <w:t>DTF</w:t>
      </w:r>
      <w:r w:rsidRPr="002B208A">
        <w:rPr>
          <w:lang w:eastAsia="en-US"/>
        </w:rPr>
        <w:t xml:space="preserve"> continue</w:t>
      </w:r>
      <w:r>
        <w:rPr>
          <w:lang w:eastAsia="en-US"/>
        </w:rPr>
        <w:t>d</w:t>
      </w:r>
      <w:r w:rsidRPr="002B208A">
        <w:rPr>
          <w:lang w:eastAsia="en-US"/>
        </w:rPr>
        <w:t xml:space="preserve"> to create value from its procurement activity, and managed</w:t>
      </w:r>
      <w:r>
        <w:rPr>
          <w:lang w:eastAsia="en-US"/>
        </w:rPr>
        <w:t xml:space="preserve"> well</w:t>
      </w:r>
      <w:r w:rsidRPr="002B208A">
        <w:rPr>
          <w:lang w:eastAsia="en-US"/>
        </w:rPr>
        <w:t xml:space="preserve"> the vast majority of its spend by volume. DTF continues to build its overall capability and suppliers express</w:t>
      </w:r>
      <w:r>
        <w:rPr>
          <w:lang w:eastAsia="en-US"/>
        </w:rPr>
        <w:t>ed</w:t>
      </w:r>
      <w:r w:rsidRPr="002B208A">
        <w:rPr>
          <w:lang w:eastAsia="en-US"/>
        </w:rPr>
        <w:t xml:space="preserve"> satisfaction with </w:t>
      </w:r>
      <w:r>
        <w:rPr>
          <w:lang w:eastAsia="en-US"/>
        </w:rPr>
        <w:t>DTF’s</w:t>
      </w:r>
      <w:r w:rsidRPr="002B208A">
        <w:rPr>
          <w:lang w:eastAsia="en-US"/>
        </w:rPr>
        <w:t xml:space="preserve"> processes. </w:t>
      </w:r>
      <w:r>
        <w:rPr>
          <w:lang w:eastAsia="en-US"/>
        </w:rPr>
        <w:t>P</w:t>
      </w:r>
      <w:r w:rsidRPr="002B208A">
        <w:rPr>
          <w:lang w:eastAsia="en-US"/>
        </w:rPr>
        <w:t xml:space="preserve">lanned procurement is increasing as a proportion of total procurement which adds to the controls in place and transparency of the </w:t>
      </w:r>
      <w:r>
        <w:rPr>
          <w:lang w:eastAsia="en-US"/>
        </w:rPr>
        <w:t>d</w:t>
      </w:r>
      <w:r w:rsidRPr="002B208A">
        <w:rPr>
          <w:lang w:eastAsia="en-US"/>
        </w:rPr>
        <w:t>epartment’s annual activity.</w:t>
      </w:r>
    </w:p>
    <w:p w14:paraId="49DBFAB3" w14:textId="569311E2" w:rsidR="00393793" w:rsidRPr="00CD6245" w:rsidRDefault="00393793" w:rsidP="00393793">
      <w:pPr>
        <w:pStyle w:val="Normal1"/>
      </w:pPr>
      <w:r>
        <w:fldChar w:fldCharType="begin"/>
      </w:r>
      <w:r>
        <w:instrText xml:space="preserve"> REF _Ref489543160 \h </w:instrText>
      </w:r>
      <w:r>
        <w:fldChar w:fldCharType="separate"/>
      </w:r>
      <w:r w:rsidR="00152B74" w:rsidRPr="00CD6245">
        <w:t xml:space="preserve">Table </w:t>
      </w:r>
      <w:r w:rsidR="00152B74">
        <w:rPr>
          <w:noProof/>
        </w:rPr>
        <w:t>33</w:t>
      </w:r>
      <w:r>
        <w:fldChar w:fldCharType="end"/>
      </w:r>
      <w:r w:rsidRPr="00CD6245">
        <w:t xml:space="preserve"> </w:t>
      </w:r>
      <w:r>
        <w:t>sets out DTF’s performance in 2019–20, compared with the two previous years.</w:t>
      </w:r>
    </w:p>
    <w:p w14:paraId="172D8FA7" w14:textId="28B4CA22" w:rsidR="00393793" w:rsidRDefault="00393793" w:rsidP="00393793">
      <w:pPr>
        <w:pStyle w:val="Caption"/>
      </w:pPr>
      <w:bookmarkStart w:id="270" w:name="_Ref489543160"/>
      <w:bookmarkStart w:id="271" w:name="_Toc503949271"/>
      <w:bookmarkStart w:id="272" w:name="_Toc12717997"/>
      <w:bookmarkStart w:id="273" w:name="_Toc17130219"/>
      <w:bookmarkStart w:id="274" w:name="_Toc48837166"/>
      <w:bookmarkStart w:id="275" w:name="_Toc49185556"/>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33</w:t>
      </w:r>
      <w:r>
        <w:rPr>
          <w:noProof/>
        </w:rPr>
        <w:fldChar w:fldCharType="end"/>
      </w:r>
      <w:bookmarkEnd w:id="270"/>
      <w:r w:rsidRPr="00CD6245">
        <w:t xml:space="preserve">: </w:t>
      </w:r>
      <w:r>
        <w:t>DTF</w:t>
      </w:r>
      <w:r w:rsidRPr="00CD6245">
        <w:t xml:space="preserve"> performance in </w:t>
      </w:r>
      <w:bookmarkEnd w:id="271"/>
      <w:r>
        <w:t>2019–20</w:t>
      </w:r>
      <w:bookmarkEnd w:id="272"/>
      <w:bookmarkEnd w:id="273"/>
      <w:bookmarkEnd w:id="274"/>
      <w:bookmarkEnd w:id="275"/>
    </w:p>
    <w:tbl>
      <w:tblPr>
        <w:tblStyle w:val="TableGrid1"/>
        <w:tblW w:w="8651" w:type="dxa"/>
        <w:tblInd w:w="704" w:type="dxa"/>
        <w:tblLook w:val="04A0" w:firstRow="1" w:lastRow="0" w:firstColumn="1" w:lastColumn="0" w:noHBand="0" w:noVBand="1"/>
      </w:tblPr>
      <w:tblGrid>
        <w:gridCol w:w="3119"/>
        <w:gridCol w:w="2268"/>
        <w:gridCol w:w="1134"/>
        <w:gridCol w:w="1134"/>
        <w:gridCol w:w="996"/>
      </w:tblGrid>
      <w:tr w:rsidR="00393793" w:rsidRPr="00DA1E79" w14:paraId="2E03FB92" w14:textId="77777777" w:rsidTr="006C30F6">
        <w:tc>
          <w:tcPr>
            <w:tcW w:w="5387" w:type="dxa"/>
            <w:gridSpan w:val="2"/>
            <w:vMerge w:val="restart"/>
          </w:tcPr>
          <w:p w14:paraId="49ECBF5A" w14:textId="77777777" w:rsidR="00393793" w:rsidRPr="00DA1E79" w:rsidRDefault="00393793" w:rsidP="005C4F4A">
            <w:pPr>
              <w:pStyle w:val="TableHeader"/>
            </w:pPr>
            <w:r w:rsidRPr="00DA1E79">
              <w:t>Performance measure</w:t>
            </w:r>
          </w:p>
        </w:tc>
        <w:tc>
          <w:tcPr>
            <w:tcW w:w="1134" w:type="dxa"/>
          </w:tcPr>
          <w:p w14:paraId="1A75B6B1" w14:textId="77777777" w:rsidR="00393793" w:rsidRPr="00DA1E79" w:rsidRDefault="00393793" w:rsidP="005C4F4A">
            <w:pPr>
              <w:pStyle w:val="TableHeader"/>
            </w:pPr>
            <w:r w:rsidRPr="00DA1E79">
              <w:t xml:space="preserve">2017–18 </w:t>
            </w:r>
          </w:p>
        </w:tc>
        <w:tc>
          <w:tcPr>
            <w:tcW w:w="1134" w:type="dxa"/>
          </w:tcPr>
          <w:p w14:paraId="30EE535B" w14:textId="77777777" w:rsidR="00393793" w:rsidRPr="00DA1E79" w:rsidRDefault="00393793" w:rsidP="005C4F4A">
            <w:pPr>
              <w:pStyle w:val="TableHeader"/>
            </w:pPr>
            <w:r w:rsidRPr="00DA1E79">
              <w:t>2018–19</w:t>
            </w:r>
          </w:p>
        </w:tc>
        <w:tc>
          <w:tcPr>
            <w:tcW w:w="996" w:type="dxa"/>
          </w:tcPr>
          <w:p w14:paraId="4200A698" w14:textId="77777777" w:rsidR="00393793" w:rsidRPr="00DA1E79" w:rsidRDefault="00393793" w:rsidP="005C4F4A">
            <w:pPr>
              <w:pStyle w:val="TableHeader"/>
            </w:pPr>
            <w:r w:rsidRPr="00DA1E79">
              <w:t>2019–20</w:t>
            </w:r>
          </w:p>
        </w:tc>
      </w:tr>
      <w:tr w:rsidR="00393793" w:rsidRPr="00DA1E79" w14:paraId="3329F0C2" w14:textId="77777777" w:rsidTr="006C30F6">
        <w:tc>
          <w:tcPr>
            <w:tcW w:w="5387" w:type="dxa"/>
            <w:gridSpan w:val="2"/>
            <w:vMerge/>
          </w:tcPr>
          <w:p w14:paraId="69D6EE85" w14:textId="77777777" w:rsidR="00393793" w:rsidRPr="00DA1E79" w:rsidRDefault="00393793" w:rsidP="005C4F4A">
            <w:pPr>
              <w:pStyle w:val="TableHeader"/>
            </w:pPr>
          </w:p>
        </w:tc>
        <w:tc>
          <w:tcPr>
            <w:tcW w:w="3264" w:type="dxa"/>
            <w:gridSpan w:val="3"/>
          </w:tcPr>
          <w:p w14:paraId="75896664" w14:textId="77777777" w:rsidR="00393793" w:rsidRPr="00DA1E79" w:rsidRDefault="00393793" w:rsidP="005C4F4A">
            <w:pPr>
              <w:pStyle w:val="TableHeader"/>
            </w:pPr>
            <w:r w:rsidRPr="00DA1E79">
              <w:t>(%)</w:t>
            </w:r>
          </w:p>
        </w:tc>
      </w:tr>
      <w:tr w:rsidR="00393793" w:rsidRPr="005C4F4A" w14:paraId="6537583E" w14:textId="77777777" w:rsidTr="006C30F6">
        <w:tc>
          <w:tcPr>
            <w:tcW w:w="5387" w:type="dxa"/>
            <w:gridSpan w:val="2"/>
          </w:tcPr>
          <w:p w14:paraId="6B0601A4" w14:textId="77777777" w:rsidR="00393793" w:rsidRPr="005C4F4A" w:rsidRDefault="00393793" w:rsidP="000B20B5">
            <w:pPr>
              <w:pStyle w:val="TableText"/>
              <w:rPr>
                <w:rStyle w:val="Strong"/>
              </w:rPr>
            </w:pPr>
            <w:r w:rsidRPr="005C4F4A">
              <w:rPr>
                <w:rStyle w:val="Strong"/>
              </w:rPr>
              <w:t>Value created from department procurement activity</w:t>
            </w:r>
          </w:p>
        </w:tc>
        <w:tc>
          <w:tcPr>
            <w:tcW w:w="1134" w:type="dxa"/>
          </w:tcPr>
          <w:p w14:paraId="6079CF23" w14:textId="77777777" w:rsidR="00393793" w:rsidRPr="005C4F4A" w:rsidRDefault="00393793" w:rsidP="000B20B5">
            <w:pPr>
              <w:pStyle w:val="TableText"/>
              <w:rPr>
                <w:rStyle w:val="Strong"/>
              </w:rPr>
            </w:pPr>
            <w:r w:rsidRPr="005C4F4A">
              <w:rPr>
                <w:rStyle w:val="Strong"/>
              </w:rPr>
              <w:t>24.3</w:t>
            </w:r>
          </w:p>
        </w:tc>
        <w:tc>
          <w:tcPr>
            <w:tcW w:w="1134" w:type="dxa"/>
          </w:tcPr>
          <w:p w14:paraId="3C0C548C" w14:textId="77777777" w:rsidR="00393793" w:rsidRPr="005C4F4A" w:rsidRDefault="00393793" w:rsidP="000B20B5">
            <w:pPr>
              <w:pStyle w:val="TableText"/>
              <w:rPr>
                <w:rStyle w:val="Strong"/>
              </w:rPr>
            </w:pPr>
            <w:r w:rsidRPr="005C4F4A">
              <w:rPr>
                <w:rStyle w:val="Strong"/>
              </w:rPr>
              <w:t>37.2</w:t>
            </w:r>
          </w:p>
        </w:tc>
        <w:tc>
          <w:tcPr>
            <w:tcW w:w="996" w:type="dxa"/>
          </w:tcPr>
          <w:p w14:paraId="401448BD" w14:textId="77777777" w:rsidR="00393793" w:rsidRPr="005C4F4A" w:rsidRDefault="00393793" w:rsidP="000B20B5">
            <w:pPr>
              <w:pStyle w:val="TableText"/>
              <w:rPr>
                <w:rStyle w:val="Strong"/>
              </w:rPr>
            </w:pPr>
            <w:r w:rsidRPr="005C4F4A">
              <w:rPr>
                <w:rStyle w:val="Strong"/>
              </w:rPr>
              <w:t>11.9</w:t>
            </w:r>
          </w:p>
        </w:tc>
      </w:tr>
      <w:tr w:rsidR="00393793" w:rsidRPr="005F2BDA" w14:paraId="3CE913E8" w14:textId="77777777" w:rsidTr="00986CA0">
        <w:tc>
          <w:tcPr>
            <w:tcW w:w="8651" w:type="dxa"/>
            <w:gridSpan w:val="5"/>
          </w:tcPr>
          <w:p w14:paraId="17413DB5" w14:textId="77777777" w:rsidR="00393793" w:rsidRPr="005F2BDA" w:rsidRDefault="00393793" w:rsidP="000B20B5">
            <w:pPr>
              <w:pStyle w:val="TableText"/>
            </w:pPr>
            <w:r>
              <w:t xml:space="preserve">Value created was lower this year due to fewer significant (non-SPC) procurements, but still shows that DTF achieved value by driving competitive processes. </w:t>
            </w:r>
          </w:p>
        </w:tc>
      </w:tr>
      <w:tr w:rsidR="001D2ACD" w:rsidRPr="005C4F4A" w14:paraId="239D6210" w14:textId="77777777" w:rsidTr="00436BFB">
        <w:tc>
          <w:tcPr>
            <w:tcW w:w="5387" w:type="dxa"/>
            <w:gridSpan w:val="2"/>
          </w:tcPr>
          <w:p w14:paraId="54AD8C3D" w14:textId="77777777" w:rsidR="001D2ACD" w:rsidRPr="005C4F4A" w:rsidRDefault="001D2ACD" w:rsidP="000B20B5">
            <w:pPr>
              <w:pStyle w:val="TableText"/>
              <w:rPr>
                <w:rStyle w:val="Strong"/>
              </w:rPr>
            </w:pPr>
            <w:r w:rsidRPr="005C4F4A">
              <w:rPr>
                <w:rStyle w:val="Strong"/>
              </w:rPr>
              <w:t>Managed spend</w:t>
            </w:r>
          </w:p>
        </w:tc>
        <w:tc>
          <w:tcPr>
            <w:tcW w:w="1134" w:type="dxa"/>
            <w:shd w:val="clear" w:color="auto" w:fill="FFFFFF" w:themeFill="background1"/>
          </w:tcPr>
          <w:p w14:paraId="20E9DBA6" w14:textId="16572106" w:rsidR="001D2ACD" w:rsidRPr="005C4F4A" w:rsidRDefault="001D2ACD" w:rsidP="000B20B5">
            <w:pPr>
              <w:pStyle w:val="TableText"/>
              <w:rPr>
                <w:rStyle w:val="Strong"/>
              </w:rPr>
            </w:pPr>
            <w:r w:rsidRPr="005C4F4A">
              <w:rPr>
                <w:rStyle w:val="Strong"/>
              </w:rPr>
              <w:t>n/a</w:t>
            </w:r>
          </w:p>
        </w:tc>
        <w:tc>
          <w:tcPr>
            <w:tcW w:w="1134" w:type="dxa"/>
            <w:shd w:val="clear" w:color="auto" w:fill="FFFFFF" w:themeFill="background1"/>
          </w:tcPr>
          <w:p w14:paraId="469C40D4" w14:textId="6F450BB4" w:rsidR="001D2ACD" w:rsidRPr="005C4F4A" w:rsidRDefault="001D2ACD" w:rsidP="000B20B5">
            <w:pPr>
              <w:pStyle w:val="TableText"/>
              <w:rPr>
                <w:rStyle w:val="Strong"/>
              </w:rPr>
            </w:pPr>
            <w:r w:rsidRPr="005C4F4A">
              <w:rPr>
                <w:rStyle w:val="Strong"/>
              </w:rPr>
              <w:t>n/a</w:t>
            </w:r>
          </w:p>
        </w:tc>
        <w:tc>
          <w:tcPr>
            <w:tcW w:w="996" w:type="dxa"/>
          </w:tcPr>
          <w:p w14:paraId="736FD077" w14:textId="33B4ADE2" w:rsidR="001D2ACD" w:rsidRPr="005C4F4A" w:rsidRDefault="001D2ACD" w:rsidP="000B20B5">
            <w:pPr>
              <w:pStyle w:val="TableText"/>
              <w:rPr>
                <w:rStyle w:val="Strong"/>
              </w:rPr>
            </w:pPr>
            <w:r w:rsidRPr="005C4F4A">
              <w:rPr>
                <w:rStyle w:val="Strong"/>
              </w:rPr>
              <w:t>97.6</w:t>
            </w:r>
          </w:p>
        </w:tc>
      </w:tr>
      <w:tr w:rsidR="00393793" w:rsidRPr="00505378" w14:paraId="76C246AF" w14:textId="77777777" w:rsidTr="00986CA0">
        <w:tc>
          <w:tcPr>
            <w:tcW w:w="8651" w:type="dxa"/>
            <w:gridSpan w:val="5"/>
          </w:tcPr>
          <w:p w14:paraId="67C7CAF7" w14:textId="4DC11739" w:rsidR="00393793" w:rsidRPr="00C000FB" w:rsidRDefault="002B208A" w:rsidP="000B20B5">
            <w:pPr>
              <w:pStyle w:val="TableText"/>
            </w:pPr>
            <w:r>
              <w:t xml:space="preserve">DTF’s procurement function reviews or carries out the majority of the department’s goods and services procurement. </w:t>
            </w:r>
          </w:p>
        </w:tc>
      </w:tr>
      <w:tr w:rsidR="00393793" w:rsidRPr="005C4F4A" w14:paraId="1E5B2B7C" w14:textId="77777777" w:rsidTr="006C30F6">
        <w:tc>
          <w:tcPr>
            <w:tcW w:w="5387" w:type="dxa"/>
            <w:gridSpan w:val="2"/>
          </w:tcPr>
          <w:p w14:paraId="161EA96E" w14:textId="77777777" w:rsidR="00393793" w:rsidRPr="005C4F4A" w:rsidRDefault="00393793" w:rsidP="000B20B5">
            <w:pPr>
              <w:pStyle w:val="TableText"/>
              <w:rPr>
                <w:rStyle w:val="Strong"/>
              </w:rPr>
            </w:pPr>
            <w:r w:rsidRPr="005C4F4A">
              <w:rPr>
                <w:rStyle w:val="Strong"/>
              </w:rPr>
              <w:t>Increase in procurement capability</w:t>
            </w:r>
          </w:p>
        </w:tc>
        <w:tc>
          <w:tcPr>
            <w:tcW w:w="1134" w:type="dxa"/>
          </w:tcPr>
          <w:p w14:paraId="31568C32" w14:textId="059EAD9A" w:rsidR="00393793" w:rsidRPr="005C4F4A" w:rsidRDefault="00146183" w:rsidP="000B20B5">
            <w:pPr>
              <w:pStyle w:val="TableText"/>
              <w:rPr>
                <w:rStyle w:val="Strong"/>
              </w:rPr>
            </w:pPr>
            <w:r w:rsidRPr="005C4F4A">
              <w:rPr>
                <w:rStyle w:val="Strong"/>
              </w:rPr>
              <w:t>−</w:t>
            </w:r>
            <w:r w:rsidR="00393793" w:rsidRPr="005C4F4A">
              <w:rPr>
                <w:rStyle w:val="Strong"/>
              </w:rPr>
              <w:t>4.3</w:t>
            </w:r>
          </w:p>
        </w:tc>
        <w:tc>
          <w:tcPr>
            <w:tcW w:w="1134" w:type="dxa"/>
          </w:tcPr>
          <w:p w14:paraId="604D2C95" w14:textId="77777777" w:rsidR="00393793" w:rsidRPr="005C4F4A" w:rsidRDefault="00393793" w:rsidP="000B20B5">
            <w:pPr>
              <w:pStyle w:val="TableText"/>
              <w:rPr>
                <w:rStyle w:val="Strong"/>
              </w:rPr>
            </w:pPr>
            <w:r w:rsidRPr="005C4F4A">
              <w:rPr>
                <w:rStyle w:val="Strong"/>
              </w:rPr>
              <w:t>6.0</w:t>
            </w:r>
          </w:p>
        </w:tc>
        <w:tc>
          <w:tcPr>
            <w:tcW w:w="996" w:type="dxa"/>
          </w:tcPr>
          <w:p w14:paraId="0BB448D8" w14:textId="77777777" w:rsidR="00393793" w:rsidRPr="005C4F4A" w:rsidRDefault="00393793" w:rsidP="000B20B5">
            <w:pPr>
              <w:pStyle w:val="TableText"/>
              <w:rPr>
                <w:rStyle w:val="Strong"/>
              </w:rPr>
            </w:pPr>
            <w:r w:rsidRPr="005C4F4A">
              <w:rPr>
                <w:rStyle w:val="Strong"/>
              </w:rPr>
              <w:t>3.4</w:t>
            </w:r>
          </w:p>
        </w:tc>
      </w:tr>
      <w:tr w:rsidR="00393793" w:rsidRPr="00505378" w14:paraId="57B4E0FC" w14:textId="77777777" w:rsidTr="00986CA0">
        <w:tc>
          <w:tcPr>
            <w:tcW w:w="8651" w:type="dxa"/>
            <w:gridSpan w:val="5"/>
          </w:tcPr>
          <w:p w14:paraId="2AA0038C" w14:textId="30A5E99F" w:rsidR="00393793" w:rsidRPr="00C000FB" w:rsidRDefault="00393793" w:rsidP="000B20B5">
            <w:pPr>
              <w:pStyle w:val="TableText"/>
            </w:pPr>
            <w:r>
              <w:t xml:space="preserve">Capability increased from 117 to 121 out of 150. DTF </w:t>
            </w:r>
            <w:r w:rsidRPr="008826ED">
              <w:t xml:space="preserve">worked to support </w:t>
            </w:r>
            <w:r>
              <w:t xml:space="preserve">the transfer of Invest Victoria </w:t>
            </w:r>
            <w:r w:rsidRPr="008826ED">
              <w:t>into DTF's procurement responsibilities.</w:t>
            </w:r>
            <w:r w:rsidR="00006CE6">
              <w:t xml:space="preserve"> </w:t>
            </w:r>
            <w:r w:rsidR="00006CE6" w:rsidRPr="00006CE6">
              <w:t>DTF recognises that its capability is in line with its procurement profile with room for continuous improvement.</w:t>
            </w:r>
          </w:p>
        </w:tc>
      </w:tr>
      <w:tr w:rsidR="00393793" w:rsidRPr="005C4F4A" w14:paraId="136726A4" w14:textId="77777777" w:rsidTr="006C30F6">
        <w:tc>
          <w:tcPr>
            <w:tcW w:w="3119" w:type="dxa"/>
            <w:vMerge w:val="restart"/>
          </w:tcPr>
          <w:p w14:paraId="5127F631" w14:textId="77777777" w:rsidR="00393793" w:rsidRPr="005C4F4A" w:rsidRDefault="00393793" w:rsidP="000B20B5">
            <w:pPr>
              <w:pStyle w:val="TableText"/>
              <w:rPr>
                <w:rStyle w:val="Strong"/>
              </w:rPr>
            </w:pPr>
            <w:r w:rsidRPr="005C4F4A">
              <w:rPr>
                <w:rStyle w:val="Strong"/>
              </w:rPr>
              <w:t>Supplier satisfaction assessment</w:t>
            </w:r>
          </w:p>
        </w:tc>
        <w:tc>
          <w:tcPr>
            <w:tcW w:w="2268" w:type="dxa"/>
          </w:tcPr>
          <w:p w14:paraId="051C9D0E" w14:textId="77777777" w:rsidR="00393793" w:rsidRPr="005C4F4A" w:rsidRDefault="00393793" w:rsidP="000B20B5">
            <w:pPr>
              <w:pStyle w:val="TableText"/>
              <w:rPr>
                <w:rStyle w:val="Strong"/>
              </w:rPr>
            </w:pPr>
            <w:r w:rsidRPr="005C4F4A">
              <w:rPr>
                <w:rStyle w:val="Strong"/>
              </w:rPr>
              <w:t>Successful satisfied</w:t>
            </w:r>
          </w:p>
        </w:tc>
        <w:tc>
          <w:tcPr>
            <w:tcW w:w="1134" w:type="dxa"/>
          </w:tcPr>
          <w:p w14:paraId="35C1E11A" w14:textId="77777777" w:rsidR="00393793" w:rsidRPr="005C4F4A" w:rsidRDefault="00393793" w:rsidP="000B20B5">
            <w:pPr>
              <w:pStyle w:val="TableText"/>
              <w:rPr>
                <w:rStyle w:val="Strong"/>
              </w:rPr>
            </w:pPr>
            <w:r w:rsidRPr="005C4F4A">
              <w:rPr>
                <w:rStyle w:val="Strong"/>
              </w:rPr>
              <w:t>91</w:t>
            </w:r>
          </w:p>
        </w:tc>
        <w:tc>
          <w:tcPr>
            <w:tcW w:w="1134" w:type="dxa"/>
          </w:tcPr>
          <w:p w14:paraId="69E57311" w14:textId="77777777" w:rsidR="00393793" w:rsidRPr="005C4F4A" w:rsidRDefault="00393793" w:rsidP="000B20B5">
            <w:pPr>
              <w:pStyle w:val="TableText"/>
              <w:rPr>
                <w:rStyle w:val="Strong"/>
              </w:rPr>
            </w:pPr>
            <w:r w:rsidRPr="005C4F4A">
              <w:rPr>
                <w:rStyle w:val="Strong"/>
              </w:rPr>
              <w:t>90</w:t>
            </w:r>
          </w:p>
        </w:tc>
        <w:tc>
          <w:tcPr>
            <w:tcW w:w="996" w:type="dxa"/>
          </w:tcPr>
          <w:p w14:paraId="227C3E1A" w14:textId="77777777" w:rsidR="00393793" w:rsidRPr="005C4F4A" w:rsidRDefault="00393793" w:rsidP="000B20B5">
            <w:pPr>
              <w:pStyle w:val="TableText"/>
              <w:rPr>
                <w:rStyle w:val="Strong"/>
              </w:rPr>
            </w:pPr>
            <w:r w:rsidRPr="005C4F4A">
              <w:rPr>
                <w:rStyle w:val="Strong"/>
              </w:rPr>
              <w:t>100</w:t>
            </w:r>
          </w:p>
        </w:tc>
      </w:tr>
      <w:tr w:rsidR="00393793" w:rsidRPr="005C4F4A" w14:paraId="7FFA1D33" w14:textId="77777777" w:rsidTr="006C30F6">
        <w:tc>
          <w:tcPr>
            <w:tcW w:w="3119" w:type="dxa"/>
            <w:vMerge/>
          </w:tcPr>
          <w:p w14:paraId="77422815" w14:textId="77777777" w:rsidR="00393793" w:rsidRPr="005C4F4A" w:rsidRDefault="00393793" w:rsidP="000B20B5">
            <w:pPr>
              <w:pStyle w:val="TableText"/>
              <w:rPr>
                <w:rStyle w:val="Strong"/>
              </w:rPr>
            </w:pPr>
          </w:p>
        </w:tc>
        <w:tc>
          <w:tcPr>
            <w:tcW w:w="2268" w:type="dxa"/>
          </w:tcPr>
          <w:p w14:paraId="4008AAE9" w14:textId="77777777" w:rsidR="00393793" w:rsidRPr="005C4F4A" w:rsidRDefault="00393793" w:rsidP="000B20B5">
            <w:pPr>
              <w:pStyle w:val="TableText"/>
              <w:rPr>
                <w:rStyle w:val="Strong"/>
              </w:rPr>
            </w:pPr>
            <w:r w:rsidRPr="005C4F4A">
              <w:rPr>
                <w:rStyle w:val="Strong"/>
              </w:rPr>
              <w:t>Unsuccessful satisfied</w:t>
            </w:r>
          </w:p>
        </w:tc>
        <w:tc>
          <w:tcPr>
            <w:tcW w:w="1134" w:type="dxa"/>
          </w:tcPr>
          <w:p w14:paraId="27917B19" w14:textId="77777777" w:rsidR="00393793" w:rsidRPr="005C4F4A" w:rsidRDefault="00393793" w:rsidP="000B20B5">
            <w:pPr>
              <w:pStyle w:val="TableText"/>
              <w:rPr>
                <w:rStyle w:val="Strong"/>
              </w:rPr>
            </w:pPr>
            <w:r w:rsidRPr="005C4F4A">
              <w:rPr>
                <w:rStyle w:val="Strong"/>
              </w:rPr>
              <w:t>36</w:t>
            </w:r>
          </w:p>
        </w:tc>
        <w:tc>
          <w:tcPr>
            <w:tcW w:w="1134" w:type="dxa"/>
          </w:tcPr>
          <w:p w14:paraId="132C2861" w14:textId="77777777" w:rsidR="00393793" w:rsidRPr="005C4F4A" w:rsidRDefault="00393793" w:rsidP="000B20B5">
            <w:pPr>
              <w:pStyle w:val="TableText"/>
              <w:rPr>
                <w:rStyle w:val="Strong"/>
              </w:rPr>
            </w:pPr>
            <w:r w:rsidRPr="005C4F4A">
              <w:rPr>
                <w:rStyle w:val="Strong"/>
              </w:rPr>
              <w:t>46</w:t>
            </w:r>
          </w:p>
        </w:tc>
        <w:tc>
          <w:tcPr>
            <w:tcW w:w="996" w:type="dxa"/>
          </w:tcPr>
          <w:p w14:paraId="2015D0DB" w14:textId="77777777" w:rsidR="00393793" w:rsidRPr="005C4F4A" w:rsidRDefault="00393793" w:rsidP="000B20B5">
            <w:pPr>
              <w:pStyle w:val="TableText"/>
              <w:rPr>
                <w:rStyle w:val="Strong"/>
              </w:rPr>
            </w:pPr>
            <w:r w:rsidRPr="005C4F4A">
              <w:rPr>
                <w:rStyle w:val="Strong"/>
              </w:rPr>
              <w:t>55</w:t>
            </w:r>
          </w:p>
        </w:tc>
      </w:tr>
      <w:tr w:rsidR="00393793" w:rsidRPr="00505378" w14:paraId="4568CC19" w14:textId="77777777" w:rsidTr="00986CA0">
        <w:tc>
          <w:tcPr>
            <w:tcW w:w="8651" w:type="dxa"/>
            <w:gridSpan w:val="5"/>
          </w:tcPr>
          <w:p w14:paraId="393F1DD8" w14:textId="77777777" w:rsidR="00393793" w:rsidRPr="00C000FB" w:rsidRDefault="00393793" w:rsidP="000B20B5">
            <w:pPr>
              <w:pStyle w:val="TableText"/>
            </w:pPr>
            <w:r w:rsidRPr="008826ED">
              <w:t>Improvements are attributable to an increased focus on providing useful feedback to suppliers.</w:t>
            </w:r>
          </w:p>
        </w:tc>
      </w:tr>
      <w:tr w:rsidR="00393793" w:rsidRPr="005C4F4A" w14:paraId="398491BF" w14:textId="77777777" w:rsidTr="006C30F6">
        <w:tc>
          <w:tcPr>
            <w:tcW w:w="5387" w:type="dxa"/>
            <w:gridSpan w:val="2"/>
          </w:tcPr>
          <w:p w14:paraId="606AB2BF" w14:textId="77777777" w:rsidR="00393793" w:rsidRPr="005C4F4A" w:rsidRDefault="00393793" w:rsidP="000B20B5">
            <w:pPr>
              <w:pStyle w:val="TableText"/>
              <w:rPr>
                <w:rStyle w:val="Strong"/>
              </w:rPr>
            </w:pPr>
            <w:r w:rsidRPr="005C4F4A">
              <w:rPr>
                <w:rStyle w:val="Strong"/>
              </w:rPr>
              <w:t>Planned procurement activity as a % of actual procurement activity</w:t>
            </w:r>
          </w:p>
        </w:tc>
        <w:tc>
          <w:tcPr>
            <w:tcW w:w="1134" w:type="dxa"/>
          </w:tcPr>
          <w:p w14:paraId="78583727" w14:textId="77777777" w:rsidR="00393793" w:rsidRPr="005C4F4A" w:rsidRDefault="00393793" w:rsidP="000B20B5">
            <w:pPr>
              <w:pStyle w:val="TableText"/>
              <w:rPr>
                <w:rStyle w:val="Strong"/>
              </w:rPr>
            </w:pPr>
            <w:r w:rsidRPr="005C4F4A">
              <w:rPr>
                <w:rStyle w:val="Strong"/>
              </w:rPr>
              <w:t>47.2</w:t>
            </w:r>
          </w:p>
        </w:tc>
        <w:tc>
          <w:tcPr>
            <w:tcW w:w="1134" w:type="dxa"/>
          </w:tcPr>
          <w:p w14:paraId="6B48D757" w14:textId="77777777" w:rsidR="00393793" w:rsidRPr="005C4F4A" w:rsidRDefault="00393793" w:rsidP="000B20B5">
            <w:pPr>
              <w:pStyle w:val="TableText"/>
              <w:rPr>
                <w:rStyle w:val="Strong"/>
              </w:rPr>
            </w:pPr>
            <w:r w:rsidRPr="005C4F4A">
              <w:rPr>
                <w:rStyle w:val="Strong"/>
              </w:rPr>
              <w:t>56.5</w:t>
            </w:r>
          </w:p>
        </w:tc>
        <w:tc>
          <w:tcPr>
            <w:tcW w:w="996" w:type="dxa"/>
          </w:tcPr>
          <w:p w14:paraId="647A0E54" w14:textId="77777777" w:rsidR="00393793" w:rsidRPr="005C4F4A" w:rsidRDefault="00393793" w:rsidP="000B20B5">
            <w:pPr>
              <w:pStyle w:val="TableText"/>
              <w:rPr>
                <w:rStyle w:val="Strong"/>
              </w:rPr>
            </w:pPr>
            <w:r w:rsidRPr="005C4F4A">
              <w:rPr>
                <w:rStyle w:val="Strong"/>
              </w:rPr>
              <w:t>59.1</w:t>
            </w:r>
          </w:p>
        </w:tc>
      </w:tr>
      <w:tr w:rsidR="00393793" w:rsidRPr="006C6059" w14:paraId="54C718B4" w14:textId="77777777" w:rsidTr="00986CA0">
        <w:trPr>
          <w:trHeight w:val="221"/>
        </w:trPr>
        <w:tc>
          <w:tcPr>
            <w:tcW w:w="8651" w:type="dxa"/>
            <w:gridSpan w:val="5"/>
          </w:tcPr>
          <w:p w14:paraId="2DD80F13" w14:textId="77777777" w:rsidR="00393793" w:rsidRPr="005F2BDA" w:rsidRDefault="00393793" w:rsidP="000B20B5">
            <w:pPr>
              <w:pStyle w:val="TableText"/>
            </w:pPr>
            <w:r w:rsidRPr="008826ED">
              <w:t>DTF actively works with procuring teams to plan in advance</w:t>
            </w:r>
            <w:r>
              <w:t xml:space="preserve"> and t</w:t>
            </w:r>
            <w:r w:rsidRPr="008826ED">
              <w:t>he rate of planned procurement activity is broadly consistent with previous years.</w:t>
            </w:r>
          </w:p>
        </w:tc>
      </w:tr>
      <w:bookmarkEnd w:id="266"/>
    </w:tbl>
    <w:p w14:paraId="750B9232" w14:textId="77777777" w:rsidR="00393793" w:rsidRPr="004E7CDE" w:rsidRDefault="00393793" w:rsidP="00393793"/>
    <w:p w14:paraId="57F47C14" w14:textId="77777777" w:rsidR="00393793" w:rsidRDefault="00393793" w:rsidP="00393793">
      <w:pPr>
        <w:pStyle w:val="Tablenotes"/>
      </w:pPr>
    </w:p>
    <w:p w14:paraId="5948E51A" w14:textId="77777777" w:rsidR="00393793" w:rsidRPr="006C6059" w:rsidRDefault="00393793" w:rsidP="00393793">
      <w:pPr>
        <w:pStyle w:val="Tablenotes"/>
        <w:rPr>
          <w:lang w:val="en-US"/>
        </w:rPr>
      </w:pPr>
    </w:p>
    <w:p w14:paraId="5C8A0E7B" w14:textId="77777777" w:rsidR="00393793" w:rsidRPr="000D687E" w:rsidRDefault="00393793" w:rsidP="00393793">
      <w:pPr>
        <w:rPr>
          <w:lang w:eastAsia="en-US"/>
        </w:rPr>
      </w:pPr>
    </w:p>
    <w:p w14:paraId="375A5E13" w14:textId="77777777" w:rsidR="00393793" w:rsidRDefault="00393793" w:rsidP="00393793"/>
    <w:p w14:paraId="20D7CD21" w14:textId="77777777" w:rsidR="00393793" w:rsidRDefault="00393793" w:rsidP="00393793">
      <w:pPr>
        <w:spacing w:after="160" w:line="259" w:lineRule="auto"/>
        <w:rPr>
          <w:rFonts w:ascii="Calibri" w:hAnsi="Calibri" w:cs="Calibri"/>
          <w:b/>
          <w:color w:val="4D4D4D"/>
          <w:kern w:val="28"/>
          <w:sz w:val="26"/>
          <w:szCs w:val="22"/>
          <w:lang w:eastAsia="en-US"/>
        </w:rPr>
      </w:pPr>
    </w:p>
    <w:p w14:paraId="11E536BE" w14:textId="77777777" w:rsidR="00393793" w:rsidRPr="005A0ECB" w:rsidRDefault="00393793" w:rsidP="00393793">
      <w:pPr>
        <w:rPr>
          <w:lang w:eastAsia="en-US"/>
        </w:rPr>
      </w:pPr>
    </w:p>
    <w:p w14:paraId="2171E301" w14:textId="77777777" w:rsidR="00393793" w:rsidRDefault="00393793" w:rsidP="00393793"/>
    <w:p w14:paraId="6E8A96DD" w14:textId="77777777" w:rsidR="004E7CDE" w:rsidRPr="004E7CDE" w:rsidRDefault="004E7CDE" w:rsidP="004E7CDE"/>
    <w:p w14:paraId="418AB3FE" w14:textId="77777777" w:rsidR="005A0ECB" w:rsidRDefault="005A0ECB" w:rsidP="00D30E1B">
      <w:pPr>
        <w:pStyle w:val="Tablenotes"/>
      </w:pPr>
    </w:p>
    <w:p w14:paraId="53B26517" w14:textId="77777777" w:rsidR="005A0ECB" w:rsidRPr="006C6059" w:rsidRDefault="005A0ECB" w:rsidP="00D30E1B">
      <w:pPr>
        <w:pStyle w:val="Tablenotes"/>
        <w:rPr>
          <w:lang w:val="en-US"/>
        </w:rPr>
      </w:pPr>
    </w:p>
    <w:p w14:paraId="7DDCF699" w14:textId="77777777" w:rsidR="005A0ECB" w:rsidRPr="000D687E" w:rsidRDefault="005A0ECB" w:rsidP="005A0ECB">
      <w:pPr>
        <w:rPr>
          <w:lang w:eastAsia="en-US"/>
        </w:rPr>
      </w:pPr>
    </w:p>
    <w:p w14:paraId="20ED4438" w14:textId="77777777" w:rsidR="005A0ECB" w:rsidRDefault="005A0ECB" w:rsidP="005A0ECB"/>
    <w:bookmarkEnd w:id="267"/>
    <w:p w14:paraId="495EDCE7" w14:textId="77777777" w:rsidR="005A0ECB" w:rsidRDefault="005A0ECB" w:rsidP="005A0ECB">
      <w:pPr>
        <w:spacing w:after="160" w:line="259" w:lineRule="auto"/>
        <w:rPr>
          <w:rFonts w:ascii="Calibri" w:hAnsi="Calibri" w:cs="Calibri"/>
          <w:b/>
          <w:color w:val="4D4D4D"/>
          <w:kern w:val="28"/>
          <w:sz w:val="26"/>
          <w:szCs w:val="22"/>
          <w:lang w:eastAsia="en-US"/>
        </w:rPr>
      </w:pPr>
    </w:p>
    <w:p w14:paraId="574D6B79" w14:textId="77777777" w:rsidR="005A0ECB" w:rsidRPr="005A0ECB" w:rsidRDefault="005A0ECB" w:rsidP="005A0ECB">
      <w:pPr>
        <w:rPr>
          <w:lang w:eastAsia="en-US"/>
        </w:rPr>
      </w:pPr>
    </w:p>
    <w:p w14:paraId="5020EDD4" w14:textId="77777777" w:rsidR="005A0ECB" w:rsidRDefault="005A0ECB">
      <w:pPr>
        <w:rPr>
          <w:rFonts w:ascii="Calibri" w:hAnsi="Calibri" w:cs="Calibri"/>
          <w:color w:val="4D4D4D"/>
          <w:kern w:val="28"/>
          <w:sz w:val="30"/>
          <w:highlight w:val="cyan"/>
        </w:rPr>
      </w:pPr>
      <w:bookmarkStart w:id="276" w:name="_Toc478646731"/>
      <w:r>
        <w:rPr>
          <w:rFonts w:ascii="Calibri" w:hAnsi="Calibri" w:cs="Calibri"/>
          <w:color w:val="4D4D4D"/>
          <w:kern w:val="28"/>
          <w:sz w:val="30"/>
          <w:highlight w:val="cyan"/>
        </w:rPr>
        <w:br w:type="page"/>
      </w:r>
    </w:p>
    <w:p w14:paraId="612BD740" w14:textId="77777777" w:rsidR="00BB362B" w:rsidRDefault="00BB362B" w:rsidP="00BB362B">
      <w:pPr>
        <w:keepNext/>
        <w:keepLines/>
        <w:widowControl w:val="0"/>
        <w:spacing w:before="280" w:after="120" w:line="216" w:lineRule="auto"/>
        <w:ind w:left="794"/>
        <w:outlineLvl w:val="1"/>
        <w:rPr>
          <w:rFonts w:ascii="Calibri" w:hAnsi="Calibri" w:cs="Calibri"/>
          <w:color w:val="4D4D4D"/>
          <w:kern w:val="28"/>
          <w:sz w:val="30"/>
        </w:rPr>
      </w:pPr>
      <w:bookmarkStart w:id="277" w:name="_Toc52187749"/>
      <w:r w:rsidRPr="00160B30">
        <w:rPr>
          <w:rFonts w:ascii="Calibri" w:hAnsi="Calibri" w:cs="Calibri"/>
          <w:color w:val="4D4D4D"/>
          <w:kern w:val="28"/>
          <w:sz w:val="30"/>
        </w:rPr>
        <w:lastRenderedPageBreak/>
        <w:t>Cenitex</w:t>
      </w:r>
      <w:bookmarkEnd w:id="277"/>
    </w:p>
    <w:p w14:paraId="69ED8BA3" w14:textId="77777777" w:rsidR="00BB362B" w:rsidRDefault="00BB362B" w:rsidP="00BB362B">
      <w:pPr>
        <w:pStyle w:val="Normal1"/>
      </w:pPr>
      <w:bookmarkStart w:id="278" w:name="_Hlk48662477"/>
      <w:r w:rsidRPr="00DF7AD7">
        <w:t>Cen</w:t>
      </w:r>
      <w:r>
        <w:t>it</w:t>
      </w:r>
      <w:r w:rsidRPr="00DF7AD7">
        <w:t xml:space="preserve">ex is an information and communications technology (ICT) shared services agency, providing integrated and reliable ICT infrastructure, application hosting and desktop services for </w:t>
      </w:r>
      <w:r>
        <w:t>Victorian G</w:t>
      </w:r>
      <w:r w:rsidRPr="00DF7AD7">
        <w:t>overnment departments and agencies.</w:t>
      </w:r>
    </w:p>
    <w:bookmarkEnd w:id="278"/>
    <w:p w14:paraId="5912E0CD" w14:textId="77777777" w:rsidR="00BB362B" w:rsidRDefault="00BB362B" w:rsidP="00BB362B">
      <w:pPr>
        <w:pStyle w:val="Heading3NoNum"/>
      </w:pPr>
      <w:r w:rsidRPr="00CD6245">
        <w:t>Procurement profile</w:t>
      </w:r>
      <w:r>
        <w:t xml:space="preserve"> in 2019–20</w:t>
      </w:r>
    </w:p>
    <w:tbl>
      <w:tblPr>
        <w:tblStyle w:val="TableGrid"/>
        <w:tblW w:w="8232" w:type="dxa"/>
        <w:tblInd w:w="846" w:type="dxa"/>
        <w:tblLook w:val="04A0" w:firstRow="1" w:lastRow="0" w:firstColumn="1" w:lastColumn="0" w:noHBand="0" w:noVBand="1"/>
      </w:tblPr>
      <w:tblGrid>
        <w:gridCol w:w="4111"/>
        <w:gridCol w:w="4111"/>
        <w:gridCol w:w="10"/>
      </w:tblGrid>
      <w:tr w:rsidR="00BB362B" w:rsidRPr="00CC1F98" w14:paraId="3D3BE243" w14:textId="77777777" w:rsidTr="005C4F4A">
        <w:trPr>
          <w:gridAfter w:val="1"/>
          <w:wAfter w:w="10" w:type="dxa"/>
        </w:trPr>
        <w:tc>
          <w:tcPr>
            <w:tcW w:w="4111" w:type="dxa"/>
          </w:tcPr>
          <w:p w14:paraId="44470A97" w14:textId="20C14D2B" w:rsidR="00BB362B" w:rsidRPr="0096155E" w:rsidRDefault="00BB362B" w:rsidP="0096155E">
            <w:pPr>
              <w:pStyle w:val="Normal1"/>
              <w:ind w:left="0"/>
              <w:rPr>
                <w:sz w:val="24"/>
                <w:szCs w:val="24"/>
              </w:rPr>
            </w:pPr>
            <w:r w:rsidRPr="0096155E">
              <w:rPr>
                <w:sz w:val="24"/>
                <w:szCs w:val="24"/>
              </w:rPr>
              <w:t>16 one-off supply contract approvals valued at $28.5 million*</w:t>
            </w:r>
          </w:p>
        </w:tc>
        <w:tc>
          <w:tcPr>
            <w:tcW w:w="4111" w:type="dxa"/>
          </w:tcPr>
          <w:p w14:paraId="746E0ED4" w14:textId="77777777" w:rsidR="00BB362B" w:rsidRPr="00CD0C63" w:rsidRDefault="00BB362B" w:rsidP="0096155E">
            <w:pPr>
              <w:pStyle w:val="Normal1"/>
              <w:ind w:left="0"/>
              <w:rPr>
                <w:sz w:val="24"/>
                <w:szCs w:val="24"/>
              </w:rPr>
            </w:pPr>
            <w:r w:rsidRPr="00CD0C63">
              <w:rPr>
                <w:b/>
                <w:bCs/>
                <w:sz w:val="24"/>
                <w:szCs w:val="24"/>
              </w:rPr>
              <w:t>Centre-led</w:t>
            </w:r>
            <w:r w:rsidRPr="00CD0C63">
              <w:rPr>
                <w:sz w:val="24"/>
                <w:szCs w:val="24"/>
                <w:lang w:val="en-US"/>
              </w:rPr>
              <w:t xml:space="preserve"> team of </w:t>
            </w:r>
            <w:r w:rsidRPr="00CD0C63">
              <w:rPr>
                <w:sz w:val="24"/>
                <w:szCs w:val="24"/>
                <w:lang w:val="en-US"/>
              </w:rPr>
              <w:br/>
              <w:t>procurement</w:t>
            </w:r>
            <w:r>
              <w:rPr>
                <w:sz w:val="24"/>
                <w:szCs w:val="24"/>
                <w:lang w:val="en-US"/>
              </w:rPr>
              <w:t xml:space="preserve"> experts</w:t>
            </w:r>
          </w:p>
        </w:tc>
      </w:tr>
      <w:tr w:rsidR="00BB362B" w:rsidRPr="00CC1F98" w14:paraId="68C1344E" w14:textId="77777777" w:rsidTr="005C4F4A">
        <w:trPr>
          <w:gridAfter w:val="1"/>
          <w:wAfter w:w="10" w:type="dxa"/>
        </w:trPr>
        <w:tc>
          <w:tcPr>
            <w:tcW w:w="4111" w:type="dxa"/>
          </w:tcPr>
          <w:p w14:paraId="3D63F8EF" w14:textId="637B0302" w:rsidR="00BB362B" w:rsidRPr="0096155E" w:rsidRDefault="00BB362B" w:rsidP="0096155E">
            <w:pPr>
              <w:pStyle w:val="Normal1"/>
              <w:ind w:left="0"/>
              <w:rPr>
                <w:sz w:val="24"/>
                <w:szCs w:val="24"/>
              </w:rPr>
            </w:pPr>
            <w:r w:rsidRPr="0096155E">
              <w:rPr>
                <w:sz w:val="24"/>
                <w:szCs w:val="24"/>
              </w:rPr>
              <w:t xml:space="preserve">4 critical incident </w:t>
            </w:r>
            <w:r w:rsidR="00C757FF">
              <w:rPr>
                <w:sz w:val="24"/>
                <w:szCs w:val="24"/>
              </w:rPr>
              <w:t xml:space="preserve">contract </w:t>
            </w:r>
            <w:r w:rsidR="009E18ED">
              <w:rPr>
                <w:sz w:val="24"/>
                <w:szCs w:val="24"/>
              </w:rPr>
              <w:t>approvals</w:t>
            </w:r>
            <w:r w:rsidRPr="0096155E">
              <w:rPr>
                <w:sz w:val="24"/>
                <w:szCs w:val="24"/>
              </w:rPr>
              <w:t xml:space="preserve"> valued at $0.4</w:t>
            </w:r>
            <w:r w:rsidR="009E18ED">
              <w:rPr>
                <w:sz w:val="24"/>
                <w:szCs w:val="24"/>
              </w:rPr>
              <w:t> </w:t>
            </w:r>
            <w:r w:rsidRPr="0096155E">
              <w:rPr>
                <w:sz w:val="24"/>
                <w:szCs w:val="24"/>
              </w:rPr>
              <w:t>million</w:t>
            </w:r>
          </w:p>
        </w:tc>
        <w:tc>
          <w:tcPr>
            <w:tcW w:w="4111" w:type="dxa"/>
            <w:vMerge w:val="restart"/>
          </w:tcPr>
          <w:p w14:paraId="3F51C570" w14:textId="77777777" w:rsidR="00BB362B" w:rsidRPr="00CD0C63" w:rsidRDefault="00BB362B" w:rsidP="0096155E">
            <w:pPr>
              <w:pStyle w:val="Normal1"/>
              <w:ind w:left="0"/>
              <w:rPr>
                <w:sz w:val="24"/>
                <w:szCs w:val="24"/>
              </w:rPr>
            </w:pPr>
            <w:r w:rsidRPr="00CD0C63">
              <w:rPr>
                <w:sz w:val="24"/>
                <w:szCs w:val="24"/>
              </w:rPr>
              <w:t xml:space="preserve">Mostly </w:t>
            </w:r>
            <w:r w:rsidRPr="00CD0C63">
              <w:rPr>
                <w:b/>
                <w:bCs/>
                <w:sz w:val="24"/>
                <w:szCs w:val="24"/>
              </w:rPr>
              <w:t>transactional</w:t>
            </w:r>
            <w:r w:rsidRPr="00CD0C63">
              <w:rPr>
                <w:sz w:val="24"/>
                <w:szCs w:val="24"/>
              </w:rPr>
              <w:t xml:space="preserve"> and </w:t>
            </w:r>
            <w:r w:rsidRPr="00CD0C63">
              <w:rPr>
                <w:b/>
                <w:bCs/>
                <w:sz w:val="24"/>
                <w:szCs w:val="24"/>
              </w:rPr>
              <w:t xml:space="preserve">leveraged procurement </w:t>
            </w:r>
            <w:r w:rsidRPr="00CD0C63">
              <w:rPr>
                <w:sz w:val="24"/>
                <w:szCs w:val="24"/>
              </w:rPr>
              <w:t>profile</w:t>
            </w:r>
          </w:p>
          <w:p w14:paraId="3F1020A5" w14:textId="77777777" w:rsidR="00BB362B" w:rsidRPr="00CD0C63" w:rsidRDefault="00BB362B" w:rsidP="0096155E">
            <w:pPr>
              <w:pStyle w:val="Normal1"/>
              <w:ind w:left="0"/>
              <w:rPr>
                <w:b/>
                <w:bCs/>
                <w:sz w:val="24"/>
                <w:szCs w:val="24"/>
              </w:rPr>
            </w:pPr>
            <w:r>
              <w:rPr>
                <w:noProof/>
              </w:rPr>
              <w:drawing>
                <wp:inline distT="0" distB="0" distL="0" distR="0" wp14:anchorId="029E0FE1" wp14:editId="6CF88627">
                  <wp:extent cx="2390775" cy="1809750"/>
                  <wp:effectExtent l="0" t="0" r="9525" b="0"/>
                  <wp:docPr id="9" name="Chart 9">
                    <a:extLst xmlns:a="http://schemas.openxmlformats.org/drawingml/2006/main">
                      <a:ext uri="{FF2B5EF4-FFF2-40B4-BE49-F238E27FC236}">
                        <a16:creationId xmlns:a16="http://schemas.microsoft.com/office/drawing/2014/main" id="{873E379F-450E-429B-9BD8-60B0B5FD2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BB362B" w:rsidRPr="00CC1F98" w14:paraId="7755AFEC" w14:textId="77777777" w:rsidTr="005C4F4A">
        <w:trPr>
          <w:gridAfter w:val="1"/>
          <w:wAfter w:w="10" w:type="dxa"/>
        </w:trPr>
        <w:tc>
          <w:tcPr>
            <w:tcW w:w="4111" w:type="dxa"/>
          </w:tcPr>
          <w:p w14:paraId="5700706C" w14:textId="2B3DDE71" w:rsidR="00BB362B" w:rsidRPr="0096155E" w:rsidRDefault="00BB362B" w:rsidP="0096155E">
            <w:pPr>
              <w:pStyle w:val="Normal1"/>
              <w:ind w:left="0"/>
              <w:rPr>
                <w:sz w:val="24"/>
                <w:szCs w:val="24"/>
              </w:rPr>
            </w:pPr>
            <w:r w:rsidRPr="0096155E">
              <w:rPr>
                <w:sz w:val="24"/>
                <w:szCs w:val="24"/>
              </w:rPr>
              <w:t>3 SEPC</w:t>
            </w:r>
            <w:r w:rsidR="00C757FF">
              <w:rPr>
                <w:sz w:val="24"/>
                <w:szCs w:val="24"/>
              </w:rPr>
              <w:t xml:space="preserve"> approvals </w:t>
            </w:r>
            <w:r w:rsidRPr="0096155E">
              <w:rPr>
                <w:sz w:val="24"/>
                <w:szCs w:val="24"/>
              </w:rPr>
              <w:t>valued at $3.7 million</w:t>
            </w:r>
          </w:p>
        </w:tc>
        <w:tc>
          <w:tcPr>
            <w:tcW w:w="4111" w:type="dxa"/>
            <w:vMerge/>
          </w:tcPr>
          <w:p w14:paraId="46E5C224" w14:textId="77777777" w:rsidR="00BB362B" w:rsidRPr="00CD0C63" w:rsidRDefault="00BB362B" w:rsidP="0096155E">
            <w:pPr>
              <w:pStyle w:val="Normal1"/>
              <w:ind w:left="0"/>
              <w:rPr>
                <w:b/>
                <w:bCs/>
                <w:sz w:val="24"/>
                <w:szCs w:val="24"/>
              </w:rPr>
            </w:pPr>
          </w:p>
        </w:tc>
      </w:tr>
      <w:tr w:rsidR="00BB362B" w:rsidRPr="00CC1F98" w14:paraId="11FC54BA" w14:textId="77777777" w:rsidTr="005C4F4A">
        <w:trPr>
          <w:gridAfter w:val="1"/>
          <w:wAfter w:w="10" w:type="dxa"/>
          <w:trHeight w:val="2539"/>
        </w:trPr>
        <w:tc>
          <w:tcPr>
            <w:tcW w:w="4111" w:type="dxa"/>
            <w:vMerge w:val="restart"/>
          </w:tcPr>
          <w:p w14:paraId="2D4AF090" w14:textId="77777777" w:rsidR="00BB362B" w:rsidRDefault="00BB362B" w:rsidP="0096155E">
            <w:pPr>
              <w:pStyle w:val="Normal1"/>
              <w:ind w:left="0"/>
              <w:rPr>
                <w:b/>
                <w:lang w:val="en-US"/>
              </w:rPr>
            </w:pPr>
            <w:r w:rsidRPr="0051388F">
              <w:rPr>
                <w:b/>
                <w:lang w:val="en-US"/>
              </w:rPr>
              <w:t>Highlights</w:t>
            </w:r>
          </w:p>
          <w:p w14:paraId="2EFB99A8" w14:textId="67A483DB" w:rsidR="00BB362B" w:rsidRDefault="000C3C6C" w:rsidP="005C4F4A">
            <w:pPr>
              <w:pStyle w:val="tasblebullet"/>
              <w:rPr>
                <w:sz w:val="21"/>
                <w:szCs w:val="21"/>
              </w:rPr>
            </w:pPr>
            <w:r>
              <w:rPr>
                <w:sz w:val="21"/>
                <w:szCs w:val="21"/>
              </w:rPr>
              <w:t>I</w:t>
            </w:r>
            <w:r w:rsidR="00BB362B">
              <w:rPr>
                <w:sz w:val="21"/>
                <w:szCs w:val="21"/>
              </w:rPr>
              <w:t xml:space="preserve">mplemented a </w:t>
            </w:r>
            <w:r w:rsidR="00BB362B" w:rsidRPr="00EE5D68">
              <w:t xml:space="preserve">source-to-award system to enable authorised business unit representatives </w:t>
            </w:r>
            <w:r w:rsidR="00BB362B">
              <w:t>to carry out s</w:t>
            </w:r>
            <w:r w:rsidR="00BB362B" w:rsidRPr="00EE5D68">
              <w:t>ome self-service purchasing</w:t>
            </w:r>
            <w:r w:rsidR="00BB362B">
              <w:t>.</w:t>
            </w:r>
          </w:p>
          <w:p w14:paraId="0542979A" w14:textId="4BD6F957" w:rsidR="00BB362B" w:rsidRDefault="000C3C6C" w:rsidP="005C4F4A">
            <w:pPr>
              <w:pStyle w:val="tasblebullet"/>
              <w:rPr>
                <w:sz w:val="21"/>
                <w:szCs w:val="21"/>
              </w:rPr>
            </w:pPr>
            <w:r>
              <w:rPr>
                <w:sz w:val="21"/>
                <w:szCs w:val="21"/>
              </w:rPr>
              <w:t>S</w:t>
            </w:r>
            <w:r w:rsidR="00BB362B">
              <w:rPr>
                <w:sz w:val="21"/>
                <w:szCs w:val="21"/>
              </w:rPr>
              <w:t>tarted delivering a program of works to improve IT security across government.</w:t>
            </w:r>
          </w:p>
          <w:p w14:paraId="66BEB30E" w14:textId="4A2D0AA9" w:rsidR="00BB362B" w:rsidRPr="00A94EFB" w:rsidRDefault="000C3C6C" w:rsidP="005C4F4A">
            <w:pPr>
              <w:pStyle w:val="tasblebullet"/>
              <w:rPr>
                <w:bCs/>
              </w:rPr>
            </w:pPr>
            <w:r>
              <w:rPr>
                <w:sz w:val="21"/>
                <w:szCs w:val="21"/>
              </w:rPr>
              <w:t>U</w:t>
            </w:r>
            <w:r w:rsidR="00BB362B">
              <w:rPr>
                <w:sz w:val="21"/>
                <w:szCs w:val="21"/>
              </w:rPr>
              <w:t xml:space="preserve">plifted the capacity and support of several ICT contract to meet the </w:t>
            </w:r>
            <w:r w:rsidR="003165DA">
              <w:rPr>
                <w:sz w:val="21"/>
                <w:szCs w:val="21"/>
              </w:rPr>
              <w:t>G</w:t>
            </w:r>
            <w:r w:rsidR="00BB362B">
              <w:rPr>
                <w:sz w:val="21"/>
                <w:szCs w:val="21"/>
              </w:rPr>
              <w:t>overnment’s work-from-home requirements.</w:t>
            </w:r>
          </w:p>
          <w:p w14:paraId="3CE7FE32" w14:textId="5030A607" w:rsidR="00BB362B" w:rsidRPr="005455EE" w:rsidRDefault="000C3C6C" w:rsidP="005C4F4A">
            <w:pPr>
              <w:pStyle w:val="tasblebullet"/>
              <w:rPr>
                <w:bCs/>
              </w:rPr>
            </w:pPr>
            <w:r>
              <w:rPr>
                <w:bCs/>
              </w:rPr>
              <w:t>F</w:t>
            </w:r>
            <w:r w:rsidR="00BB362B">
              <w:rPr>
                <w:bCs/>
              </w:rPr>
              <w:t xml:space="preserve">inalised its first social procurement strategy. </w:t>
            </w:r>
          </w:p>
        </w:tc>
        <w:tc>
          <w:tcPr>
            <w:tcW w:w="4111" w:type="dxa"/>
            <w:vMerge/>
          </w:tcPr>
          <w:p w14:paraId="2B0FA366" w14:textId="77777777" w:rsidR="00BB362B" w:rsidRPr="004E7CDE" w:rsidRDefault="00BB362B" w:rsidP="0096155E">
            <w:pPr>
              <w:pStyle w:val="Normal1"/>
              <w:ind w:left="0"/>
            </w:pPr>
          </w:p>
        </w:tc>
      </w:tr>
      <w:tr w:rsidR="00BB362B" w:rsidRPr="00CC1F98" w14:paraId="17A79C80" w14:textId="77777777" w:rsidTr="005C4F4A">
        <w:trPr>
          <w:gridAfter w:val="1"/>
          <w:wAfter w:w="10" w:type="dxa"/>
          <w:trHeight w:val="1839"/>
        </w:trPr>
        <w:tc>
          <w:tcPr>
            <w:tcW w:w="4111" w:type="dxa"/>
            <w:vMerge/>
          </w:tcPr>
          <w:p w14:paraId="184B20CA" w14:textId="77777777" w:rsidR="00BB362B" w:rsidRDefault="00BB362B" w:rsidP="0096155E">
            <w:pPr>
              <w:pStyle w:val="Normal1"/>
              <w:ind w:left="0"/>
            </w:pPr>
          </w:p>
        </w:tc>
        <w:tc>
          <w:tcPr>
            <w:tcW w:w="4111" w:type="dxa"/>
          </w:tcPr>
          <w:p w14:paraId="1535A839" w14:textId="77777777" w:rsidR="00BB362B" w:rsidRPr="00D962DA" w:rsidRDefault="00BB362B" w:rsidP="0096155E">
            <w:pPr>
              <w:pStyle w:val="Normal1"/>
              <w:ind w:left="0"/>
              <w:rPr>
                <w:b/>
              </w:rPr>
            </w:pPr>
            <w:r w:rsidRPr="00D962DA">
              <w:rPr>
                <w:b/>
              </w:rPr>
              <w:t xml:space="preserve">Top categories of </w:t>
            </w:r>
            <w:r>
              <w:rPr>
                <w:b/>
              </w:rPr>
              <w:t>contract approvals</w:t>
            </w:r>
          </w:p>
          <w:p w14:paraId="46834715" w14:textId="77777777" w:rsidR="00BB362B" w:rsidRPr="004C7894" w:rsidRDefault="00BB362B" w:rsidP="005C4F4A">
            <w:pPr>
              <w:pStyle w:val="tasblebullet"/>
            </w:pPr>
            <w:r w:rsidRPr="004C7894">
              <w:t>Software</w:t>
            </w:r>
          </w:p>
          <w:p w14:paraId="354AC932" w14:textId="77777777" w:rsidR="00BB362B" w:rsidRPr="004C7894" w:rsidRDefault="00BB362B" w:rsidP="005C4F4A">
            <w:pPr>
              <w:pStyle w:val="tasblebullet"/>
            </w:pPr>
            <w:r w:rsidRPr="004C7894">
              <w:t>Server/storage equipment and services</w:t>
            </w:r>
          </w:p>
          <w:p w14:paraId="11155178" w14:textId="6DC867FB" w:rsidR="00BB362B" w:rsidRPr="004C7894" w:rsidRDefault="00BB362B" w:rsidP="005C4F4A">
            <w:pPr>
              <w:pStyle w:val="tasblebullet"/>
            </w:pPr>
            <w:r w:rsidRPr="004C7894">
              <w:t xml:space="preserve">Project and professional </w:t>
            </w:r>
            <w:r>
              <w:t>s</w:t>
            </w:r>
            <w:r w:rsidRPr="004C7894">
              <w:t>ervices</w:t>
            </w:r>
          </w:p>
          <w:p w14:paraId="79E314F3" w14:textId="77777777" w:rsidR="00BB362B" w:rsidRPr="005455EE" w:rsidRDefault="00BB362B" w:rsidP="005C4F4A">
            <w:pPr>
              <w:pStyle w:val="tasblebullet"/>
              <w:rPr>
                <w:bCs/>
              </w:rPr>
            </w:pPr>
            <w:r>
              <w:rPr>
                <w:bCs/>
              </w:rPr>
              <w:t>Accommodation services</w:t>
            </w:r>
          </w:p>
        </w:tc>
      </w:tr>
      <w:tr w:rsidR="00BB362B" w:rsidRPr="00CC1F98" w14:paraId="48CFA5C2" w14:textId="77777777" w:rsidTr="005C4F4A">
        <w:tc>
          <w:tcPr>
            <w:tcW w:w="8232" w:type="dxa"/>
            <w:gridSpan w:val="3"/>
          </w:tcPr>
          <w:p w14:paraId="142B9579" w14:textId="77777777" w:rsidR="00BB362B" w:rsidRPr="006A6886" w:rsidRDefault="00BB362B" w:rsidP="0096155E">
            <w:pPr>
              <w:rPr>
                <w:rFonts w:ascii="Calibri" w:hAnsi="Calibri" w:cs="Calibri"/>
                <w:sz w:val="22"/>
                <w:szCs w:val="22"/>
                <w:lang w:val="en-US"/>
              </w:rPr>
            </w:pPr>
            <w:r>
              <w:rPr>
                <w:rFonts w:ascii="Calibri" w:hAnsi="Calibri" w:cs="Calibri"/>
                <w:b/>
                <w:bCs/>
                <w:sz w:val="22"/>
                <w:szCs w:val="22"/>
                <w:lang w:val="en-US"/>
              </w:rPr>
              <w:t>AO</w:t>
            </w:r>
            <w:r w:rsidRPr="00F042AA">
              <w:rPr>
                <w:rFonts w:ascii="Calibri" w:hAnsi="Calibri" w:cs="Calibri"/>
                <w:b/>
                <w:bCs/>
                <w:sz w:val="22"/>
                <w:szCs w:val="22"/>
                <w:lang w:val="en-US"/>
              </w:rPr>
              <w:t>:</w:t>
            </w:r>
            <w:r w:rsidRPr="006A6886">
              <w:rPr>
                <w:rFonts w:ascii="Calibri" w:hAnsi="Calibri" w:cs="Calibri"/>
                <w:sz w:val="22"/>
                <w:szCs w:val="22"/>
                <w:lang w:val="en-US"/>
              </w:rPr>
              <w:t xml:space="preserve"> </w:t>
            </w:r>
            <w:r w:rsidRPr="006055F3">
              <w:rPr>
                <w:rFonts w:ascii="Calibri" w:hAnsi="Calibri" w:cs="Calibri"/>
                <w:sz w:val="22"/>
                <w:szCs w:val="22"/>
                <w:lang w:val="en-US"/>
              </w:rPr>
              <w:t>Frances Cawthra</w:t>
            </w:r>
            <w:r>
              <w:rPr>
                <w:rFonts w:ascii="Calibri" w:hAnsi="Calibri" w:cs="Calibri"/>
                <w:sz w:val="22"/>
                <w:szCs w:val="22"/>
                <w:lang w:val="en-US"/>
              </w:rPr>
              <w:t xml:space="preserve">, </w:t>
            </w:r>
            <w:r w:rsidRPr="00D50B57">
              <w:rPr>
                <w:rFonts w:ascii="Calibri" w:hAnsi="Calibri" w:cs="Calibri"/>
                <w:sz w:val="22"/>
                <w:szCs w:val="22"/>
                <w:lang w:val="en-US"/>
              </w:rPr>
              <w:t xml:space="preserve">Chief Executive </w:t>
            </w:r>
            <w:r>
              <w:rPr>
                <w:rFonts w:ascii="Calibri" w:hAnsi="Calibri" w:cs="Calibri"/>
                <w:sz w:val="22"/>
                <w:szCs w:val="22"/>
                <w:lang w:val="en-US"/>
              </w:rPr>
              <w:t>Officer</w:t>
            </w:r>
          </w:p>
          <w:p w14:paraId="6711F48F" w14:textId="21F94036" w:rsidR="00BB362B" w:rsidRPr="006A6886" w:rsidRDefault="00BB362B" w:rsidP="0096155E">
            <w:pPr>
              <w:spacing w:before="40" w:after="40"/>
              <w:rPr>
                <w:rFonts w:ascii="Calibri" w:hAnsi="Calibri" w:cs="Calibri"/>
                <w:sz w:val="22"/>
                <w:szCs w:val="22"/>
                <w:lang w:val="en-US"/>
              </w:rPr>
            </w:pPr>
            <w:r w:rsidRPr="00F042AA">
              <w:rPr>
                <w:rFonts w:ascii="Calibri" w:hAnsi="Calibri" w:cs="Calibri"/>
                <w:b/>
                <w:bCs/>
                <w:sz w:val="22"/>
                <w:szCs w:val="22"/>
                <w:lang w:val="en-US"/>
              </w:rPr>
              <w:t>CPO:</w:t>
            </w:r>
            <w:r w:rsidRPr="005E5585">
              <w:rPr>
                <w:rFonts w:ascii="Calibri" w:hAnsi="Calibri" w:cs="Calibri"/>
                <w:sz w:val="22"/>
                <w:szCs w:val="22"/>
                <w:lang w:val="en-US"/>
              </w:rPr>
              <w:t xml:space="preserve"> </w:t>
            </w:r>
            <w:r w:rsidRPr="006055F3">
              <w:rPr>
                <w:rFonts w:ascii="Calibri" w:hAnsi="Calibri" w:cs="Calibri"/>
                <w:sz w:val="22"/>
                <w:szCs w:val="22"/>
                <w:lang w:val="en-US"/>
              </w:rPr>
              <w:t>Tim Jones</w:t>
            </w:r>
            <w:r>
              <w:rPr>
                <w:rFonts w:ascii="Calibri" w:hAnsi="Calibri" w:cs="Calibri"/>
                <w:sz w:val="22"/>
                <w:szCs w:val="22"/>
                <w:lang w:val="en-US"/>
              </w:rPr>
              <w:t xml:space="preserve">, </w:t>
            </w:r>
            <w:r w:rsidRPr="00D50B57">
              <w:rPr>
                <w:rFonts w:ascii="Calibri" w:hAnsi="Calibri" w:cs="Calibri"/>
                <w:sz w:val="22"/>
                <w:szCs w:val="22"/>
                <w:lang w:val="en-US"/>
              </w:rPr>
              <w:t>General Manager</w:t>
            </w:r>
            <w:r>
              <w:rPr>
                <w:rFonts w:ascii="Calibri" w:hAnsi="Calibri" w:cs="Calibri"/>
                <w:sz w:val="22"/>
                <w:szCs w:val="22"/>
                <w:lang w:val="en-US"/>
              </w:rPr>
              <w:t xml:space="preserve"> </w:t>
            </w:r>
            <w:r w:rsidRPr="00D50B57">
              <w:rPr>
                <w:rFonts w:ascii="Calibri" w:hAnsi="Calibri" w:cs="Calibri"/>
                <w:sz w:val="22"/>
                <w:szCs w:val="22"/>
                <w:lang w:val="en-US"/>
              </w:rPr>
              <w:t>Procurement</w:t>
            </w:r>
            <w:r>
              <w:rPr>
                <w:rFonts w:ascii="Calibri" w:hAnsi="Calibri" w:cs="Calibri"/>
                <w:sz w:val="22"/>
                <w:szCs w:val="22"/>
                <w:lang w:val="en-US"/>
              </w:rPr>
              <w:t xml:space="preserve">, </w:t>
            </w:r>
            <w:r w:rsidRPr="00D50B57">
              <w:rPr>
                <w:rFonts w:ascii="Calibri" w:hAnsi="Calibri" w:cs="Calibri"/>
                <w:sz w:val="22"/>
                <w:szCs w:val="22"/>
                <w:lang w:val="en-US"/>
              </w:rPr>
              <w:t xml:space="preserve">Finance </w:t>
            </w:r>
            <w:r w:rsidR="00C757FF">
              <w:rPr>
                <w:rFonts w:ascii="Calibri" w:hAnsi="Calibri" w:cs="Calibri"/>
                <w:sz w:val="22"/>
                <w:szCs w:val="22"/>
                <w:lang w:val="en-US"/>
              </w:rPr>
              <w:t>and</w:t>
            </w:r>
            <w:r w:rsidRPr="00D50B57">
              <w:rPr>
                <w:rFonts w:ascii="Calibri" w:hAnsi="Calibri" w:cs="Calibri"/>
                <w:sz w:val="22"/>
                <w:szCs w:val="22"/>
                <w:lang w:val="en-US"/>
              </w:rPr>
              <w:t xml:space="preserve"> Business Services</w:t>
            </w:r>
          </w:p>
          <w:p w14:paraId="36DFF53B" w14:textId="77777777" w:rsidR="00BB362B" w:rsidRPr="006A6886" w:rsidRDefault="00BB362B" w:rsidP="0096155E">
            <w:pPr>
              <w:spacing w:before="40" w:after="40"/>
              <w:rPr>
                <w:rFonts w:ascii="Calibri" w:hAnsi="Calibri" w:cs="Calibri"/>
                <w:sz w:val="22"/>
                <w:szCs w:val="22"/>
                <w:lang w:val="en-US"/>
              </w:rPr>
            </w:pPr>
            <w:r w:rsidRPr="00F042AA">
              <w:rPr>
                <w:rFonts w:ascii="Calibri" w:hAnsi="Calibri" w:cs="Calibri"/>
                <w:b/>
                <w:bCs/>
                <w:sz w:val="22"/>
                <w:szCs w:val="22"/>
                <w:lang w:val="en-US"/>
              </w:rPr>
              <w:t>IPU Chair:</w:t>
            </w:r>
            <w:r w:rsidRPr="005E5585">
              <w:rPr>
                <w:rFonts w:ascii="Calibri" w:hAnsi="Calibri" w:cs="Calibri"/>
                <w:sz w:val="22"/>
                <w:szCs w:val="22"/>
                <w:lang w:val="en-US"/>
              </w:rPr>
              <w:t xml:space="preserve"> </w:t>
            </w:r>
            <w:r w:rsidRPr="006A6886">
              <w:rPr>
                <w:rFonts w:ascii="Calibri" w:hAnsi="Calibri" w:cs="Calibri"/>
                <w:sz w:val="22"/>
                <w:szCs w:val="22"/>
                <w:lang w:val="en-US"/>
              </w:rPr>
              <w:t xml:space="preserve">Sharon Copeland-Smith, </w:t>
            </w:r>
            <w:r>
              <w:rPr>
                <w:rFonts w:ascii="Calibri" w:hAnsi="Calibri" w:cs="Calibri"/>
                <w:sz w:val="22"/>
                <w:szCs w:val="22"/>
                <w:lang w:val="en-US"/>
              </w:rPr>
              <w:t xml:space="preserve">Executive </w:t>
            </w:r>
            <w:r w:rsidRPr="006A6886">
              <w:rPr>
                <w:rFonts w:ascii="Calibri" w:hAnsi="Calibri" w:cs="Calibri"/>
                <w:sz w:val="22"/>
                <w:szCs w:val="22"/>
                <w:lang w:val="en-US"/>
              </w:rPr>
              <w:t>Director, Strategy and Governance</w:t>
            </w:r>
          </w:p>
        </w:tc>
      </w:tr>
    </w:tbl>
    <w:p w14:paraId="6116EEB2" w14:textId="77777777" w:rsidR="00BB362B" w:rsidRDefault="00BB362B" w:rsidP="00BB362B">
      <w:pPr>
        <w:pStyle w:val="Normal1"/>
      </w:pPr>
      <w:r>
        <w:t>* Contracts valued at $100 000 or more.</w:t>
      </w:r>
    </w:p>
    <w:p w14:paraId="47D02018" w14:textId="77777777" w:rsidR="00BB362B" w:rsidRDefault="00BB362B" w:rsidP="00BB362B">
      <w:pPr>
        <w:pStyle w:val="Normal1"/>
      </w:pPr>
    </w:p>
    <w:p w14:paraId="166C151C" w14:textId="77777777" w:rsidR="00BB362B" w:rsidRDefault="00BB362B" w:rsidP="00BB362B">
      <w:pPr>
        <w:rPr>
          <w:rFonts w:ascii="Calibri" w:hAnsi="Calibri" w:cs="Calibri"/>
          <w:b/>
          <w:color w:val="4D4D4D"/>
          <w:kern w:val="28"/>
          <w:sz w:val="26"/>
        </w:rPr>
      </w:pPr>
      <w:r>
        <w:rPr>
          <w:rFonts w:ascii="Calibri" w:hAnsi="Calibri" w:cs="Calibri"/>
          <w:b/>
          <w:color w:val="4D4D4D"/>
          <w:kern w:val="28"/>
          <w:sz w:val="26"/>
        </w:rPr>
        <w:br w:type="page"/>
      </w:r>
    </w:p>
    <w:p w14:paraId="4B728539" w14:textId="77777777" w:rsidR="00BB362B" w:rsidRDefault="00BB362B" w:rsidP="00BB362B">
      <w:pPr>
        <w:keepNext/>
        <w:keepLines/>
        <w:widowControl w:val="0"/>
        <w:spacing w:before="200" w:after="120" w:line="216" w:lineRule="auto"/>
        <w:ind w:left="794"/>
        <w:outlineLvl w:val="2"/>
        <w:rPr>
          <w:rFonts w:ascii="Calibri" w:hAnsi="Calibri" w:cs="Calibri"/>
          <w:b/>
          <w:color w:val="4D4D4D"/>
          <w:kern w:val="28"/>
          <w:sz w:val="26"/>
        </w:rPr>
      </w:pPr>
      <w:r w:rsidRPr="008F30C8">
        <w:rPr>
          <w:rFonts w:ascii="Calibri" w:hAnsi="Calibri" w:cs="Calibri"/>
          <w:b/>
          <w:color w:val="4D4D4D"/>
          <w:kern w:val="28"/>
          <w:sz w:val="26"/>
        </w:rPr>
        <w:lastRenderedPageBreak/>
        <w:t>Performance</w:t>
      </w:r>
    </w:p>
    <w:p w14:paraId="036DC270" w14:textId="5CC9C2A3" w:rsidR="00BB362B" w:rsidRDefault="00BB362B" w:rsidP="00BB362B">
      <w:pPr>
        <w:pStyle w:val="Normal1"/>
      </w:pPr>
      <w:r>
        <w:t>Ce</w:t>
      </w:r>
      <w:r w:rsidRPr="00B77F41">
        <w:t>nitex improve</w:t>
      </w:r>
      <w:r>
        <w:t>d</w:t>
      </w:r>
      <w:r w:rsidRPr="00B77F41">
        <w:t xml:space="preserve"> across all </w:t>
      </w:r>
      <w:r w:rsidR="00842726">
        <w:t xml:space="preserve">performance measures </w:t>
      </w:r>
      <w:r w:rsidRPr="00B77F41">
        <w:t>in 2019</w:t>
      </w:r>
      <w:r>
        <w:t>–</w:t>
      </w:r>
      <w:r w:rsidRPr="00B77F41">
        <w:t xml:space="preserve">20. </w:t>
      </w:r>
      <w:r>
        <w:t xml:space="preserve">Cenitex focused </w:t>
      </w:r>
      <w:r w:rsidRPr="00B77F41">
        <w:t>on continuing improvements in benefits management, engag</w:t>
      </w:r>
      <w:r>
        <w:t xml:space="preserve">ing with stakeholders </w:t>
      </w:r>
      <w:r w:rsidRPr="00B77F41">
        <w:t xml:space="preserve">as a business partner rather than a transactional provider, and </w:t>
      </w:r>
      <w:r>
        <w:t xml:space="preserve">improved </w:t>
      </w:r>
      <w:r w:rsidRPr="00B77F41">
        <w:t xml:space="preserve">forward planning. </w:t>
      </w:r>
      <w:r>
        <w:t>Cenitex also strengthened governance after going through its first VGPB audit.</w:t>
      </w:r>
    </w:p>
    <w:p w14:paraId="446C29B7" w14:textId="11BFB9CC" w:rsidR="00F668A2" w:rsidRPr="008F30C8" w:rsidRDefault="00F668A2" w:rsidP="00BB362B">
      <w:pPr>
        <w:pStyle w:val="Normal1"/>
      </w:pPr>
      <w:r w:rsidRPr="00806C2C">
        <w:fldChar w:fldCharType="begin"/>
      </w:r>
      <w:r w:rsidRPr="00806C2C">
        <w:instrText xml:space="preserve"> REF _Ref519678912 \h  \* MERGEFORMAT </w:instrText>
      </w:r>
      <w:r w:rsidRPr="00806C2C">
        <w:fldChar w:fldCharType="separate"/>
      </w:r>
      <w:r w:rsidR="00152B74" w:rsidRPr="008F30C8">
        <w:t xml:space="preserve">Table </w:t>
      </w:r>
      <w:r w:rsidR="00152B74">
        <w:rPr>
          <w:noProof/>
        </w:rPr>
        <w:t>34</w:t>
      </w:r>
      <w:r w:rsidRPr="00806C2C">
        <w:fldChar w:fldCharType="end"/>
      </w:r>
      <w:r w:rsidRPr="00F668A2">
        <w:t xml:space="preserve"> sets out </w:t>
      </w:r>
      <w:r>
        <w:t>Cenitex</w:t>
      </w:r>
      <w:r w:rsidRPr="00F668A2">
        <w:t>’s performance in 2019–20 compared with the two previous years.</w:t>
      </w:r>
    </w:p>
    <w:p w14:paraId="24C8F74A" w14:textId="21A24C08" w:rsidR="00BB362B" w:rsidRDefault="00BB362B" w:rsidP="00BB362B">
      <w:pPr>
        <w:pStyle w:val="Caption"/>
      </w:pPr>
      <w:bookmarkStart w:id="279" w:name="_Ref519678912"/>
      <w:bookmarkStart w:id="280" w:name="_Toc503949257"/>
      <w:bookmarkStart w:id="281" w:name="_Toc12717998"/>
      <w:bookmarkStart w:id="282" w:name="_Toc17130220"/>
      <w:bookmarkStart w:id="283" w:name="_Toc48837167"/>
      <w:bookmarkStart w:id="284" w:name="_Toc49185557"/>
      <w:r w:rsidRPr="008F30C8">
        <w:t xml:space="preserve">Table </w:t>
      </w:r>
      <w:r w:rsidRPr="008F30C8">
        <w:rPr>
          <w:noProof/>
        </w:rPr>
        <w:fldChar w:fldCharType="begin"/>
      </w:r>
      <w:r w:rsidRPr="008F30C8">
        <w:rPr>
          <w:noProof/>
        </w:rPr>
        <w:instrText xml:space="preserve"> SEQ Table \* ARABIC </w:instrText>
      </w:r>
      <w:r w:rsidRPr="008F30C8">
        <w:rPr>
          <w:noProof/>
        </w:rPr>
        <w:fldChar w:fldCharType="separate"/>
      </w:r>
      <w:r w:rsidR="00152B74">
        <w:rPr>
          <w:noProof/>
        </w:rPr>
        <w:t>34</w:t>
      </w:r>
      <w:r w:rsidRPr="008F30C8">
        <w:rPr>
          <w:noProof/>
        </w:rPr>
        <w:fldChar w:fldCharType="end"/>
      </w:r>
      <w:bookmarkEnd w:id="279"/>
      <w:r w:rsidRPr="008F30C8">
        <w:t xml:space="preserve">: </w:t>
      </w:r>
      <w:r>
        <w:t>Cenitex</w:t>
      </w:r>
      <w:r w:rsidRPr="008F30C8">
        <w:t xml:space="preserve"> performance in </w:t>
      </w:r>
      <w:bookmarkEnd w:id="280"/>
      <w:r>
        <w:t>2019–20</w:t>
      </w:r>
      <w:bookmarkEnd w:id="281"/>
      <w:bookmarkEnd w:id="282"/>
      <w:bookmarkEnd w:id="283"/>
      <w:bookmarkEnd w:id="284"/>
    </w:p>
    <w:tbl>
      <w:tblPr>
        <w:tblStyle w:val="TableGrid1"/>
        <w:tblW w:w="9072" w:type="dxa"/>
        <w:tblInd w:w="704" w:type="dxa"/>
        <w:tblLook w:val="04A0" w:firstRow="1" w:lastRow="0" w:firstColumn="1" w:lastColumn="0" w:noHBand="0" w:noVBand="1"/>
      </w:tblPr>
      <w:tblGrid>
        <w:gridCol w:w="3402"/>
        <w:gridCol w:w="2263"/>
        <w:gridCol w:w="6"/>
        <w:gridCol w:w="1133"/>
        <w:gridCol w:w="1134"/>
        <w:gridCol w:w="1134"/>
      </w:tblGrid>
      <w:tr w:rsidR="00BB362B" w:rsidRPr="00DA1E79" w14:paraId="38B89D7C" w14:textId="77777777" w:rsidTr="0096155E">
        <w:tc>
          <w:tcPr>
            <w:tcW w:w="5671" w:type="dxa"/>
            <w:gridSpan w:val="3"/>
            <w:vMerge w:val="restart"/>
          </w:tcPr>
          <w:p w14:paraId="4CC398FD" w14:textId="77777777" w:rsidR="00BB362B" w:rsidRPr="00DA1E79" w:rsidRDefault="00BB362B" w:rsidP="005C4F4A">
            <w:pPr>
              <w:pStyle w:val="TableHeader"/>
            </w:pPr>
            <w:r w:rsidRPr="00DA1E79">
              <w:t>Performance measure</w:t>
            </w:r>
          </w:p>
        </w:tc>
        <w:tc>
          <w:tcPr>
            <w:tcW w:w="1133" w:type="dxa"/>
          </w:tcPr>
          <w:p w14:paraId="06D10A37" w14:textId="77777777" w:rsidR="00BB362B" w:rsidRPr="00DA1E79" w:rsidRDefault="00BB362B" w:rsidP="005C4F4A">
            <w:pPr>
              <w:pStyle w:val="TableHeader"/>
            </w:pPr>
            <w:r w:rsidRPr="00DA1E79">
              <w:t>2017–18</w:t>
            </w:r>
          </w:p>
        </w:tc>
        <w:tc>
          <w:tcPr>
            <w:tcW w:w="1134" w:type="dxa"/>
          </w:tcPr>
          <w:p w14:paraId="1C818D77" w14:textId="77777777" w:rsidR="00BB362B" w:rsidRPr="00DA1E79" w:rsidRDefault="00BB362B" w:rsidP="005C4F4A">
            <w:pPr>
              <w:pStyle w:val="TableHeader"/>
            </w:pPr>
            <w:r w:rsidRPr="00DA1E79">
              <w:t>2018–19</w:t>
            </w:r>
          </w:p>
        </w:tc>
        <w:tc>
          <w:tcPr>
            <w:tcW w:w="1134" w:type="dxa"/>
          </w:tcPr>
          <w:p w14:paraId="311CCB86" w14:textId="77777777" w:rsidR="00BB362B" w:rsidRPr="00DA1E79" w:rsidRDefault="00BB362B" w:rsidP="005C4F4A">
            <w:pPr>
              <w:pStyle w:val="TableHeader"/>
            </w:pPr>
            <w:r w:rsidRPr="00DA1E79">
              <w:t>2019–20</w:t>
            </w:r>
          </w:p>
        </w:tc>
      </w:tr>
      <w:tr w:rsidR="00BB362B" w:rsidRPr="00DA1E79" w14:paraId="382C7BCE" w14:textId="77777777" w:rsidTr="0096155E">
        <w:tc>
          <w:tcPr>
            <w:tcW w:w="5671" w:type="dxa"/>
            <w:gridSpan w:val="3"/>
            <w:vMerge/>
          </w:tcPr>
          <w:p w14:paraId="1D7E74AB" w14:textId="77777777" w:rsidR="00BB362B" w:rsidRPr="00DA1E79" w:rsidRDefault="00BB362B" w:rsidP="005C4F4A">
            <w:pPr>
              <w:pStyle w:val="TableHeader"/>
            </w:pPr>
          </w:p>
        </w:tc>
        <w:tc>
          <w:tcPr>
            <w:tcW w:w="3401" w:type="dxa"/>
            <w:gridSpan w:val="3"/>
          </w:tcPr>
          <w:p w14:paraId="174E76B3" w14:textId="77777777" w:rsidR="00BB362B" w:rsidRPr="00DA1E79" w:rsidRDefault="00BB362B" w:rsidP="005C4F4A">
            <w:pPr>
              <w:pStyle w:val="TableHeader"/>
            </w:pPr>
            <w:r w:rsidRPr="00DA1E79">
              <w:t>(%)</w:t>
            </w:r>
          </w:p>
        </w:tc>
      </w:tr>
      <w:tr w:rsidR="00BB362B" w:rsidRPr="005C4F4A" w14:paraId="7D2D0455" w14:textId="77777777" w:rsidTr="0096155E">
        <w:tc>
          <w:tcPr>
            <w:tcW w:w="5671" w:type="dxa"/>
            <w:gridSpan w:val="3"/>
          </w:tcPr>
          <w:p w14:paraId="1D967251" w14:textId="77777777" w:rsidR="00BB362B" w:rsidRPr="005C4F4A" w:rsidRDefault="00BB362B" w:rsidP="000B20B5">
            <w:pPr>
              <w:pStyle w:val="TableText"/>
              <w:rPr>
                <w:rStyle w:val="Strong"/>
              </w:rPr>
            </w:pPr>
            <w:r w:rsidRPr="005C4F4A">
              <w:rPr>
                <w:rStyle w:val="Strong"/>
              </w:rPr>
              <w:t>Value created from department procurement activity</w:t>
            </w:r>
          </w:p>
        </w:tc>
        <w:tc>
          <w:tcPr>
            <w:tcW w:w="1133" w:type="dxa"/>
          </w:tcPr>
          <w:p w14:paraId="2FAC5728" w14:textId="77777777" w:rsidR="00BB362B" w:rsidRPr="005C4F4A" w:rsidRDefault="00BB362B" w:rsidP="000B20B5">
            <w:pPr>
              <w:pStyle w:val="TableText"/>
              <w:rPr>
                <w:rStyle w:val="Strong"/>
              </w:rPr>
            </w:pPr>
            <w:r w:rsidRPr="005C4F4A">
              <w:rPr>
                <w:rStyle w:val="Strong"/>
              </w:rPr>
              <w:t>6.9</w:t>
            </w:r>
          </w:p>
        </w:tc>
        <w:tc>
          <w:tcPr>
            <w:tcW w:w="1134" w:type="dxa"/>
          </w:tcPr>
          <w:p w14:paraId="0198692F" w14:textId="77777777" w:rsidR="00BB362B" w:rsidRPr="005C4F4A" w:rsidRDefault="00BB362B" w:rsidP="000B20B5">
            <w:pPr>
              <w:pStyle w:val="TableText"/>
              <w:rPr>
                <w:rStyle w:val="Strong"/>
              </w:rPr>
            </w:pPr>
            <w:r w:rsidRPr="005C4F4A">
              <w:rPr>
                <w:rStyle w:val="Strong"/>
              </w:rPr>
              <w:t>7.5</w:t>
            </w:r>
          </w:p>
        </w:tc>
        <w:tc>
          <w:tcPr>
            <w:tcW w:w="1134" w:type="dxa"/>
          </w:tcPr>
          <w:p w14:paraId="4F07E6C5" w14:textId="77777777" w:rsidR="00BB362B" w:rsidRPr="005C4F4A" w:rsidRDefault="00BB362B" w:rsidP="000B20B5">
            <w:pPr>
              <w:pStyle w:val="TableText"/>
              <w:rPr>
                <w:rStyle w:val="Strong"/>
              </w:rPr>
            </w:pPr>
            <w:r w:rsidRPr="005C4F4A">
              <w:rPr>
                <w:rStyle w:val="Strong"/>
              </w:rPr>
              <w:t>10.8</w:t>
            </w:r>
          </w:p>
        </w:tc>
      </w:tr>
      <w:tr w:rsidR="00BB362B" w:rsidRPr="005F2BDA" w14:paraId="478F25D2" w14:textId="77777777" w:rsidTr="0096155E">
        <w:tc>
          <w:tcPr>
            <w:tcW w:w="9072" w:type="dxa"/>
            <w:gridSpan w:val="6"/>
          </w:tcPr>
          <w:p w14:paraId="430C2458" w14:textId="3119FEEF" w:rsidR="00BB362B" w:rsidRDefault="00BB362B" w:rsidP="000B20B5">
            <w:pPr>
              <w:pStyle w:val="TableText"/>
            </w:pPr>
            <w:r>
              <w:t xml:space="preserve">In 2018–19, Cenitex revised its benefits register processes and in 2019–20, it renewed </w:t>
            </w:r>
            <w:proofErr w:type="gramStart"/>
            <w:r>
              <w:t>its</w:t>
            </w:r>
            <w:proofErr w:type="gramEnd"/>
            <w:r>
              <w:t xml:space="preserve"> focus on </w:t>
            </w:r>
            <w:r w:rsidRPr="00011A0D">
              <w:t xml:space="preserve">benefits </w:t>
            </w:r>
            <w:proofErr w:type="spellStart"/>
            <w:r>
              <w:t>reali</w:t>
            </w:r>
            <w:r w:rsidR="00FE3B3A">
              <w:t>s</w:t>
            </w:r>
            <w:r>
              <w:t>ation</w:t>
            </w:r>
            <w:proofErr w:type="spellEnd"/>
            <w:r>
              <w:t xml:space="preserve"> by building it </w:t>
            </w:r>
            <w:r w:rsidRPr="00011A0D">
              <w:t xml:space="preserve">into every contract renewal through its </w:t>
            </w:r>
            <w:r>
              <w:t>c</w:t>
            </w:r>
            <w:r w:rsidRPr="00011A0D">
              <w:t xml:space="preserve">ategory team, and </w:t>
            </w:r>
            <w:r>
              <w:t xml:space="preserve">using </w:t>
            </w:r>
            <w:r w:rsidRPr="00011A0D">
              <w:t>dashboards to identify contract consolidation and substitution opportunities.</w:t>
            </w:r>
          </w:p>
          <w:p w14:paraId="43DB1A5C" w14:textId="77777777" w:rsidR="00BB362B" w:rsidRPr="005F2BDA" w:rsidRDefault="00BB362B" w:rsidP="000B20B5">
            <w:pPr>
              <w:pStyle w:val="TableText"/>
            </w:pPr>
            <w:r w:rsidRPr="00011A0D">
              <w:t xml:space="preserve">Cenitex had several </w:t>
            </w:r>
            <w:r>
              <w:t>high-</w:t>
            </w:r>
            <w:r w:rsidRPr="00011A0D">
              <w:t>value, long</w:t>
            </w:r>
            <w:r>
              <w:t>-</w:t>
            </w:r>
            <w:r w:rsidRPr="00011A0D">
              <w:t>term contracts renewed or returned to market this year, which contributed to a higher value of cost savings.</w:t>
            </w:r>
            <w:r>
              <w:t xml:space="preserve"> However, total organisational spend was lower than last year which shows that Cenitex is creating value where it matters. </w:t>
            </w:r>
          </w:p>
        </w:tc>
      </w:tr>
      <w:tr w:rsidR="001D2ACD" w:rsidRPr="005C4F4A" w14:paraId="27419A5B" w14:textId="77777777" w:rsidTr="00436BFB">
        <w:tc>
          <w:tcPr>
            <w:tcW w:w="5671" w:type="dxa"/>
            <w:gridSpan w:val="3"/>
          </w:tcPr>
          <w:p w14:paraId="59AAC06E" w14:textId="77777777" w:rsidR="001D2ACD" w:rsidRPr="005C4F4A" w:rsidRDefault="001D2ACD" w:rsidP="000B20B5">
            <w:pPr>
              <w:pStyle w:val="TableText"/>
              <w:rPr>
                <w:rStyle w:val="Strong"/>
              </w:rPr>
            </w:pPr>
            <w:r w:rsidRPr="005C4F4A">
              <w:rPr>
                <w:rStyle w:val="Strong"/>
              </w:rPr>
              <w:t>Managed spend</w:t>
            </w:r>
          </w:p>
        </w:tc>
        <w:tc>
          <w:tcPr>
            <w:tcW w:w="1133" w:type="dxa"/>
            <w:shd w:val="clear" w:color="auto" w:fill="FFFFFF" w:themeFill="background1"/>
          </w:tcPr>
          <w:p w14:paraId="06A51F52" w14:textId="0DA2DD7B" w:rsidR="001D2ACD" w:rsidRPr="005C4F4A" w:rsidRDefault="001D2ACD" w:rsidP="000B20B5">
            <w:pPr>
              <w:pStyle w:val="TableText"/>
              <w:rPr>
                <w:rStyle w:val="Strong"/>
              </w:rPr>
            </w:pPr>
            <w:r w:rsidRPr="005C4F4A">
              <w:rPr>
                <w:rStyle w:val="Strong"/>
              </w:rPr>
              <w:t>n/a</w:t>
            </w:r>
          </w:p>
        </w:tc>
        <w:tc>
          <w:tcPr>
            <w:tcW w:w="1134" w:type="dxa"/>
            <w:shd w:val="clear" w:color="auto" w:fill="FFFFFF" w:themeFill="background1"/>
          </w:tcPr>
          <w:p w14:paraId="07AF3AB9" w14:textId="68C1BDB6" w:rsidR="001D2ACD" w:rsidRPr="005C4F4A" w:rsidRDefault="001D2ACD" w:rsidP="000B20B5">
            <w:pPr>
              <w:pStyle w:val="TableText"/>
              <w:rPr>
                <w:rStyle w:val="Strong"/>
              </w:rPr>
            </w:pPr>
            <w:r w:rsidRPr="005C4F4A">
              <w:rPr>
                <w:rStyle w:val="Strong"/>
              </w:rPr>
              <w:t>n/a</w:t>
            </w:r>
          </w:p>
        </w:tc>
        <w:tc>
          <w:tcPr>
            <w:tcW w:w="1134" w:type="dxa"/>
          </w:tcPr>
          <w:p w14:paraId="686C8BF1" w14:textId="77777777" w:rsidR="001D2ACD" w:rsidRPr="005C4F4A" w:rsidRDefault="001D2ACD" w:rsidP="000B20B5">
            <w:pPr>
              <w:pStyle w:val="TableText"/>
              <w:rPr>
                <w:rStyle w:val="Strong"/>
              </w:rPr>
            </w:pPr>
            <w:r w:rsidRPr="005C4F4A">
              <w:rPr>
                <w:rStyle w:val="Strong"/>
              </w:rPr>
              <w:t>100</w:t>
            </w:r>
          </w:p>
        </w:tc>
      </w:tr>
      <w:tr w:rsidR="00BB362B" w:rsidRPr="00505378" w14:paraId="0944E0E9" w14:textId="77777777" w:rsidTr="0096155E">
        <w:tc>
          <w:tcPr>
            <w:tcW w:w="9072" w:type="dxa"/>
            <w:gridSpan w:val="6"/>
          </w:tcPr>
          <w:p w14:paraId="1ACB6DED" w14:textId="77777777" w:rsidR="00BB362B" w:rsidRPr="00C000FB" w:rsidRDefault="00BB362B" w:rsidP="000B20B5">
            <w:pPr>
              <w:pStyle w:val="TableText"/>
            </w:pPr>
            <w:r>
              <w:t>Cenitex has a 'no purchase order, no pay' policy which ensures all goods and services spend receives procurement oversight. As Cenitex grows its self-service functions for stakeholders, it will monitor to check that spend does not occur outside of the procurement governance process.</w:t>
            </w:r>
          </w:p>
        </w:tc>
      </w:tr>
      <w:tr w:rsidR="00BB362B" w:rsidRPr="005C4F4A" w14:paraId="393BFAB3" w14:textId="77777777" w:rsidTr="0096155E">
        <w:tc>
          <w:tcPr>
            <w:tcW w:w="5671" w:type="dxa"/>
            <w:gridSpan w:val="3"/>
          </w:tcPr>
          <w:p w14:paraId="32750CE2" w14:textId="77777777" w:rsidR="00BB362B" w:rsidRPr="005C4F4A" w:rsidRDefault="00BB362B" w:rsidP="000B20B5">
            <w:pPr>
              <w:pStyle w:val="TableText"/>
              <w:rPr>
                <w:rStyle w:val="Strong"/>
              </w:rPr>
            </w:pPr>
            <w:r w:rsidRPr="005C4F4A">
              <w:rPr>
                <w:rStyle w:val="Strong"/>
              </w:rPr>
              <w:t>Increase in procurement capability</w:t>
            </w:r>
          </w:p>
        </w:tc>
        <w:tc>
          <w:tcPr>
            <w:tcW w:w="1133" w:type="dxa"/>
          </w:tcPr>
          <w:p w14:paraId="4F7C0375" w14:textId="3CFED394" w:rsidR="00BB362B" w:rsidRPr="005C4F4A" w:rsidRDefault="00914284" w:rsidP="000B20B5">
            <w:pPr>
              <w:pStyle w:val="TableText"/>
              <w:rPr>
                <w:rStyle w:val="Strong"/>
              </w:rPr>
            </w:pPr>
            <w:r w:rsidRPr="005C4F4A">
              <w:rPr>
                <w:rStyle w:val="Strong"/>
              </w:rPr>
              <w:t>n/a</w:t>
            </w:r>
          </w:p>
        </w:tc>
        <w:tc>
          <w:tcPr>
            <w:tcW w:w="1134" w:type="dxa"/>
          </w:tcPr>
          <w:p w14:paraId="639D72AC" w14:textId="77777777" w:rsidR="00BB362B" w:rsidRPr="005C4F4A" w:rsidRDefault="00BB362B" w:rsidP="000B20B5">
            <w:pPr>
              <w:pStyle w:val="TableText"/>
              <w:rPr>
                <w:rStyle w:val="Strong"/>
              </w:rPr>
            </w:pPr>
            <w:r w:rsidRPr="005C4F4A">
              <w:rPr>
                <w:rStyle w:val="Strong"/>
              </w:rPr>
              <w:t>2.7</w:t>
            </w:r>
          </w:p>
        </w:tc>
        <w:tc>
          <w:tcPr>
            <w:tcW w:w="1134" w:type="dxa"/>
          </w:tcPr>
          <w:p w14:paraId="2A452227" w14:textId="77777777" w:rsidR="00BB362B" w:rsidRPr="005C4F4A" w:rsidRDefault="00BB362B" w:rsidP="000B20B5">
            <w:pPr>
              <w:pStyle w:val="TableText"/>
              <w:rPr>
                <w:rStyle w:val="Strong"/>
              </w:rPr>
            </w:pPr>
            <w:r w:rsidRPr="005C4F4A">
              <w:rPr>
                <w:rStyle w:val="Strong"/>
              </w:rPr>
              <w:t>8.6</w:t>
            </w:r>
          </w:p>
        </w:tc>
      </w:tr>
      <w:tr w:rsidR="00BB362B" w:rsidRPr="00505378" w14:paraId="18CBE7B4" w14:textId="77777777" w:rsidTr="0096155E">
        <w:tc>
          <w:tcPr>
            <w:tcW w:w="9072" w:type="dxa"/>
            <w:gridSpan w:val="6"/>
          </w:tcPr>
          <w:p w14:paraId="4D0D7846" w14:textId="39B94D73" w:rsidR="00BB362B" w:rsidRPr="00C000FB" w:rsidRDefault="00F668A2" w:rsidP="000B20B5">
            <w:pPr>
              <w:pStyle w:val="TableText"/>
            </w:pPr>
            <w:r>
              <w:t>Procurement c</w:t>
            </w:r>
            <w:r w:rsidR="00BB362B">
              <w:t xml:space="preserve">apability increased from 116 to 126 out of 150. Improvements to governance and planning have greatly improved capability across the organisation, as well as the implementation of some catalogue purchasing allowing stakeholders to access self-service purchasing. Cenitex will now focus on </w:t>
            </w:r>
            <w:r w:rsidR="00BB362B" w:rsidRPr="00CA04DA">
              <w:t>market approach, from pre-market through to contract management, to look at improvements to processes, templates and systems.</w:t>
            </w:r>
          </w:p>
        </w:tc>
      </w:tr>
      <w:tr w:rsidR="00BB362B" w:rsidRPr="005C4F4A" w14:paraId="05CEA663" w14:textId="77777777" w:rsidTr="0096155E">
        <w:tc>
          <w:tcPr>
            <w:tcW w:w="3402" w:type="dxa"/>
            <w:vMerge w:val="restart"/>
          </w:tcPr>
          <w:p w14:paraId="6184A8CC" w14:textId="77777777" w:rsidR="00BB362B" w:rsidRPr="005C4F4A" w:rsidRDefault="00BB362B" w:rsidP="000B20B5">
            <w:pPr>
              <w:pStyle w:val="TableText"/>
              <w:rPr>
                <w:rStyle w:val="Strong"/>
              </w:rPr>
            </w:pPr>
            <w:r w:rsidRPr="005C4F4A">
              <w:rPr>
                <w:rStyle w:val="Strong"/>
              </w:rPr>
              <w:t>Supplier satisfaction assessment</w:t>
            </w:r>
          </w:p>
        </w:tc>
        <w:tc>
          <w:tcPr>
            <w:tcW w:w="2263" w:type="dxa"/>
          </w:tcPr>
          <w:p w14:paraId="394C9418" w14:textId="77777777" w:rsidR="00BB362B" w:rsidRPr="005C4F4A" w:rsidRDefault="00BB362B" w:rsidP="000B20B5">
            <w:pPr>
              <w:pStyle w:val="TableText"/>
              <w:rPr>
                <w:rStyle w:val="Strong"/>
              </w:rPr>
            </w:pPr>
            <w:r w:rsidRPr="005C4F4A">
              <w:rPr>
                <w:rStyle w:val="Strong"/>
              </w:rPr>
              <w:t>Successful satisfied</w:t>
            </w:r>
          </w:p>
        </w:tc>
        <w:tc>
          <w:tcPr>
            <w:tcW w:w="1139" w:type="dxa"/>
            <w:gridSpan w:val="2"/>
          </w:tcPr>
          <w:p w14:paraId="49DA2B78" w14:textId="77777777" w:rsidR="00BB362B" w:rsidRPr="005C4F4A" w:rsidRDefault="00BB362B" w:rsidP="000B20B5">
            <w:pPr>
              <w:pStyle w:val="TableText"/>
              <w:rPr>
                <w:rStyle w:val="Strong"/>
              </w:rPr>
            </w:pPr>
            <w:r w:rsidRPr="005C4F4A">
              <w:rPr>
                <w:rStyle w:val="Strong"/>
              </w:rPr>
              <w:t>100</w:t>
            </w:r>
          </w:p>
        </w:tc>
        <w:tc>
          <w:tcPr>
            <w:tcW w:w="1134" w:type="dxa"/>
          </w:tcPr>
          <w:p w14:paraId="51C270C3" w14:textId="77777777" w:rsidR="00BB362B" w:rsidRPr="005C4F4A" w:rsidRDefault="00BB362B" w:rsidP="000B20B5">
            <w:pPr>
              <w:pStyle w:val="TableText"/>
              <w:rPr>
                <w:rStyle w:val="Strong"/>
              </w:rPr>
            </w:pPr>
            <w:r w:rsidRPr="005C4F4A">
              <w:rPr>
                <w:rStyle w:val="Strong"/>
              </w:rPr>
              <w:t>100</w:t>
            </w:r>
          </w:p>
        </w:tc>
        <w:tc>
          <w:tcPr>
            <w:tcW w:w="1134" w:type="dxa"/>
          </w:tcPr>
          <w:p w14:paraId="2B6CBE56" w14:textId="77777777" w:rsidR="00BB362B" w:rsidRPr="005C4F4A" w:rsidRDefault="00BB362B" w:rsidP="000B20B5">
            <w:pPr>
              <w:pStyle w:val="TableText"/>
              <w:rPr>
                <w:rStyle w:val="Strong"/>
              </w:rPr>
            </w:pPr>
            <w:r w:rsidRPr="005C4F4A">
              <w:rPr>
                <w:rStyle w:val="Strong"/>
              </w:rPr>
              <w:t>67</w:t>
            </w:r>
          </w:p>
        </w:tc>
      </w:tr>
      <w:tr w:rsidR="00BB362B" w:rsidRPr="005C4F4A" w14:paraId="2D62AA24" w14:textId="77777777" w:rsidTr="0096155E">
        <w:tc>
          <w:tcPr>
            <w:tcW w:w="3402" w:type="dxa"/>
            <w:vMerge/>
          </w:tcPr>
          <w:p w14:paraId="63D1DFD5" w14:textId="77777777" w:rsidR="00BB362B" w:rsidRPr="005C4F4A" w:rsidRDefault="00BB362B" w:rsidP="000B20B5">
            <w:pPr>
              <w:pStyle w:val="TableText"/>
              <w:rPr>
                <w:rStyle w:val="Strong"/>
              </w:rPr>
            </w:pPr>
          </w:p>
        </w:tc>
        <w:tc>
          <w:tcPr>
            <w:tcW w:w="2263" w:type="dxa"/>
          </w:tcPr>
          <w:p w14:paraId="0584CD3E" w14:textId="77777777" w:rsidR="00BB362B" w:rsidRPr="005C4F4A" w:rsidRDefault="00BB362B" w:rsidP="000B20B5">
            <w:pPr>
              <w:pStyle w:val="TableText"/>
              <w:rPr>
                <w:rStyle w:val="Strong"/>
              </w:rPr>
            </w:pPr>
            <w:r w:rsidRPr="005C4F4A">
              <w:rPr>
                <w:rStyle w:val="Strong"/>
              </w:rPr>
              <w:t>Unsuccessful satisfied</w:t>
            </w:r>
          </w:p>
        </w:tc>
        <w:tc>
          <w:tcPr>
            <w:tcW w:w="1139" w:type="dxa"/>
            <w:gridSpan w:val="2"/>
          </w:tcPr>
          <w:p w14:paraId="52C2755A" w14:textId="77777777" w:rsidR="00BB362B" w:rsidRPr="005C4F4A" w:rsidRDefault="00BB362B" w:rsidP="000B20B5">
            <w:pPr>
              <w:pStyle w:val="TableText"/>
              <w:rPr>
                <w:rStyle w:val="Strong"/>
              </w:rPr>
            </w:pPr>
            <w:r w:rsidRPr="005C4F4A">
              <w:rPr>
                <w:rStyle w:val="Strong"/>
              </w:rPr>
              <w:t>33</w:t>
            </w:r>
          </w:p>
        </w:tc>
        <w:tc>
          <w:tcPr>
            <w:tcW w:w="1134" w:type="dxa"/>
          </w:tcPr>
          <w:p w14:paraId="091CCF85" w14:textId="77777777" w:rsidR="00BB362B" w:rsidRPr="005C4F4A" w:rsidRDefault="00BB362B" w:rsidP="000B20B5">
            <w:pPr>
              <w:pStyle w:val="TableText"/>
              <w:rPr>
                <w:rStyle w:val="Strong"/>
              </w:rPr>
            </w:pPr>
            <w:r w:rsidRPr="005C4F4A">
              <w:rPr>
                <w:rStyle w:val="Strong"/>
              </w:rPr>
              <w:t>50</w:t>
            </w:r>
          </w:p>
        </w:tc>
        <w:tc>
          <w:tcPr>
            <w:tcW w:w="1134" w:type="dxa"/>
          </w:tcPr>
          <w:p w14:paraId="3151E248" w14:textId="77777777" w:rsidR="00BB362B" w:rsidRPr="005C4F4A" w:rsidRDefault="00BB362B" w:rsidP="000B20B5">
            <w:pPr>
              <w:pStyle w:val="TableText"/>
              <w:rPr>
                <w:rStyle w:val="Strong"/>
              </w:rPr>
            </w:pPr>
            <w:r w:rsidRPr="005C4F4A">
              <w:rPr>
                <w:rStyle w:val="Strong"/>
              </w:rPr>
              <w:t>40</w:t>
            </w:r>
          </w:p>
        </w:tc>
      </w:tr>
      <w:tr w:rsidR="00BB362B" w:rsidRPr="00505378" w14:paraId="73FE600F" w14:textId="77777777" w:rsidTr="0096155E">
        <w:tc>
          <w:tcPr>
            <w:tcW w:w="9072" w:type="dxa"/>
            <w:gridSpan w:val="6"/>
          </w:tcPr>
          <w:p w14:paraId="3D25F395" w14:textId="5827C75B" w:rsidR="00BB362B" w:rsidRPr="00C000FB" w:rsidRDefault="00BB362B" w:rsidP="000B20B5">
            <w:pPr>
              <w:pStyle w:val="TableText"/>
            </w:pPr>
            <w:r>
              <w:t xml:space="preserve">Cenitex increased its survey response rate from </w:t>
            </w:r>
            <w:r w:rsidR="00783F0A">
              <w:t>8 to 24 per cent</w:t>
            </w:r>
            <w:r>
              <w:t xml:space="preserve">. The larger response range most likely accounts for the drop in satisfaction, as last year’s results were based on only </w:t>
            </w:r>
            <w:r w:rsidR="009E18ED">
              <w:t>five</w:t>
            </w:r>
            <w:r>
              <w:t xml:space="preserve"> suppliers, compared to 29 this year. Cenitex scored well on </w:t>
            </w:r>
            <w:r w:rsidRPr="00641985">
              <w:t>supply documentation and submission, clarity of information and evaluation criteria, professional nature and eas</w:t>
            </w:r>
            <w:r>
              <w:t>y to engage</w:t>
            </w:r>
            <w:r w:rsidRPr="00641985">
              <w:t xml:space="preserve"> with, and openness and responsive to questions.</w:t>
            </w:r>
            <w:r>
              <w:t xml:space="preserve"> Negative responses related mostly to communication and timeliness. The </w:t>
            </w:r>
            <w:r w:rsidRPr="00641985">
              <w:t xml:space="preserve">team has just implemented a source-to-award tool to improve management of procurement activity. </w:t>
            </w:r>
            <w:r>
              <w:t>Cenitex is also</w:t>
            </w:r>
            <w:r w:rsidRPr="00641985">
              <w:t xml:space="preserve"> documenting more processes specifically related to the sourcing process and updating all templates</w:t>
            </w:r>
            <w:r>
              <w:t xml:space="preserve"> to </w:t>
            </w:r>
            <w:r w:rsidRPr="00641985">
              <w:t>improve</w:t>
            </w:r>
            <w:r>
              <w:t xml:space="preserve"> </w:t>
            </w:r>
            <w:r w:rsidRPr="00641985">
              <w:t>communication and timeliness.</w:t>
            </w:r>
          </w:p>
        </w:tc>
      </w:tr>
      <w:tr w:rsidR="00BB362B" w:rsidRPr="005C4F4A" w14:paraId="33F70017" w14:textId="77777777" w:rsidTr="0096155E">
        <w:tc>
          <w:tcPr>
            <w:tcW w:w="5671" w:type="dxa"/>
            <w:gridSpan w:val="3"/>
          </w:tcPr>
          <w:p w14:paraId="00B823DA" w14:textId="77777777" w:rsidR="00BB362B" w:rsidRPr="005C4F4A" w:rsidRDefault="00BB362B" w:rsidP="000B20B5">
            <w:pPr>
              <w:pStyle w:val="TableText"/>
              <w:rPr>
                <w:rStyle w:val="Strong"/>
              </w:rPr>
            </w:pPr>
            <w:r w:rsidRPr="005C4F4A">
              <w:rPr>
                <w:rStyle w:val="Strong"/>
              </w:rPr>
              <w:t>Planned procurement activity as a % of actual procurement activity</w:t>
            </w:r>
          </w:p>
        </w:tc>
        <w:tc>
          <w:tcPr>
            <w:tcW w:w="1133" w:type="dxa"/>
          </w:tcPr>
          <w:p w14:paraId="3344142C" w14:textId="77777777" w:rsidR="00BB362B" w:rsidRPr="005C4F4A" w:rsidRDefault="00BB362B" w:rsidP="000B20B5">
            <w:pPr>
              <w:pStyle w:val="TableText"/>
              <w:rPr>
                <w:rStyle w:val="Strong"/>
              </w:rPr>
            </w:pPr>
            <w:r w:rsidRPr="005C4F4A">
              <w:rPr>
                <w:rStyle w:val="Strong"/>
              </w:rPr>
              <w:t>18.0</w:t>
            </w:r>
          </w:p>
        </w:tc>
        <w:tc>
          <w:tcPr>
            <w:tcW w:w="1134" w:type="dxa"/>
          </w:tcPr>
          <w:p w14:paraId="55C6BBBE" w14:textId="77777777" w:rsidR="00BB362B" w:rsidRPr="005C4F4A" w:rsidRDefault="00BB362B" w:rsidP="000B20B5">
            <w:pPr>
              <w:pStyle w:val="TableText"/>
              <w:rPr>
                <w:rStyle w:val="Strong"/>
              </w:rPr>
            </w:pPr>
            <w:r w:rsidRPr="005C4F4A">
              <w:rPr>
                <w:rStyle w:val="Strong"/>
              </w:rPr>
              <w:t>22.2</w:t>
            </w:r>
          </w:p>
        </w:tc>
        <w:tc>
          <w:tcPr>
            <w:tcW w:w="1134" w:type="dxa"/>
          </w:tcPr>
          <w:p w14:paraId="441D529C" w14:textId="77777777" w:rsidR="00BB362B" w:rsidRPr="005C4F4A" w:rsidRDefault="00BB362B" w:rsidP="000B20B5">
            <w:pPr>
              <w:pStyle w:val="TableText"/>
              <w:rPr>
                <w:rStyle w:val="Strong"/>
              </w:rPr>
            </w:pPr>
            <w:r w:rsidRPr="005C4F4A">
              <w:rPr>
                <w:rStyle w:val="Strong"/>
              </w:rPr>
              <w:t>35.7</w:t>
            </w:r>
          </w:p>
        </w:tc>
      </w:tr>
      <w:tr w:rsidR="00BB362B" w:rsidRPr="006C6059" w14:paraId="039E672F" w14:textId="77777777" w:rsidTr="0096155E">
        <w:tc>
          <w:tcPr>
            <w:tcW w:w="9072" w:type="dxa"/>
            <w:gridSpan w:val="6"/>
          </w:tcPr>
          <w:p w14:paraId="25CB4EE5" w14:textId="77777777" w:rsidR="00BB362B" w:rsidRPr="005F2BDA" w:rsidRDefault="00BB362B" w:rsidP="000B20B5">
            <w:pPr>
              <w:pStyle w:val="TableText"/>
            </w:pPr>
            <w:r>
              <w:t xml:space="preserve">Cenitex put considerable </w:t>
            </w:r>
            <w:r w:rsidRPr="00641985">
              <w:t>effort into forward planning</w:t>
            </w:r>
            <w:r>
              <w:t xml:space="preserve"> in 2019–20, including </w:t>
            </w:r>
            <w:r w:rsidRPr="00641985">
              <w:t>detailed interview</w:t>
            </w:r>
            <w:r>
              <w:t xml:space="preserve">s </w:t>
            </w:r>
            <w:r w:rsidRPr="00641985">
              <w:t>with a broad section of its stakeholder base</w:t>
            </w:r>
            <w:r>
              <w:t xml:space="preserve">. </w:t>
            </w:r>
          </w:p>
        </w:tc>
      </w:tr>
    </w:tbl>
    <w:p w14:paraId="6EE92E31" w14:textId="2C65B6C4" w:rsidR="00BB362B" w:rsidRPr="00914284" w:rsidRDefault="00914284" w:rsidP="00914284">
      <w:pPr>
        <w:pStyle w:val="Tablenotes"/>
      </w:pPr>
      <w:r w:rsidRPr="00914284">
        <w:t>Note: Cenitex transitioned to the VGPB on 1</w:t>
      </w:r>
      <w:r w:rsidR="00783F0A">
        <w:t> </w:t>
      </w:r>
      <w:r w:rsidRPr="00914284">
        <w:t>July</w:t>
      </w:r>
      <w:r w:rsidR="00783F0A">
        <w:t> </w:t>
      </w:r>
      <w:r w:rsidRPr="00914284">
        <w:t>201</w:t>
      </w:r>
      <w:r>
        <w:t>7</w:t>
      </w:r>
      <w:r w:rsidRPr="00914284">
        <w:t xml:space="preserve">, so began measuring its increase in procurement capability </w:t>
      </w:r>
      <w:r w:rsidRPr="00914284">
        <w:rPr>
          <w:rFonts w:ascii="Myriad Pro" w:hAnsi="Myriad Pro" w:cs="Myriad Pro"/>
          <w:color w:val="000000"/>
          <w:sz w:val="17"/>
          <w:szCs w:val="17"/>
        </w:rPr>
        <w:t>from</w:t>
      </w:r>
      <w:r>
        <w:rPr>
          <w:rFonts w:ascii="Myriad Pro" w:hAnsi="Myriad Pro" w:cs="Myriad Pro"/>
          <w:b/>
          <w:bCs/>
          <w:color w:val="000000"/>
          <w:sz w:val="17"/>
          <w:szCs w:val="17"/>
        </w:rPr>
        <w:t xml:space="preserve"> </w:t>
      </w:r>
      <w:r w:rsidRPr="00914284">
        <w:rPr>
          <w:rFonts w:ascii="Myriad Pro" w:hAnsi="Myriad Pro" w:cs="Myriad Pro"/>
          <w:color w:val="000000"/>
          <w:sz w:val="17"/>
          <w:szCs w:val="17"/>
        </w:rPr>
        <w:t>2018–19.</w:t>
      </w:r>
    </w:p>
    <w:p w14:paraId="0E61D0DE" w14:textId="59967B16" w:rsidR="00505378" w:rsidRDefault="00505378" w:rsidP="00505378"/>
    <w:p w14:paraId="7CFCDBCC" w14:textId="77777777" w:rsidR="00505378" w:rsidRPr="00505378" w:rsidRDefault="00505378" w:rsidP="00505378"/>
    <w:p w14:paraId="18288FC6" w14:textId="77777777" w:rsidR="009A0E38" w:rsidRDefault="009A0E38" w:rsidP="009A0E38">
      <w:pPr>
        <w:pStyle w:val="Bullet1"/>
        <w:numPr>
          <w:ilvl w:val="0"/>
          <w:numId w:val="0"/>
        </w:numPr>
      </w:pPr>
    </w:p>
    <w:p w14:paraId="67205E18" w14:textId="77777777" w:rsidR="009A0E38" w:rsidRPr="008F30C8" w:rsidRDefault="009A0E38" w:rsidP="005A0ECB">
      <w:pPr>
        <w:pStyle w:val="Normal1"/>
      </w:pPr>
    </w:p>
    <w:p w14:paraId="5FC69D47" w14:textId="77777777" w:rsidR="009A0E38" w:rsidRDefault="009A0E38">
      <w:pPr>
        <w:rPr>
          <w:rFonts w:ascii="Calibri" w:hAnsi="Calibri" w:cs="Calibri"/>
          <w:color w:val="4D4D4D"/>
          <w:kern w:val="28"/>
          <w:sz w:val="30"/>
          <w:szCs w:val="22"/>
          <w:lang w:eastAsia="en-US"/>
        </w:rPr>
      </w:pPr>
      <w:bookmarkStart w:id="285" w:name="_Hlk521668754"/>
      <w:r>
        <w:br w:type="page"/>
      </w:r>
    </w:p>
    <w:p w14:paraId="6072277C" w14:textId="77777777" w:rsidR="009E18ED" w:rsidRDefault="009E18ED" w:rsidP="009E18ED">
      <w:pPr>
        <w:pStyle w:val="Heading2NoNum"/>
      </w:pPr>
      <w:bookmarkStart w:id="286" w:name="_Toc515391653"/>
      <w:bookmarkStart w:id="287" w:name="_Toc12719270"/>
      <w:bookmarkStart w:id="288" w:name="_Toc35437759"/>
      <w:bookmarkStart w:id="289" w:name="_Toc52187750"/>
      <w:bookmarkStart w:id="290" w:name="_Hlk488219202"/>
      <w:bookmarkEnd w:id="276"/>
      <w:bookmarkEnd w:id="285"/>
      <w:r w:rsidRPr="00160B30">
        <w:lastRenderedPageBreak/>
        <w:t>Victoria Police</w:t>
      </w:r>
      <w:bookmarkEnd w:id="286"/>
      <w:bookmarkEnd w:id="287"/>
      <w:bookmarkEnd w:id="288"/>
      <w:bookmarkEnd w:id="289"/>
    </w:p>
    <w:p w14:paraId="1661A967" w14:textId="77777777" w:rsidR="009E18ED" w:rsidRPr="00D3052C" w:rsidRDefault="009E18ED" w:rsidP="009E18ED">
      <w:pPr>
        <w:pStyle w:val="Normal1"/>
      </w:pPr>
      <w:r w:rsidRPr="00D3052C">
        <w:t xml:space="preserve">Victoria Police is the primary law enforcement agency of Victoria, Australia. It was formed in 1853 and operates under the </w:t>
      </w:r>
      <w:r w:rsidRPr="00D3052C">
        <w:rPr>
          <w:i/>
          <w:iCs/>
        </w:rPr>
        <w:t>Victoria Police Act 2013</w:t>
      </w:r>
      <w:r w:rsidRPr="00D3052C">
        <w:t xml:space="preserve">. It provides policing services to the Victorian community 24 hours a day, seven days a week, working to keep </w:t>
      </w:r>
      <w:r>
        <w:t>all</w:t>
      </w:r>
      <w:r w:rsidRPr="00D3052C">
        <w:t xml:space="preserve"> Victorians safe.</w:t>
      </w:r>
    </w:p>
    <w:p w14:paraId="3BAC875F" w14:textId="77777777" w:rsidR="009E18ED" w:rsidRDefault="009E18ED" w:rsidP="009E18ED">
      <w:pPr>
        <w:pStyle w:val="Heading3NoNum"/>
      </w:pPr>
      <w:r w:rsidRPr="00CD6245">
        <w:t>Procurement profile</w:t>
      </w:r>
      <w:r>
        <w:t xml:space="preserve"> in 2019–20</w:t>
      </w:r>
    </w:p>
    <w:tbl>
      <w:tblPr>
        <w:tblStyle w:val="TableGrid"/>
        <w:tblW w:w="8618" w:type="dxa"/>
        <w:tblInd w:w="846" w:type="dxa"/>
        <w:tblLook w:val="04A0" w:firstRow="1" w:lastRow="0" w:firstColumn="1" w:lastColumn="0" w:noHBand="0" w:noVBand="1"/>
      </w:tblPr>
      <w:tblGrid>
        <w:gridCol w:w="4990"/>
        <w:gridCol w:w="3628"/>
      </w:tblGrid>
      <w:tr w:rsidR="009E18ED" w:rsidRPr="00CC1F98" w14:paraId="0F1C239A" w14:textId="77777777" w:rsidTr="00190BC9">
        <w:trPr>
          <w:trHeight w:val="1143"/>
        </w:trPr>
        <w:tc>
          <w:tcPr>
            <w:tcW w:w="4990" w:type="dxa"/>
          </w:tcPr>
          <w:p w14:paraId="64D20EC4" w14:textId="7221197A" w:rsidR="009E18ED" w:rsidRPr="009E18ED" w:rsidRDefault="009E18ED" w:rsidP="00190BC9">
            <w:pPr>
              <w:pStyle w:val="Normal1"/>
              <w:ind w:left="0"/>
              <w:rPr>
                <w:sz w:val="24"/>
                <w:szCs w:val="24"/>
              </w:rPr>
            </w:pPr>
            <w:r w:rsidRPr="009E18ED">
              <w:rPr>
                <w:sz w:val="24"/>
                <w:szCs w:val="24"/>
              </w:rPr>
              <w:t>24 one-off supply contract approvals valued at $2</w:t>
            </w:r>
            <w:r w:rsidR="008B2740">
              <w:rPr>
                <w:sz w:val="24"/>
                <w:szCs w:val="24"/>
              </w:rPr>
              <w:t>8.8</w:t>
            </w:r>
            <w:r w:rsidRPr="009E18ED">
              <w:rPr>
                <w:sz w:val="24"/>
                <w:szCs w:val="24"/>
              </w:rPr>
              <w:t xml:space="preserve"> million*</w:t>
            </w:r>
          </w:p>
        </w:tc>
        <w:tc>
          <w:tcPr>
            <w:tcW w:w="3628" w:type="dxa"/>
            <w:vMerge w:val="restart"/>
          </w:tcPr>
          <w:p w14:paraId="698D6B70" w14:textId="77777777" w:rsidR="009E18ED" w:rsidRDefault="009E18ED" w:rsidP="00190BC9">
            <w:pPr>
              <w:pStyle w:val="Normal1"/>
              <w:ind w:left="0"/>
              <w:rPr>
                <w:b/>
              </w:rPr>
            </w:pPr>
            <w:r w:rsidRPr="00D962DA">
              <w:rPr>
                <w:b/>
              </w:rPr>
              <w:t xml:space="preserve">Top categories of </w:t>
            </w:r>
            <w:r>
              <w:rPr>
                <w:b/>
              </w:rPr>
              <w:t>contract approvals</w:t>
            </w:r>
          </w:p>
          <w:p w14:paraId="715F99A7" w14:textId="77777777" w:rsidR="009E18ED" w:rsidRDefault="009E18ED" w:rsidP="00190BC9">
            <w:pPr>
              <w:pStyle w:val="Bullet1"/>
              <w:tabs>
                <w:tab w:val="clear" w:pos="1077"/>
                <w:tab w:val="num" w:pos="274"/>
              </w:tabs>
              <w:ind w:left="274"/>
            </w:pPr>
            <w:r>
              <w:t>Forensics</w:t>
            </w:r>
          </w:p>
          <w:p w14:paraId="7B968012" w14:textId="77777777" w:rsidR="009E18ED" w:rsidRDefault="009E18ED" w:rsidP="00190BC9">
            <w:pPr>
              <w:pStyle w:val="Bullet1"/>
              <w:tabs>
                <w:tab w:val="clear" w:pos="1077"/>
                <w:tab w:val="num" w:pos="274"/>
              </w:tabs>
              <w:ind w:left="274"/>
            </w:pPr>
            <w:r>
              <w:t>Corporate support</w:t>
            </w:r>
          </w:p>
          <w:p w14:paraId="57BC1BAA" w14:textId="77777777" w:rsidR="009E18ED" w:rsidRDefault="009E18ED" w:rsidP="00190BC9">
            <w:pPr>
              <w:pStyle w:val="Bullet1"/>
              <w:tabs>
                <w:tab w:val="clear" w:pos="1077"/>
                <w:tab w:val="num" w:pos="274"/>
              </w:tabs>
              <w:ind w:left="274"/>
            </w:pPr>
            <w:r>
              <w:t>Uniform and equipment</w:t>
            </w:r>
          </w:p>
          <w:p w14:paraId="667E1C9A" w14:textId="77777777" w:rsidR="009E18ED" w:rsidRPr="00BD351B" w:rsidRDefault="009E18ED" w:rsidP="00190BC9">
            <w:pPr>
              <w:pStyle w:val="Bullet1"/>
              <w:tabs>
                <w:tab w:val="clear" w:pos="1077"/>
                <w:tab w:val="num" w:pos="274"/>
              </w:tabs>
              <w:ind w:left="274"/>
            </w:pPr>
            <w:r>
              <w:t>IT and communications</w:t>
            </w:r>
          </w:p>
        </w:tc>
      </w:tr>
      <w:tr w:rsidR="009E18ED" w:rsidRPr="00CC1F98" w14:paraId="7296CF16" w14:textId="77777777" w:rsidTr="00190BC9">
        <w:trPr>
          <w:trHeight w:val="735"/>
        </w:trPr>
        <w:tc>
          <w:tcPr>
            <w:tcW w:w="4990" w:type="dxa"/>
          </w:tcPr>
          <w:p w14:paraId="458E94C0" w14:textId="2C123067" w:rsidR="009E18ED" w:rsidRPr="009E18ED" w:rsidRDefault="009E18ED" w:rsidP="00190BC9">
            <w:pPr>
              <w:pStyle w:val="Normal1"/>
              <w:ind w:left="0"/>
              <w:rPr>
                <w:sz w:val="24"/>
                <w:szCs w:val="24"/>
              </w:rPr>
            </w:pPr>
            <w:r w:rsidRPr="009E18ED">
              <w:rPr>
                <w:sz w:val="24"/>
                <w:szCs w:val="24"/>
              </w:rPr>
              <w:t>24 SEPC approvals valued at $76</w:t>
            </w:r>
            <w:r w:rsidR="008B2740">
              <w:rPr>
                <w:sz w:val="24"/>
                <w:szCs w:val="24"/>
              </w:rPr>
              <w:t>.3</w:t>
            </w:r>
            <w:r w:rsidRPr="009E18ED">
              <w:rPr>
                <w:sz w:val="24"/>
                <w:szCs w:val="24"/>
              </w:rPr>
              <w:t xml:space="preserve"> million*</w:t>
            </w:r>
          </w:p>
        </w:tc>
        <w:tc>
          <w:tcPr>
            <w:tcW w:w="3628" w:type="dxa"/>
            <w:vMerge/>
          </w:tcPr>
          <w:p w14:paraId="09ED605F" w14:textId="77777777" w:rsidR="009E18ED" w:rsidRPr="00D962DA" w:rsidRDefault="009E18ED" w:rsidP="00190BC9">
            <w:pPr>
              <w:pStyle w:val="Normal1"/>
              <w:ind w:left="0"/>
              <w:rPr>
                <w:b/>
              </w:rPr>
            </w:pPr>
          </w:p>
        </w:tc>
      </w:tr>
      <w:tr w:rsidR="009E18ED" w:rsidRPr="00CC1F98" w14:paraId="1E45A29B" w14:textId="77777777" w:rsidTr="00190BC9">
        <w:trPr>
          <w:trHeight w:val="735"/>
        </w:trPr>
        <w:tc>
          <w:tcPr>
            <w:tcW w:w="4990" w:type="dxa"/>
          </w:tcPr>
          <w:p w14:paraId="1E937023" w14:textId="7ADB508F" w:rsidR="009E18ED" w:rsidRPr="009E18ED" w:rsidRDefault="008B2740" w:rsidP="00190BC9">
            <w:pPr>
              <w:pStyle w:val="Normal1"/>
              <w:ind w:left="0"/>
              <w:rPr>
                <w:sz w:val="24"/>
                <w:szCs w:val="24"/>
              </w:rPr>
            </w:pPr>
            <w:r>
              <w:rPr>
                <w:sz w:val="24"/>
                <w:szCs w:val="24"/>
              </w:rPr>
              <w:t>36</w:t>
            </w:r>
            <w:r w:rsidR="009E18ED" w:rsidRPr="009E18ED">
              <w:rPr>
                <w:sz w:val="24"/>
                <w:szCs w:val="24"/>
              </w:rPr>
              <w:t xml:space="preserve"> critical incident </w:t>
            </w:r>
            <w:r w:rsidR="00C757FF">
              <w:rPr>
                <w:sz w:val="24"/>
                <w:szCs w:val="24"/>
              </w:rPr>
              <w:t>contract</w:t>
            </w:r>
            <w:r w:rsidR="00C757FF" w:rsidRPr="009E18ED">
              <w:rPr>
                <w:sz w:val="24"/>
                <w:szCs w:val="24"/>
              </w:rPr>
              <w:t xml:space="preserve"> </w:t>
            </w:r>
            <w:r w:rsidR="009E18ED" w:rsidRPr="009E18ED">
              <w:rPr>
                <w:sz w:val="24"/>
                <w:szCs w:val="24"/>
              </w:rPr>
              <w:t>approvals valued at $</w:t>
            </w:r>
            <w:r w:rsidR="009F4C45">
              <w:rPr>
                <w:sz w:val="24"/>
                <w:szCs w:val="24"/>
              </w:rPr>
              <w:t>18.1</w:t>
            </w:r>
            <w:r w:rsidR="009E18ED" w:rsidRPr="009E18ED">
              <w:rPr>
                <w:sz w:val="24"/>
                <w:szCs w:val="24"/>
              </w:rPr>
              <w:t xml:space="preserve"> million*</w:t>
            </w:r>
          </w:p>
        </w:tc>
        <w:tc>
          <w:tcPr>
            <w:tcW w:w="3628" w:type="dxa"/>
            <w:vMerge w:val="restart"/>
          </w:tcPr>
          <w:p w14:paraId="1941ACFC" w14:textId="77777777" w:rsidR="009E18ED" w:rsidRPr="00906040" w:rsidRDefault="009E18ED" w:rsidP="00190BC9">
            <w:pPr>
              <w:pStyle w:val="Normal1"/>
              <w:ind w:left="0"/>
              <w:rPr>
                <w:b/>
                <w:sz w:val="24"/>
                <w:szCs w:val="24"/>
              </w:rPr>
            </w:pPr>
            <w:r w:rsidRPr="00906040">
              <w:rPr>
                <w:sz w:val="24"/>
                <w:szCs w:val="24"/>
              </w:rPr>
              <w:t xml:space="preserve">Primarily </w:t>
            </w:r>
            <w:r w:rsidRPr="00906040">
              <w:rPr>
                <w:b/>
                <w:bCs/>
                <w:sz w:val="24"/>
                <w:szCs w:val="24"/>
              </w:rPr>
              <w:t>centre-led</w:t>
            </w:r>
            <w:r w:rsidRPr="00906040">
              <w:rPr>
                <w:sz w:val="24"/>
                <w:szCs w:val="24"/>
                <w:lang w:val="en-US"/>
              </w:rPr>
              <w:t xml:space="preserve"> procurement function</w:t>
            </w:r>
          </w:p>
          <w:p w14:paraId="0795F0DA" w14:textId="77777777" w:rsidR="009E18ED" w:rsidRPr="00D962DA" w:rsidRDefault="009E18ED" w:rsidP="00190BC9">
            <w:pPr>
              <w:pStyle w:val="Normal1"/>
              <w:ind w:left="0"/>
              <w:rPr>
                <w:b/>
              </w:rPr>
            </w:pPr>
          </w:p>
        </w:tc>
      </w:tr>
      <w:tr w:rsidR="009E18ED" w:rsidRPr="00CC1F98" w14:paraId="45F7493E" w14:textId="77777777" w:rsidTr="005C4F4A">
        <w:trPr>
          <w:trHeight w:val="442"/>
        </w:trPr>
        <w:tc>
          <w:tcPr>
            <w:tcW w:w="4990" w:type="dxa"/>
            <w:vMerge w:val="restart"/>
          </w:tcPr>
          <w:p w14:paraId="707BCBC1" w14:textId="77777777" w:rsidR="009E18ED" w:rsidRDefault="009E18ED" w:rsidP="00190BC9">
            <w:pPr>
              <w:pStyle w:val="Normal1"/>
              <w:ind w:left="0"/>
              <w:rPr>
                <w:b/>
                <w:lang w:val="en-US"/>
              </w:rPr>
            </w:pPr>
            <w:r w:rsidRPr="0051388F">
              <w:rPr>
                <w:b/>
                <w:lang w:val="en-US"/>
              </w:rPr>
              <w:t>Highlights</w:t>
            </w:r>
          </w:p>
          <w:p w14:paraId="584494D6" w14:textId="2C7BE803" w:rsidR="009E18ED" w:rsidRPr="004C7894" w:rsidRDefault="00F216CF" w:rsidP="009E18ED">
            <w:pPr>
              <w:pStyle w:val="Normal1"/>
              <w:numPr>
                <w:ilvl w:val="0"/>
                <w:numId w:val="12"/>
              </w:numPr>
              <w:ind w:left="321"/>
              <w:rPr>
                <w:sz w:val="21"/>
                <w:szCs w:val="21"/>
              </w:rPr>
            </w:pPr>
            <w:r>
              <w:t>P</w:t>
            </w:r>
            <w:r w:rsidR="009E18ED">
              <w:t>iloted an online procurement tool and used DocuSign for electronic approvals and workflow management.</w:t>
            </w:r>
          </w:p>
          <w:p w14:paraId="5A0EBAF8" w14:textId="353D8B45" w:rsidR="009E18ED" w:rsidRPr="00BD351B" w:rsidRDefault="00F216CF" w:rsidP="009E18ED">
            <w:pPr>
              <w:pStyle w:val="Normal1"/>
              <w:numPr>
                <w:ilvl w:val="0"/>
                <w:numId w:val="12"/>
              </w:numPr>
              <w:ind w:left="321"/>
              <w:rPr>
                <w:sz w:val="28"/>
                <w:szCs w:val="28"/>
              </w:rPr>
            </w:pPr>
            <w:r>
              <w:t>S</w:t>
            </w:r>
            <w:r w:rsidR="009E18ED" w:rsidRPr="001E2427">
              <w:t>uccessfully renewed</w:t>
            </w:r>
            <w:r>
              <w:t xml:space="preserve"> Victoria Police’s</w:t>
            </w:r>
            <w:r w:rsidR="009E18ED" w:rsidRPr="001E2427">
              <w:t xml:space="preserve"> Chartered Institute of Purchasing and Supply (CIPS) procurement accreditation</w:t>
            </w:r>
            <w:r w:rsidR="009E18ED">
              <w:t xml:space="preserve"> and was awarded </w:t>
            </w:r>
            <w:r w:rsidR="009E18ED" w:rsidRPr="001E2427">
              <w:t>CIPS Procurement Excellence Standard Award certification</w:t>
            </w:r>
            <w:r w:rsidR="009E18ED">
              <w:t xml:space="preserve">. </w:t>
            </w:r>
          </w:p>
        </w:tc>
        <w:tc>
          <w:tcPr>
            <w:tcW w:w="3628" w:type="dxa"/>
            <w:vMerge/>
          </w:tcPr>
          <w:p w14:paraId="0227A526" w14:textId="77777777" w:rsidR="009E18ED" w:rsidRPr="00D962DA" w:rsidRDefault="009E18ED" w:rsidP="00190BC9">
            <w:pPr>
              <w:pStyle w:val="Normal1"/>
              <w:ind w:left="0"/>
              <w:rPr>
                <w:b/>
              </w:rPr>
            </w:pPr>
          </w:p>
        </w:tc>
      </w:tr>
      <w:tr w:rsidR="009E18ED" w:rsidRPr="00CC1F98" w14:paraId="72A66A30" w14:textId="77777777" w:rsidTr="00190BC9">
        <w:trPr>
          <w:trHeight w:val="3873"/>
        </w:trPr>
        <w:tc>
          <w:tcPr>
            <w:tcW w:w="4990" w:type="dxa"/>
            <w:vMerge/>
          </w:tcPr>
          <w:p w14:paraId="3AC1B055" w14:textId="77777777" w:rsidR="009E18ED" w:rsidRDefault="009E18ED" w:rsidP="00190BC9">
            <w:pPr>
              <w:pStyle w:val="Normal1"/>
              <w:ind w:left="0"/>
            </w:pPr>
          </w:p>
        </w:tc>
        <w:tc>
          <w:tcPr>
            <w:tcW w:w="3628" w:type="dxa"/>
          </w:tcPr>
          <w:p w14:paraId="3396916F" w14:textId="77777777" w:rsidR="009E18ED" w:rsidRDefault="009E18ED" w:rsidP="00190BC9">
            <w:pPr>
              <w:pStyle w:val="Bullet1"/>
              <w:numPr>
                <w:ilvl w:val="0"/>
                <w:numId w:val="0"/>
              </w:numPr>
              <w:ind w:left="-9"/>
            </w:pPr>
            <w:r w:rsidRPr="00906040">
              <w:rPr>
                <w:b/>
                <w:bCs/>
                <w:sz w:val="24"/>
                <w:szCs w:val="24"/>
              </w:rPr>
              <w:t xml:space="preserve">Transactional </w:t>
            </w:r>
            <w:r>
              <w:t>complexity profile</w:t>
            </w:r>
          </w:p>
          <w:p w14:paraId="2D1751B5" w14:textId="6550B236" w:rsidR="009E18ED" w:rsidRPr="006A6886" w:rsidRDefault="009E18ED" w:rsidP="009F4C45">
            <w:pPr>
              <w:pStyle w:val="Bullet1"/>
              <w:numPr>
                <w:ilvl w:val="0"/>
                <w:numId w:val="0"/>
              </w:numPr>
              <w:ind w:left="-9"/>
            </w:pPr>
            <w:r>
              <w:rPr>
                <w:noProof/>
              </w:rPr>
              <w:drawing>
                <wp:inline distT="0" distB="0" distL="0" distR="0" wp14:anchorId="09309916" wp14:editId="3AC99FB6">
                  <wp:extent cx="2169160" cy="1952625"/>
                  <wp:effectExtent l="0" t="0" r="2540" b="9525"/>
                  <wp:docPr id="18" name="Chart 18">
                    <a:extLst xmlns:a="http://schemas.openxmlformats.org/drawingml/2006/main">
                      <a:ext uri="{FF2B5EF4-FFF2-40B4-BE49-F238E27FC236}">
                        <a16:creationId xmlns:a16="http://schemas.microsoft.com/office/drawing/2014/main" id="{5CAB2475-1275-4211-BEBE-F2C76762E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9E18ED" w:rsidRPr="00CC1F98" w14:paraId="272D4E28" w14:textId="77777777" w:rsidTr="00190BC9">
        <w:tc>
          <w:tcPr>
            <w:tcW w:w="8618" w:type="dxa"/>
            <w:gridSpan w:val="2"/>
          </w:tcPr>
          <w:p w14:paraId="7544A0AE" w14:textId="77777777" w:rsidR="009E18ED" w:rsidRPr="00334C96" w:rsidRDefault="009E18ED" w:rsidP="00190BC9">
            <w:pPr>
              <w:rPr>
                <w:rFonts w:ascii="Calibri" w:hAnsi="Calibri" w:cs="Calibri"/>
                <w:sz w:val="22"/>
                <w:szCs w:val="22"/>
                <w:lang w:val="en-US"/>
              </w:rPr>
            </w:pPr>
            <w:r w:rsidRPr="00D3052C">
              <w:rPr>
                <w:rFonts w:ascii="Calibri" w:hAnsi="Calibri" w:cs="Calibri"/>
                <w:b/>
                <w:bCs/>
                <w:sz w:val="22"/>
                <w:szCs w:val="22"/>
                <w:lang w:val="en-US"/>
              </w:rPr>
              <w:t>AO:</w:t>
            </w:r>
            <w:r w:rsidRPr="006A6886">
              <w:rPr>
                <w:rFonts w:ascii="Calibri" w:hAnsi="Calibri" w:cs="Calibri"/>
                <w:sz w:val="22"/>
                <w:szCs w:val="22"/>
                <w:lang w:val="en-US"/>
              </w:rPr>
              <w:t xml:space="preserve"> </w:t>
            </w:r>
            <w:r>
              <w:rPr>
                <w:rStyle w:val="NormalChar"/>
              </w:rPr>
              <w:t>Shane Patton</w:t>
            </w:r>
            <w:r w:rsidRPr="006D2DCF">
              <w:rPr>
                <w:rStyle w:val="NormalChar"/>
              </w:rPr>
              <w:t>, Chief Commissioner of Police</w:t>
            </w:r>
          </w:p>
          <w:p w14:paraId="64D52D1E" w14:textId="77777777" w:rsidR="009E18ED" w:rsidRPr="00334C96" w:rsidRDefault="009E18ED" w:rsidP="00190BC9">
            <w:pPr>
              <w:rPr>
                <w:rFonts w:ascii="Calibri" w:hAnsi="Calibri" w:cs="Calibri"/>
                <w:sz w:val="22"/>
                <w:szCs w:val="22"/>
                <w:lang w:val="en-US"/>
              </w:rPr>
            </w:pPr>
            <w:r w:rsidRPr="00D3052C">
              <w:rPr>
                <w:rFonts w:ascii="Calibri" w:hAnsi="Calibri" w:cs="Calibri"/>
                <w:b/>
                <w:bCs/>
                <w:sz w:val="22"/>
                <w:szCs w:val="22"/>
                <w:lang w:val="en-US"/>
              </w:rPr>
              <w:t>CPO:</w:t>
            </w:r>
            <w:r w:rsidRPr="006A6886">
              <w:rPr>
                <w:rFonts w:ascii="Calibri" w:hAnsi="Calibri" w:cs="Calibri"/>
                <w:sz w:val="22"/>
                <w:szCs w:val="22"/>
                <w:lang w:val="en-US"/>
              </w:rPr>
              <w:t xml:space="preserve"> </w:t>
            </w:r>
            <w:r w:rsidRPr="00906040">
              <w:rPr>
                <w:rStyle w:val="NormalChar"/>
              </w:rPr>
              <w:t>Kirsten McFall</w:t>
            </w:r>
            <w:r w:rsidRPr="006D2DCF">
              <w:rPr>
                <w:rStyle w:val="NormalChar"/>
              </w:rPr>
              <w:t>, Director Procurement and CPO, Procurement D</w:t>
            </w:r>
            <w:r>
              <w:rPr>
                <w:rStyle w:val="NormalChar"/>
              </w:rPr>
              <w:t>ivision</w:t>
            </w:r>
          </w:p>
          <w:p w14:paraId="6130C61E" w14:textId="77777777" w:rsidR="009E18ED" w:rsidRPr="002E398B" w:rsidRDefault="009E18ED" w:rsidP="00190BC9">
            <w:pPr>
              <w:spacing w:before="40" w:after="40"/>
              <w:rPr>
                <w:rFonts w:ascii="Calibri" w:hAnsi="Calibri" w:cs="Calibri"/>
                <w:sz w:val="22"/>
                <w:szCs w:val="22"/>
                <w:lang w:val="en-US"/>
              </w:rPr>
            </w:pPr>
            <w:r w:rsidRPr="00D3052C">
              <w:rPr>
                <w:rFonts w:ascii="Calibri" w:hAnsi="Calibri" w:cs="Calibri"/>
                <w:b/>
                <w:bCs/>
                <w:sz w:val="22"/>
                <w:szCs w:val="22"/>
                <w:lang w:val="en-US"/>
              </w:rPr>
              <w:t>IPU Chair:</w:t>
            </w:r>
            <w:r>
              <w:rPr>
                <w:rFonts w:ascii="Calibri" w:hAnsi="Calibri" w:cs="Calibri"/>
                <w:sz w:val="22"/>
                <w:szCs w:val="22"/>
                <w:lang w:val="en-US"/>
              </w:rPr>
              <w:t xml:space="preserve"> </w:t>
            </w:r>
            <w:r w:rsidRPr="002E398B">
              <w:rPr>
                <w:rFonts w:ascii="Calibri" w:hAnsi="Calibri" w:cs="Calibri"/>
                <w:sz w:val="22"/>
                <w:szCs w:val="22"/>
                <w:lang w:val="en-US"/>
              </w:rPr>
              <w:t xml:space="preserve">Chris O’Farrell, </w:t>
            </w:r>
            <w:r w:rsidRPr="00D3052C">
              <w:rPr>
                <w:rFonts w:ascii="Calibri" w:hAnsi="Calibri" w:cs="Calibri"/>
                <w:sz w:val="22"/>
                <w:szCs w:val="22"/>
                <w:lang w:val="en-US"/>
              </w:rPr>
              <w:t xml:space="preserve">Executive and </w:t>
            </w:r>
            <w:r w:rsidRPr="002E398B">
              <w:rPr>
                <w:rFonts w:ascii="Calibri" w:hAnsi="Calibri" w:cs="Calibri"/>
                <w:sz w:val="22"/>
                <w:szCs w:val="22"/>
                <w:lang w:val="en-US"/>
              </w:rPr>
              <w:t xml:space="preserve">Chair of the Police Procurement Board, </w:t>
            </w:r>
            <w:r w:rsidRPr="00906040">
              <w:rPr>
                <w:rFonts w:ascii="Calibri" w:hAnsi="Calibri" w:cs="Calibri"/>
                <w:sz w:val="22"/>
                <w:szCs w:val="22"/>
                <w:lang w:val="en-US"/>
              </w:rPr>
              <w:t>Director, Infrastructure Business Services</w:t>
            </w:r>
          </w:p>
        </w:tc>
      </w:tr>
    </w:tbl>
    <w:p w14:paraId="26840894" w14:textId="77777777" w:rsidR="00F216CF" w:rsidRDefault="009E18ED" w:rsidP="00F216CF">
      <w:pPr>
        <w:pStyle w:val="Tablenotes"/>
      </w:pPr>
      <w:r>
        <w:t xml:space="preserve">* </w:t>
      </w:r>
      <w:r w:rsidR="00F216CF">
        <w:t xml:space="preserve">Procurement profile based on contracts valued at </w:t>
      </w:r>
      <w:r w:rsidR="00F216CF" w:rsidRPr="00D3052C">
        <w:t>$100 000</w:t>
      </w:r>
      <w:r w:rsidR="00F216CF">
        <w:t xml:space="preserve"> or more in total commercial value.</w:t>
      </w:r>
    </w:p>
    <w:p w14:paraId="101C2588" w14:textId="3249D562" w:rsidR="009E18ED" w:rsidRDefault="009E18ED" w:rsidP="009E18ED">
      <w:pPr>
        <w:pStyle w:val="Normal1"/>
      </w:pPr>
    </w:p>
    <w:p w14:paraId="22D89372" w14:textId="77777777" w:rsidR="009E18ED" w:rsidRDefault="009E18ED" w:rsidP="009E18ED">
      <w:pPr>
        <w:spacing w:after="160" w:line="259" w:lineRule="auto"/>
        <w:rPr>
          <w:rFonts w:ascii="Calibri" w:hAnsi="Calibri" w:cs="Calibri"/>
          <w:b/>
          <w:color w:val="4D4D4D"/>
          <w:kern w:val="28"/>
          <w:sz w:val="26"/>
          <w:szCs w:val="22"/>
          <w:lang w:eastAsia="en-US"/>
        </w:rPr>
      </w:pPr>
      <w:r>
        <w:br w:type="page"/>
      </w:r>
    </w:p>
    <w:p w14:paraId="699D495D" w14:textId="77777777" w:rsidR="009E18ED" w:rsidRPr="00CD6245" w:rsidRDefault="009E18ED" w:rsidP="009E18ED">
      <w:pPr>
        <w:pStyle w:val="Heading3NoNum"/>
      </w:pPr>
      <w:r>
        <w:lastRenderedPageBreak/>
        <w:t>P</w:t>
      </w:r>
      <w:r w:rsidRPr="00CD6245">
        <w:t>erformance</w:t>
      </w:r>
    </w:p>
    <w:p w14:paraId="52146387" w14:textId="242E74EA" w:rsidR="009E18ED" w:rsidRDefault="009E18ED" w:rsidP="009E18ED">
      <w:pPr>
        <w:pStyle w:val="Normal1"/>
      </w:pPr>
      <w:r>
        <w:fldChar w:fldCharType="begin"/>
      </w:r>
      <w:r>
        <w:instrText xml:space="preserve"> REF _Ref489367054 \h </w:instrText>
      </w:r>
      <w:r>
        <w:fldChar w:fldCharType="separate"/>
      </w:r>
      <w:r w:rsidR="00152B74" w:rsidRPr="00CD6245">
        <w:t xml:space="preserve">Table </w:t>
      </w:r>
      <w:r w:rsidR="00152B74">
        <w:rPr>
          <w:noProof/>
        </w:rPr>
        <w:t>35</w:t>
      </w:r>
      <w:r>
        <w:fldChar w:fldCharType="end"/>
      </w:r>
      <w:r w:rsidRPr="00CD6245">
        <w:t xml:space="preserve"> </w:t>
      </w:r>
      <w:r>
        <w:t>sets out Victoria Police’s performance in 2019–20 compared with the two previous years.</w:t>
      </w:r>
    </w:p>
    <w:p w14:paraId="733B1DB6" w14:textId="3CE73709" w:rsidR="009E18ED" w:rsidRDefault="009E18ED" w:rsidP="009E18ED">
      <w:pPr>
        <w:pStyle w:val="Caption"/>
      </w:pPr>
      <w:bookmarkStart w:id="291" w:name="_Ref489367054"/>
      <w:bookmarkStart w:id="292" w:name="_Toc503949277"/>
      <w:bookmarkStart w:id="293" w:name="_Toc12718001"/>
      <w:bookmarkStart w:id="294" w:name="_Toc17130223"/>
      <w:bookmarkStart w:id="295" w:name="_Toc48837168"/>
      <w:bookmarkStart w:id="296" w:name="_Toc49185558"/>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35</w:t>
      </w:r>
      <w:r>
        <w:rPr>
          <w:noProof/>
        </w:rPr>
        <w:fldChar w:fldCharType="end"/>
      </w:r>
      <w:bookmarkEnd w:id="291"/>
      <w:r w:rsidRPr="00CD6245">
        <w:t xml:space="preserve">: </w:t>
      </w:r>
      <w:r>
        <w:t>Victoria Police</w:t>
      </w:r>
      <w:r w:rsidRPr="00CD6245">
        <w:t xml:space="preserve"> performance in </w:t>
      </w:r>
      <w:bookmarkEnd w:id="292"/>
      <w:r>
        <w:t>2019–20</w:t>
      </w:r>
      <w:bookmarkEnd w:id="293"/>
      <w:bookmarkEnd w:id="294"/>
      <w:bookmarkEnd w:id="295"/>
      <w:bookmarkEnd w:id="296"/>
    </w:p>
    <w:tbl>
      <w:tblPr>
        <w:tblStyle w:val="TableGrid1"/>
        <w:tblW w:w="9072" w:type="dxa"/>
        <w:tblInd w:w="704" w:type="dxa"/>
        <w:tblLook w:val="04A0" w:firstRow="1" w:lastRow="0" w:firstColumn="1" w:lastColumn="0" w:noHBand="0" w:noVBand="1"/>
      </w:tblPr>
      <w:tblGrid>
        <w:gridCol w:w="3402"/>
        <w:gridCol w:w="2263"/>
        <w:gridCol w:w="6"/>
        <w:gridCol w:w="1133"/>
        <w:gridCol w:w="1134"/>
        <w:gridCol w:w="1134"/>
      </w:tblGrid>
      <w:tr w:rsidR="009E18ED" w:rsidRPr="00DA1E79" w14:paraId="2C6E20F7" w14:textId="77777777" w:rsidTr="00190BC9">
        <w:tc>
          <w:tcPr>
            <w:tcW w:w="5671" w:type="dxa"/>
            <w:gridSpan w:val="3"/>
            <w:vMerge w:val="restart"/>
          </w:tcPr>
          <w:p w14:paraId="3DEFCFFF" w14:textId="77777777" w:rsidR="009E18ED" w:rsidRPr="00DA1E79" w:rsidRDefault="009E18ED" w:rsidP="005C4F4A">
            <w:pPr>
              <w:pStyle w:val="TableHeader"/>
            </w:pPr>
            <w:r w:rsidRPr="00DA1E79">
              <w:t>Performance measure</w:t>
            </w:r>
          </w:p>
        </w:tc>
        <w:tc>
          <w:tcPr>
            <w:tcW w:w="1133" w:type="dxa"/>
          </w:tcPr>
          <w:p w14:paraId="340B2D4C" w14:textId="77777777" w:rsidR="009E18ED" w:rsidRPr="00DA1E79" w:rsidRDefault="009E18ED" w:rsidP="005C4F4A">
            <w:pPr>
              <w:pStyle w:val="TableHeader"/>
            </w:pPr>
            <w:r w:rsidRPr="00DA1E79">
              <w:t>2017–18</w:t>
            </w:r>
          </w:p>
        </w:tc>
        <w:tc>
          <w:tcPr>
            <w:tcW w:w="1134" w:type="dxa"/>
          </w:tcPr>
          <w:p w14:paraId="2BD59746" w14:textId="77777777" w:rsidR="009E18ED" w:rsidRPr="00DA1E79" w:rsidRDefault="009E18ED" w:rsidP="005C4F4A">
            <w:pPr>
              <w:pStyle w:val="TableHeader"/>
            </w:pPr>
            <w:r w:rsidRPr="00DA1E79">
              <w:t>2018–19</w:t>
            </w:r>
          </w:p>
        </w:tc>
        <w:tc>
          <w:tcPr>
            <w:tcW w:w="1134" w:type="dxa"/>
          </w:tcPr>
          <w:p w14:paraId="3C192A07" w14:textId="77777777" w:rsidR="009E18ED" w:rsidRPr="00DA1E79" w:rsidRDefault="009E18ED" w:rsidP="005C4F4A">
            <w:pPr>
              <w:pStyle w:val="TableHeader"/>
            </w:pPr>
            <w:r w:rsidRPr="00DA1E79">
              <w:t>2019–20</w:t>
            </w:r>
          </w:p>
        </w:tc>
      </w:tr>
      <w:tr w:rsidR="009E18ED" w:rsidRPr="00DA1E79" w14:paraId="5E239170" w14:textId="77777777" w:rsidTr="00190BC9">
        <w:tc>
          <w:tcPr>
            <w:tcW w:w="5671" w:type="dxa"/>
            <w:gridSpan w:val="3"/>
            <w:vMerge/>
          </w:tcPr>
          <w:p w14:paraId="17F37614" w14:textId="77777777" w:rsidR="009E18ED" w:rsidRPr="00DA1E79" w:rsidRDefault="009E18ED" w:rsidP="005C4F4A">
            <w:pPr>
              <w:pStyle w:val="TableHeader"/>
            </w:pPr>
          </w:p>
        </w:tc>
        <w:tc>
          <w:tcPr>
            <w:tcW w:w="3401" w:type="dxa"/>
            <w:gridSpan w:val="3"/>
          </w:tcPr>
          <w:p w14:paraId="7205A8A4" w14:textId="77777777" w:rsidR="009E18ED" w:rsidRPr="00DA1E79" w:rsidRDefault="009E18ED" w:rsidP="005C4F4A">
            <w:pPr>
              <w:pStyle w:val="TableHeader"/>
            </w:pPr>
            <w:r w:rsidRPr="00DA1E79">
              <w:t>(%)</w:t>
            </w:r>
          </w:p>
        </w:tc>
      </w:tr>
      <w:tr w:rsidR="009E18ED" w:rsidRPr="005C4F4A" w14:paraId="542AD397" w14:textId="77777777" w:rsidTr="00190BC9">
        <w:tc>
          <w:tcPr>
            <w:tcW w:w="5671" w:type="dxa"/>
            <w:gridSpan w:val="3"/>
          </w:tcPr>
          <w:p w14:paraId="158F6B41" w14:textId="77777777" w:rsidR="009E18ED" w:rsidRPr="005C4F4A" w:rsidRDefault="009E18ED" w:rsidP="000B20B5">
            <w:pPr>
              <w:pStyle w:val="TableText"/>
              <w:rPr>
                <w:rStyle w:val="Strong"/>
              </w:rPr>
            </w:pPr>
            <w:r w:rsidRPr="005C4F4A">
              <w:rPr>
                <w:rStyle w:val="Strong"/>
              </w:rPr>
              <w:t>Value created from department procurement activity</w:t>
            </w:r>
          </w:p>
        </w:tc>
        <w:tc>
          <w:tcPr>
            <w:tcW w:w="1133" w:type="dxa"/>
          </w:tcPr>
          <w:p w14:paraId="3A124FDD" w14:textId="77777777" w:rsidR="009E18ED" w:rsidRPr="005C4F4A" w:rsidRDefault="009E18ED" w:rsidP="000B20B5">
            <w:pPr>
              <w:pStyle w:val="TableText"/>
              <w:rPr>
                <w:rStyle w:val="Strong"/>
              </w:rPr>
            </w:pPr>
            <w:r w:rsidRPr="005C4F4A">
              <w:rPr>
                <w:rStyle w:val="Strong"/>
              </w:rPr>
              <w:t>5.4</w:t>
            </w:r>
          </w:p>
        </w:tc>
        <w:tc>
          <w:tcPr>
            <w:tcW w:w="1134" w:type="dxa"/>
          </w:tcPr>
          <w:p w14:paraId="6B8EB46A" w14:textId="77777777" w:rsidR="009E18ED" w:rsidRPr="005C4F4A" w:rsidRDefault="009E18ED" w:rsidP="000B20B5">
            <w:pPr>
              <w:pStyle w:val="TableText"/>
              <w:rPr>
                <w:rStyle w:val="Strong"/>
              </w:rPr>
            </w:pPr>
            <w:r w:rsidRPr="005C4F4A">
              <w:rPr>
                <w:rStyle w:val="Strong"/>
              </w:rPr>
              <w:t>5.0</w:t>
            </w:r>
          </w:p>
        </w:tc>
        <w:tc>
          <w:tcPr>
            <w:tcW w:w="1134" w:type="dxa"/>
          </w:tcPr>
          <w:p w14:paraId="5CAC2C42" w14:textId="77777777" w:rsidR="009E18ED" w:rsidRPr="005C4F4A" w:rsidRDefault="009E18ED" w:rsidP="000B20B5">
            <w:pPr>
              <w:pStyle w:val="TableText"/>
              <w:rPr>
                <w:rStyle w:val="Strong"/>
              </w:rPr>
            </w:pPr>
            <w:r w:rsidRPr="005C4F4A">
              <w:rPr>
                <w:rStyle w:val="Strong"/>
              </w:rPr>
              <w:t>4.3</w:t>
            </w:r>
          </w:p>
        </w:tc>
      </w:tr>
      <w:tr w:rsidR="009E18ED" w:rsidRPr="005F2BDA" w14:paraId="5D1D095C" w14:textId="77777777" w:rsidTr="00190BC9">
        <w:tc>
          <w:tcPr>
            <w:tcW w:w="9072" w:type="dxa"/>
            <w:gridSpan w:val="6"/>
          </w:tcPr>
          <w:p w14:paraId="0A042C1D" w14:textId="77777777" w:rsidR="009E18ED" w:rsidRPr="005F2BDA" w:rsidRDefault="009E18ED" w:rsidP="000B20B5">
            <w:pPr>
              <w:pStyle w:val="TableText"/>
            </w:pPr>
            <w:r>
              <w:t xml:space="preserve">The Procurement Division continues to ensure procurement practitioners </w:t>
            </w:r>
            <w:r w:rsidRPr="00162DC8">
              <w:t xml:space="preserve">look for savings as part of the procurement process. </w:t>
            </w:r>
            <w:r>
              <w:t xml:space="preserve">At the end of the </w:t>
            </w:r>
            <w:r w:rsidRPr="00162DC8">
              <w:t xml:space="preserve">procurement </w:t>
            </w:r>
            <w:r>
              <w:t>process</w:t>
            </w:r>
            <w:r w:rsidRPr="00162DC8">
              <w:t xml:space="preserve">, practitioners report on the value and type of savings </w:t>
            </w:r>
            <w:r>
              <w:t xml:space="preserve">achieved in a central database. </w:t>
            </w:r>
          </w:p>
        </w:tc>
      </w:tr>
      <w:tr w:rsidR="001D2ACD" w:rsidRPr="005C4F4A" w14:paraId="2F594819" w14:textId="77777777" w:rsidTr="00436BFB">
        <w:tc>
          <w:tcPr>
            <w:tcW w:w="5671" w:type="dxa"/>
            <w:gridSpan w:val="3"/>
          </w:tcPr>
          <w:p w14:paraId="3DFCEA6F" w14:textId="77777777" w:rsidR="001D2ACD" w:rsidRPr="005C4F4A" w:rsidRDefault="001D2ACD" w:rsidP="000B20B5">
            <w:pPr>
              <w:pStyle w:val="TableText"/>
              <w:rPr>
                <w:rStyle w:val="Strong"/>
              </w:rPr>
            </w:pPr>
            <w:r w:rsidRPr="005C4F4A">
              <w:rPr>
                <w:rStyle w:val="Strong"/>
              </w:rPr>
              <w:t xml:space="preserve">Managed spend </w:t>
            </w:r>
          </w:p>
        </w:tc>
        <w:tc>
          <w:tcPr>
            <w:tcW w:w="1133" w:type="dxa"/>
            <w:shd w:val="clear" w:color="auto" w:fill="FFFFFF" w:themeFill="background1"/>
          </w:tcPr>
          <w:p w14:paraId="2ABA8043" w14:textId="31DE60D1" w:rsidR="001D2ACD" w:rsidRPr="005C4F4A" w:rsidRDefault="001D2ACD" w:rsidP="000B20B5">
            <w:pPr>
              <w:pStyle w:val="TableText"/>
              <w:rPr>
                <w:rStyle w:val="Strong"/>
              </w:rPr>
            </w:pPr>
            <w:r w:rsidRPr="005C4F4A">
              <w:rPr>
                <w:rStyle w:val="Strong"/>
              </w:rPr>
              <w:t>n/a</w:t>
            </w:r>
          </w:p>
        </w:tc>
        <w:tc>
          <w:tcPr>
            <w:tcW w:w="1134" w:type="dxa"/>
            <w:shd w:val="clear" w:color="auto" w:fill="FFFFFF" w:themeFill="background1"/>
          </w:tcPr>
          <w:p w14:paraId="4FD75F4F" w14:textId="7CFFF0A6" w:rsidR="001D2ACD" w:rsidRPr="005C4F4A" w:rsidRDefault="001D2ACD" w:rsidP="000B20B5">
            <w:pPr>
              <w:pStyle w:val="TableText"/>
              <w:rPr>
                <w:rStyle w:val="Strong"/>
              </w:rPr>
            </w:pPr>
            <w:r w:rsidRPr="005C4F4A">
              <w:rPr>
                <w:rStyle w:val="Strong"/>
              </w:rPr>
              <w:t>n/a</w:t>
            </w:r>
          </w:p>
        </w:tc>
        <w:tc>
          <w:tcPr>
            <w:tcW w:w="1134" w:type="dxa"/>
          </w:tcPr>
          <w:p w14:paraId="147032CB" w14:textId="7245349A" w:rsidR="001D2ACD" w:rsidRPr="005C4F4A" w:rsidRDefault="001D2ACD" w:rsidP="000B20B5">
            <w:pPr>
              <w:pStyle w:val="TableText"/>
              <w:rPr>
                <w:rStyle w:val="Strong"/>
              </w:rPr>
            </w:pPr>
            <w:r w:rsidRPr="005C4F4A">
              <w:rPr>
                <w:rStyle w:val="Strong"/>
              </w:rPr>
              <w:t>86.1</w:t>
            </w:r>
          </w:p>
        </w:tc>
      </w:tr>
      <w:tr w:rsidR="009E18ED" w:rsidRPr="00505378" w14:paraId="3664EB45" w14:textId="77777777" w:rsidTr="00190BC9">
        <w:tc>
          <w:tcPr>
            <w:tcW w:w="9072" w:type="dxa"/>
            <w:gridSpan w:val="6"/>
          </w:tcPr>
          <w:p w14:paraId="0F2FC352" w14:textId="30058FE0" w:rsidR="009E18ED" w:rsidRPr="00C000FB" w:rsidRDefault="00F216CF" w:rsidP="000B20B5">
            <w:pPr>
              <w:pStyle w:val="TableText"/>
            </w:pPr>
            <w:bookmarkStart w:id="297" w:name="_Hlk48303534"/>
            <w:bookmarkStart w:id="298" w:name="_Hlk48306575"/>
            <w:r>
              <w:t>Victoria Police’s total spend excluding activities under the Project Development Construction Management Act and non-procurement categories (such as wages, GST payments, etc.) was reported at $824 million incl. GST, including spend under $100 000. Victoria Police has defined non-managed spend as spend not under contract. Examining non-contract spend and then taking out a major contract which should be under contract (VicFleet), non-managed spend is $114 million incl. GST, including under $100 000 spend. Subtracting this from the total spend leaves $710 million as managed spend.</w:t>
            </w:r>
            <w:bookmarkEnd w:id="297"/>
            <w:bookmarkEnd w:id="298"/>
          </w:p>
        </w:tc>
      </w:tr>
      <w:tr w:rsidR="009E18ED" w:rsidRPr="005C4F4A" w14:paraId="2173841C" w14:textId="77777777" w:rsidTr="00190BC9">
        <w:tc>
          <w:tcPr>
            <w:tcW w:w="5671" w:type="dxa"/>
            <w:gridSpan w:val="3"/>
          </w:tcPr>
          <w:p w14:paraId="58A27EAC" w14:textId="77777777" w:rsidR="009E18ED" w:rsidRPr="005C4F4A" w:rsidRDefault="009E18ED" w:rsidP="000B20B5">
            <w:pPr>
              <w:pStyle w:val="TableText"/>
              <w:rPr>
                <w:rStyle w:val="Strong"/>
              </w:rPr>
            </w:pPr>
            <w:r w:rsidRPr="005C4F4A">
              <w:rPr>
                <w:rStyle w:val="Strong"/>
              </w:rPr>
              <w:t>Increase in procurement capability</w:t>
            </w:r>
          </w:p>
        </w:tc>
        <w:tc>
          <w:tcPr>
            <w:tcW w:w="1133" w:type="dxa"/>
          </w:tcPr>
          <w:p w14:paraId="6CE266B2" w14:textId="044926F8" w:rsidR="009E18ED" w:rsidRPr="005C4F4A" w:rsidRDefault="00146183" w:rsidP="000B20B5">
            <w:pPr>
              <w:pStyle w:val="TableText"/>
              <w:rPr>
                <w:rStyle w:val="Strong"/>
              </w:rPr>
            </w:pPr>
            <w:r w:rsidRPr="005C4F4A">
              <w:rPr>
                <w:rStyle w:val="Strong"/>
              </w:rPr>
              <w:t>−</w:t>
            </w:r>
            <w:r w:rsidR="009E18ED" w:rsidRPr="005C4F4A">
              <w:rPr>
                <w:rStyle w:val="Strong"/>
              </w:rPr>
              <w:t>5.1</w:t>
            </w:r>
          </w:p>
        </w:tc>
        <w:tc>
          <w:tcPr>
            <w:tcW w:w="1134" w:type="dxa"/>
          </w:tcPr>
          <w:p w14:paraId="448AAF2D" w14:textId="77777777" w:rsidR="009E18ED" w:rsidRPr="005C4F4A" w:rsidRDefault="009E18ED" w:rsidP="000B20B5">
            <w:pPr>
              <w:pStyle w:val="TableText"/>
              <w:rPr>
                <w:rStyle w:val="Strong"/>
              </w:rPr>
            </w:pPr>
            <w:r w:rsidRPr="005C4F4A">
              <w:rPr>
                <w:rStyle w:val="Strong"/>
              </w:rPr>
              <w:t>3.6</w:t>
            </w:r>
          </w:p>
        </w:tc>
        <w:tc>
          <w:tcPr>
            <w:tcW w:w="1134" w:type="dxa"/>
          </w:tcPr>
          <w:p w14:paraId="176F3C93" w14:textId="1DC3F81B" w:rsidR="009E18ED" w:rsidRPr="005C4F4A" w:rsidRDefault="00146183" w:rsidP="000B20B5">
            <w:pPr>
              <w:pStyle w:val="TableText"/>
              <w:rPr>
                <w:rStyle w:val="Strong"/>
              </w:rPr>
            </w:pPr>
            <w:r w:rsidRPr="005C4F4A">
              <w:rPr>
                <w:rStyle w:val="Strong"/>
              </w:rPr>
              <w:t>−</w:t>
            </w:r>
            <w:r w:rsidR="009E18ED" w:rsidRPr="005C4F4A">
              <w:rPr>
                <w:rStyle w:val="Strong"/>
              </w:rPr>
              <w:t>10.4</w:t>
            </w:r>
          </w:p>
        </w:tc>
      </w:tr>
      <w:tr w:rsidR="009E18ED" w:rsidRPr="00505378" w14:paraId="038643B7" w14:textId="77777777" w:rsidTr="00190BC9">
        <w:tc>
          <w:tcPr>
            <w:tcW w:w="9072" w:type="dxa"/>
            <w:gridSpan w:val="6"/>
          </w:tcPr>
          <w:p w14:paraId="5A4AD2CF" w14:textId="55214E6D" w:rsidR="009E18ED" w:rsidRPr="00C000FB" w:rsidRDefault="00FE6219" w:rsidP="000B20B5">
            <w:pPr>
              <w:pStyle w:val="TableText"/>
            </w:pPr>
            <w:r>
              <w:t>Procurement capability dropped from 115 to 103 (out of 150), which is a 10.4</w:t>
            </w:r>
            <w:r w:rsidR="00783F0A">
              <w:t xml:space="preserve"> per cent</w:t>
            </w:r>
            <w:r>
              <w:t xml:space="preserve"> decrease in capability. Victoria Police appointed a new CPO during the year which led to a reassessment of the questions used to determine capability and opportunities found to allow for growth in process and policy. Recent CIPS </w:t>
            </w:r>
            <w:r w:rsidRPr="00436BFB">
              <w:t>re-accreditation</w:t>
            </w:r>
            <w:r>
              <w:t xml:space="preserve"> and work involved to re-examine process and policy documents also provided an opportunity to re-evaluate how the questions are interpreted and responded to. Lastly, the loss of key staff without the opportunity to backfill due to Financial Sustainability restrictions has also diminished capacity and capability.</w:t>
            </w:r>
          </w:p>
        </w:tc>
      </w:tr>
      <w:tr w:rsidR="009E18ED" w:rsidRPr="005C4F4A" w14:paraId="78526135" w14:textId="77777777" w:rsidTr="00190BC9">
        <w:tc>
          <w:tcPr>
            <w:tcW w:w="3402" w:type="dxa"/>
            <w:vMerge w:val="restart"/>
          </w:tcPr>
          <w:p w14:paraId="50E08844" w14:textId="77777777" w:rsidR="009E18ED" w:rsidRPr="005C4F4A" w:rsidRDefault="009E18ED" w:rsidP="000B20B5">
            <w:pPr>
              <w:pStyle w:val="TableText"/>
              <w:rPr>
                <w:rStyle w:val="Strong"/>
              </w:rPr>
            </w:pPr>
            <w:r w:rsidRPr="005C4F4A">
              <w:rPr>
                <w:rStyle w:val="Strong"/>
              </w:rPr>
              <w:t>Supplier satisfaction assessment</w:t>
            </w:r>
          </w:p>
        </w:tc>
        <w:tc>
          <w:tcPr>
            <w:tcW w:w="2263" w:type="dxa"/>
          </w:tcPr>
          <w:p w14:paraId="50D868CD" w14:textId="77777777" w:rsidR="009E18ED" w:rsidRPr="005C4F4A" w:rsidRDefault="009E18ED" w:rsidP="000B20B5">
            <w:pPr>
              <w:pStyle w:val="TableText"/>
              <w:rPr>
                <w:rStyle w:val="Strong"/>
              </w:rPr>
            </w:pPr>
            <w:r w:rsidRPr="005C4F4A">
              <w:rPr>
                <w:rStyle w:val="Strong"/>
              </w:rPr>
              <w:t>Successful satisfied</w:t>
            </w:r>
          </w:p>
        </w:tc>
        <w:tc>
          <w:tcPr>
            <w:tcW w:w="1139" w:type="dxa"/>
            <w:gridSpan w:val="2"/>
          </w:tcPr>
          <w:p w14:paraId="193960FC" w14:textId="77777777" w:rsidR="009E18ED" w:rsidRPr="005C4F4A" w:rsidRDefault="009E18ED" w:rsidP="000B20B5">
            <w:pPr>
              <w:pStyle w:val="TableText"/>
              <w:rPr>
                <w:rStyle w:val="Strong"/>
              </w:rPr>
            </w:pPr>
            <w:r w:rsidRPr="005C4F4A">
              <w:rPr>
                <w:rStyle w:val="Strong"/>
              </w:rPr>
              <w:t>82</w:t>
            </w:r>
          </w:p>
        </w:tc>
        <w:tc>
          <w:tcPr>
            <w:tcW w:w="1134" w:type="dxa"/>
          </w:tcPr>
          <w:p w14:paraId="494A5539" w14:textId="77777777" w:rsidR="009E18ED" w:rsidRPr="005C4F4A" w:rsidRDefault="009E18ED" w:rsidP="000B20B5">
            <w:pPr>
              <w:pStyle w:val="TableText"/>
              <w:rPr>
                <w:rStyle w:val="Strong"/>
              </w:rPr>
            </w:pPr>
            <w:r w:rsidRPr="005C4F4A">
              <w:rPr>
                <w:rStyle w:val="Strong"/>
              </w:rPr>
              <w:t>86</w:t>
            </w:r>
          </w:p>
        </w:tc>
        <w:tc>
          <w:tcPr>
            <w:tcW w:w="1134" w:type="dxa"/>
          </w:tcPr>
          <w:p w14:paraId="43B455F5" w14:textId="77777777" w:rsidR="009E18ED" w:rsidRPr="005C4F4A" w:rsidRDefault="009E18ED" w:rsidP="000B20B5">
            <w:pPr>
              <w:pStyle w:val="TableText"/>
              <w:rPr>
                <w:rStyle w:val="Strong"/>
              </w:rPr>
            </w:pPr>
            <w:r w:rsidRPr="005C4F4A">
              <w:rPr>
                <w:rStyle w:val="Strong"/>
              </w:rPr>
              <w:t>93</w:t>
            </w:r>
          </w:p>
        </w:tc>
      </w:tr>
      <w:tr w:rsidR="009E18ED" w:rsidRPr="005C4F4A" w14:paraId="7199040C" w14:textId="77777777" w:rsidTr="00190BC9">
        <w:tc>
          <w:tcPr>
            <w:tcW w:w="3402" w:type="dxa"/>
            <w:vMerge/>
          </w:tcPr>
          <w:p w14:paraId="0B6819DB" w14:textId="77777777" w:rsidR="009E18ED" w:rsidRPr="005C4F4A" w:rsidRDefault="009E18ED" w:rsidP="000B20B5">
            <w:pPr>
              <w:pStyle w:val="TableText"/>
              <w:rPr>
                <w:rStyle w:val="Strong"/>
              </w:rPr>
            </w:pPr>
          </w:p>
        </w:tc>
        <w:tc>
          <w:tcPr>
            <w:tcW w:w="2263" w:type="dxa"/>
          </w:tcPr>
          <w:p w14:paraId="33B493BE" w14:textId="77777777" w:rsidR="009E18ED" w:rsidRPr="005C4F4A" w:rsidRDefault="009E18ED" w:rsidP="000B20B5">
            <w:pPr>
              <w:pStyle w:val="TableText"/>
              <w:rPr>
                <w:rStyle w:val="Strong"/>
              </w:rPr>
            </w:pPr>
            <w:r w:rsidRPr="005C4F4A">
              <w:rPr>
                <w:rStyle w:val="Strong"/>
              </w:rPr>
              <w:t>Unsuccessful satisfied</w:t>
            </w:r>
          </w:p>
        </w:tc>
        <w:tc>
          <w:tcPr>
            <w:tcW w:w="1139" w:type="dxa"/>
            <w:gridSpan w:val="2"/>
          </w:tcPr>
          <w:p w14:paraId="3194A7CE" w14:textId="77777777" w:rsidR="009E18ED" w:rsidRPr="005C4F4A" w:rsidRDefault="009E18ED" w:rsidP="000B20B5">
            <w:pPr>
              <w:pStyle w:val="TableText"/>
              <w:rPr>
                <w:rStyle w:val="Strong"/>
              </w:rPr>
            </w:pPr>
            <w:r w:rsidRPr="005C4F4A">
              <w:rPr>
                <w:rStyle w:val="Strong"/>
              </w:rPr>
              <w:t>0</w:t>
            </w:r>
          </w:p>
        </w:tc>
        <w:tc>
          <w:tcPr>
            <w:tcW w:w="1134" w:type="dxa"/>
          </w:tcPr>
          <w:p w14:paraId="2EF66420" w14:textId="77777777" w:rsidR="009E18ED" w:rsidRPr="005C4F4A" w:rsidRDefault="009E18ED" w:rsidP="000B20B5">
            <w:pPr>
              <w:pStyle w:val="TableText"/>
              <w:rPr>
                <w:rStyle w:val="Strong"/>
              </w:rPr>
            </w:pPr>
            <w:r w:rsidRPr="005C4F4A">
              <w:rPr>
                <w:rStyle w:val="Strong"/>
              </w:rPr>
              <w:t>20</w:t>
            </w:r>
          </w:p>
        </w:tc>
        <w:tc>
          <w:tcPr>
            <w:tcW w:w="1134" w:type="dxa"/>
          </w:tcPr>
          <w:p w14:paraId="3D6BF4BE" w14:textId="77777777" w:rsidR="009E18ED" w:rsidRPr="005C4F4A" w:rsidRDefault="009E18ED" w:rsidP="000B20B5">
            <w:pPr>
              <w:pStyle w:val="TableText"/>
              <w:rPr>
                <w:rStyle w:val="Strong"/>
              </w:rPr>
            </w:pPr>
            <w:r w:rsidRPr="005C4F4A">
              <w:rPr>
                <w:rStyle w:val="Strong"/>
              </w:rPr>
              <w:t>33</w:t>
            </w:r>
          </w:p>
        </w:tc>
      </w:tr>
      <w:tr w:rsidR="009E18ED" w:rsidRPr="00505378" w14:paraId="457B564D" w14:textId="77777777" w:rsidTr="00190BC9">
        <w:tc>
          <w:tcPr>
            <w:tcW w:w="9072" w:type="dxa"/>
            <w:gridSpan w:val="6"/>
          </w:tcPr>
          <w:p w14:paraId="163D3733" w14:textId="77777777" w:rsidR="009E18ED" w:rsidRPr="00C000FB" w:rsidRDefault="009E18ED" w:rsidP="000B20B5">
            <w:pPr>
              <w:pStyle w:val="TableText"/>
            </w:pPr>
            <w:r w:rsidRPr="00084620">
              <w:t xml:space="preserve">Reasons for satisfaction primarily related to clarity of information/evaluation criteria, the process being simple/straightforward and effective communication. Reasons for dissatisfaction most commonly related to timeliness of the process, </w:t>
            </w:r>
            <w:r>
              <w:t xml:space="preserve">the </w:t>
            </w:r>
            <w:r w:rsidRPr="00084620">
              <w:t>burden of submission requirements and clarity/timeliness of feedback.</w:t>
            </w:r>
          </w:p>
        </w:tc>
      </w:tr>
      <w:tr w:rsidR="009E18ED" w:rsidRPr="005C4F4A" w14:paraId="5EBE08D0" w14:textId="77777777" w:rsidTr="00190BC9">
        <w:tc>
          <w:tcPr>
            <w:tcW w:w="5671" w:type="dxa"/>
            <w:gridSpan w:val="3"/>
          </w:tcPr>
          <w:p w14:paraId="27AA9959" w14:textId="77777777" w:rsidR="009E18ED" w:rsidRPr="005C4F4A" w:rsidRDefault="009E18ED" w:rsidP="000B20B5">
            <w:pPr>
              <w:pStyle w:val="TableText"/>
              <w:rPr>
                <w:rStyle w:val="Strong"/>
              </w:rPr>
            </w:pPr>
            <w:r w:rsidRPr="005C4F4A">
              <w:rPr>
                <w:rStyle w:val="Strong"/>
              </w:rPr>
              <w:t>Planned procurement activity as a % of actual procurement activity</w:t>
            </w:r>
          </w:p>
        </w:tc>
        <w:tc>
          <w:tcPr>
            <w:tcW w:w="1133" w:type="dxa"/>
          </w:tcPr>
          <w:p w14:paraId="56C9A8D9" w14:textId="77777777" w:rsidR="009E18ED" w:rsidRPr="005C4F4A" w:rsidRDefault="009E18ED" w:rsidP="000B20B5">
            <w:pPr>
              <w:pStyle w:val="TableText"/>
              <w:rPr>
                <w:rStyle w:val="Strong"/>
              </w:rPr>
            </w:pPr>
            <w:r w:rsidRPr="005C4F4A">
              <w:rPr>
                <w:rStyle w:val="Strong"/>
              </w:rPr>
              <w:t>74.2</w:t>
            </w:r>
          </w:p>
        </w:tc>
        <w:tc>
          <w:tcPr>
            <w:tcW w:w="1134" w:type="dxa"/>
          </w:tcPr>
          <w:p w14:paraId="115F6B8B" w14:textId="77777777" w:rsidR="009E18ED" w:rsidRPr="005C4F4A" w:rsidRDefault="009E18ED" w:rsidP="000B20B5">
            <w:pPr>
              <w:pStyle w:val="TableText"/>
              <w:rPr>
                <w:rStyle w:val="Strong"/>
              </w:rPr>
            </w:pPr>
            <w:r w:rsidRPr="005C4F4A">
              <w:rPr>
                <w:rStyle w:val="Strong"/>
              </w:rPr>
              <w:t>65.8</w:t>
            </w:r>
          </w:p>
        </w:tc>
        <w:tc>
          <w:tcPr>
            <w:tcW w:w="1134" w:type="dxa"/>
          </w:tcPr>
          <w:p w14:paraId="14AD7DC1" w14:textId="77777777" w:rsidR="009E18ED" w:rsidRPr="005C4F4A" w:rsidRDefault="009E18ED" w:rsidP="000B20B5">
            <w:pPr>
              <w:pStyle w:val="TableText"/>
              <w:rPr>
                <w:rStyle w:val="Strong"/>
              </w:rPr>
            </w:pPr>
            <w:r w:rsidRPr="005C4F4A">
              <w:rPr>
                <w:rStyle w:val="Strong"/>
              </w:rPr>
              <w:t>82.6</w:t>
            </w:r>
          </w:p>
        </w:tc>
      </w:tr>
      <w:tr w:rsidR="009E18ED" w:rsidRPr="006C6059" w14:paraId="2BDD041B" w14:textId="77777777" w:rsidTr="00190BC9">
        <w:tc>
          <w:tcPr>
            <w:tcW w:w="9072" w:type="dxa"/>
            <w:gridSpan w:val="6"/>
          </w:tcPr>
          <w:p w14:paraId="3B64FA24" w14:textId="1E9C8CA5" w:rsidR="009E18ED" w:rsidRPr="005F2BDA" w:rsidRDefault="009E18ED" w:rsidP="000B20B5">
            <w:pPr>
              <w:pStyle w:val="TableText"/>
            </w:pPr>
            <w:r w:rsidRPr="00084620">
              <w:t>Annual procurement planning continues</w:t>
            </w:r>
            <w:r>
              <w:t xml:space="preserve"> and o</w:t>
            </w:r>
            <w:r w:rsidRPr="00084620">
              <w:t>verall</w:t>
            </w:r>
            <w:r>
              <w:t xml:space="preserve"> </w:t>
            </w:r>
            <w:r w:rsidRPr="00084620">
              <w:t>works well. Capturing government</w:t>
            </w:r>
            <w:r w:rsidR="00CD2D0F">
              <w:t>-</w:t>
            </w:r>
            <w:r w:rsidRPr="00084620">
              <w:t>funded projects that are announced after the planning process has concluded will continue to pose a challenge to this metric.</w:t>
            </w:r>
          </w:p>
        </w:tc>
      </w:tr>
    </w:tbl>
    <w:p w14:paraId="58F34F28" w14:textId="77777777" w:rsidR="009E18ED" w:rsidRDefault="009E18ED" w:rsidP="009E18ED"/>
    <w:p w14:paraId="207AEABB" w14:textId="77777777" w:rsidR="00160B30" w:rsidRDefault="00160B30" w:rsidP="00E635DF">
      <w:pPr>
        <w:pStyle w:val="Bullet1"/>
        <w:numPr>
          <w:ilvl w:val="0"/>
          <w:numId w:val="0"/>
        </w:numPr>
        <w:ind w:left="1077" w:hanging="283"/>
        <w:rPr>
          <w:lang w:val="en-US"/>
        </w:rPr>
        <w:sectPr w:rsidR="00160B30" w:rsidSect="00152B74">
          <w:headerReference w:type="default" r:id="rId41"/>
          <w:footerReference w:type="even" r:id="rId42"/>
          <w:footerReference w:type="default" r:id="rId43"/>
          <w:footerReference w:type="first" r:id="rId44"/>
          <w:pgSz w:w="11900" w:h="16840"/>
          <w:pgMar w:top="1134" w:right="1134" w:bottom="1134" w:left="1134" w:header="708" w:footer="708" w:gutter="0"/>
          <w:pgNumType w:start="1"/>
          <w:cols w:space="708"/>
          <w:titlePg/>
          <w:docGrid w:linePitch="360"/>
        </w:sectPr>
      </w:pPr>
    </w:p>
    <w:p w14:paraId="5DB3AB4C" w14:textId="77777777" w:rsidR="00505378" w:rsidRDefault="00505378" w:rsidP="00505378">
      <w:pPr>
        <w:pStyle w:val="Heading1NoNum"/>
      </w:pPr>
      <w:bookmarkStart w:id="300" w:name="_Toc20648430"/>
      <w:bookmarkStart w:id="301" w:name="_Toc52187751"/>
      <w:bookmarkEnd w:id="290"/>
      <w:r>
        <w:lastRenderedPageBreak/>
        <w:t>Appendix</w:t>
      </w:r>
      <w:bookmarkEnd w:id="300"/>
      <w:bookmarkEnd w:id="301"/>
    </w:p>
    <w:p w14:paraId="50BF607E" w14:textId="6B449442" w:rsidR="00505378" w:rsidRDefault="00505378" w:rsidP="00505378">
      <w:pPr>
        <w:pStyle w:val="Heading2NoNum"/>
      </w:pPr>
      <w:bookmarkStart w:id="302" w:name="_Toc20648431"/>
      <w:bookmarkStart w:id="303" w:name="_Toc52187752"/>
      <w:r>
        <w:t>SEPC dat</w:t>
      </w:r>
      <w:bookmarkEnd w:id="302"/>
      <w:r w:rsidR="00B15BF7">
        <w:t>a</w:t>
      </w:r>
      <w:bookmarkEnd w:id="303"/>
      <w:r>
        <w:tab/>
      </w:r>
    </w:p>
    <w:p w14:paraId="58E5B277" w14:textId="3DE3779A" w:rsidR="00505378" w:rsidRPr="00CA76D2" w:rsidRDefault="00505378" w:rsidP="00505378">
      <w:pPr>
        <w:pStyle w:val="Normal1"/>
        <w:rPr>
          <w:lang w:eastAsia="en-US"/>
        </w:rPr>
      </w:pPr>
      <w:r>
        <w:rPr>
          <w:lang w:eastAsia="en-US"/>
        </w:rPr>
        <w:fldChar w:fldCharType="begin"/>
      </w:r>
      <w:r>
        <w:rPr>
          <w:lang w:eastAsia="en-US"/>
        </w:rPr>
        <w:instrText xml:space="preserve"> REF _Ref489277378 \h </w:instrText>
      </w:r>
      <w:r>
        <w:rPr>
          <w:lang w:eastAsia="en-US"/>
        </w:rPr>
      </w:r>
      <w:r>
        <w:rPr>
          <w:lang w:eastAsia="en-US"/>
        </w:rPr>
        <w:fldChar w:fldCharType="separate"/>
      </w:r>
      <w:r w:rsidR="00152B74" w:rsidRPr="00CD6245">
        <w:t xml:space="preserve">Table </w:t>
      </w:r>
      <w:r w:rsidR="00152B74">
        <w:rPr>
          <w:noProof/>
        </w:rPr>
        <w:t>36</w:t>
      </w:r>
      <w:r>
        <w:rPr>
          <w:lang w:eastAsia="en-US"/>
        </w:rPr>
        <w:fldChar w:fldCharType="end"/>
      </w:r>
      <w:r>
        <w:rPr>
          <w:lang w:eastAsia="en-US"/>
        </w:rPr>
        <w:t xml:space="preserve"> details the SEPC</w:t>
      </w:r>
      <w:r w:rsidR="00C3564B">
        <w:rPr>
          <w:lang w:eastAsia="en-US"/>
        </w:rPr>
        <w:t>s</w:t>
      </w:r>
      <w:r>
        <w:rPr>
          <w:lang w:eastAsia="en-US"/>
        </w:rPr>
        <w:t xml:space="preserve"> approved in </w:t>
      </w:r>
      <w:r w:rsidR="00810C0C">
        <w:rPr>
          <w:lang w:eastAsia="en-US"/>
        </w:rPr>
        <w:t>2019–20</w:t>
      </w:r>
      <w:r>
        <w:rPr>
          <w:lang w:eastAsia="en-US"/>
        </w:rPr>
        <w:t>.</w:t>
      </w:r>
    </w:p>
    <w:p w14:paraId="7EFC6042" w14:textId="290E8EA9" w:rsidR="00505378" w:rsidRDefault="00505378" w:rsidP="00505378">
      <w:pPr>
        <w:pStyle w:val="Caption"/>
      </w:pPr>
      <w:bookmarkStart w:id="304" w:name="_Ref489277378"/>
      <w:bookmarkStart w:id="305" w:name="_Toc17130224"/>
      <w:bookmarkStart w:id="306" w:name="_Toc48837169"/>
      <w:bookmarkStart w:id="307" w:name="_Toc49185559"/>
      <w:r w:rsidRPr="00CD6245">
        <w:t xml:space="preserve">Table </w:t>
      </w:r>
      <w:r>
        <w:rPr>
          <w:noProof/>
        </w:rPr>
        <w:fldChar w:fldCharType="begin"/>
      </w:r>
      <w:r>
        <w:rPr>
          <w:noProof/>
        </w:rPr>
        <w:instrText xml:space="preserve"> SEQ Table \* ARABIC </w:instrText>
      </w:r>
      <w:r>
        <w:rPr>
          <w:noProof/>
        </w:rPr>
        <w:fldChar w:fldCharType="separate"/>
      </w:r>
      <w:r w:rsidR="00152B74">
        <w:rPr>
          <w:noProof/>
        </w:rPr>
        <w:t>36</w:t>
      </w:r>
      <w:r>
        <w:rPr>
          <w:noProof/>
        </w:rPr>
        <w:fldChar w:fldCharType="end"/>
      </w:r>
      <w:bookmarkEnd w:id="304"/>
      <w:r w:rsidRPr="00CD6245">
        <w:t xml:space="preserve">: Breakdown of SEPCs approved in </w:t>
      </w:r>
      <w:bookmarkEnd w:id="305"/>
      <w:r w:rsidR="00810C0C">
        <w:t>2019–20</w:t>
      </w:r>
      <w:bookmarkEnd w:id="306"/>
      <w:bookmarkEnd w:id="307"/>
    </w:p>
    <w:tbl>
      <w:tblPr>
        <w:tblW w:w="13928" w:type="dxa"/>
        <w:tblInd w:w="704" w:type="dxa"/>
        <w:tblLayout w:type="fixed"/>
        <w:tblLook w:val="04A0" w:firstRow="1" w:lastRow="0" w:firstColumn="1" w:lastColumn="0" w:noHBand="0" w:noVBand="1"/>
      </w:tblPr>
      <w:tblGrid>
        <w:gridCol w:w="1188"/>
        <w:gridCol w:w="5474"/>
        <w:gridCol w:w="1134"/>
        <w:gridCol w:w="1074"/>
        <w:gridCol w:w="1074"/>
        <w:gridCol w:w="1308"/>
        <w:gridCol w:w="975"/>
        <w:gridCol w:w="808"/>
        <w:gridCol w:w="893"/>
      </w:tblGrid>
      <w:tr w:rsidR="00855D1E" w:rsidRPr="00855D1E" w14:paraId="072C393A" w14:textId="77777777" w:rsidTr="006D7E80">
        <w:trPr>
          <w:trHeight w:val="720"/>
          <w:tblHeader/>
        </w:trPr>
        <w:tc>
          <w:tcPr>
            <w:tcW w:w="1188" w:type="dxa"/>
            <w:tcBorders>
              <w:top w:val="single" w:sz="4" w:space="0" w:color="auto"/>
              <w:left w:val="single" w:sz="4" w:space="0" w:color="auto"/>
              <w:bottom w:val="single" w:sz="4" w:space="0" w:color="auto"/>
              <w:right w:val="single" w:sz="4" w:space="0" w:color="auto"/>
            </w:tcBorders>
            <w:shd w:val="clear" w:color="000000" w:fill="A6A6A6"/>
            <w:hideMark/>
          </w:tcPr>
          <w:p w14:paraId="4A8F9996" w14:textId="05395A90" w:rsidR="00855D1E" w:rsidRPr="00855D1E" w:rsidRDefault="00855D1E" w:rsidP="00633FF6">
            <w:pPr>
              <w:rPr>
                <w:rFonts w:ascii="Calibri" w:hAnsi="Calibri" w:cs="Calibri"/>
                <w:b/>
                <w:bCs/>
                <w:sz w:val="20"/>
                <w:szCs w:val="20"/>
              </w:rPr>
            </w:pPr>
            <w:r w:rsidRPr="00EF126C">
              <w:rPr>
                <w:rFonts w:ascii="Calibri" w:hAnsi="Calibri" w:cs="Calibri"/>
                <w:b/>
                <w:bCs/>
                <w:sz w:val="18"/>
                <w:szCs w:val="18"/>
              </w:rPr>
              <w:t>Org</w:t>
            </w:r>
            <w:r w:rsidR="00EF126C">
              <w:rPr>
                <w:rFonts w:ascii="Calibri" w:hAnsi="Calibri" w:cs="Calibri"/>
                <w:b/>
                <w:bCs/>
                <w:sz w:val="18"/>
                <w:szCs w:val="18"/>
              </w:rPr>
              <w:t>anisation</w:t>
            </w:r>
          </w:p>
        </w:tc>
        <w:tc>
          <w:tcPr>
            <w:tcW w:w="5474" w:type="dxa"/>
            <w:tcBorders>
              <w:top w:val="single" w:sz="4" w:space="0" w:color="auto"/>
              <w:left w:val="nil"/>
              <w:bottom w:val="single" w:sz="4" w:space="0" w:color="auto"/>
              <w:right w:val="single" w:sz="4" w:space="0" w:color="auto"/>
            </w:tcBorders>
            <w:shd w:val="clear" w:color="000000" w:fill="A6A6A6"/>
            <w:hideMark/>
          </w:tcPr>
          <w:p w14:paraId="0203F77F" w14:textId="77777777" w:rsidR="00855D1E" w:rsidRPr="00855D1E" w:rsidRDefault="00855D1E" w:rsidP="00633FF6">
            <w:pPr>
              <w:rPr>
                <w:rFonts w:ascii="Calibri" w:hAnsi="Calibri" w:cs="Calibri"/>
                <w:b/>
                <w:bCs/>
                <w:sz w:val="18"/>
                <w:szCs w:val="18"/>
              </w:rPr>
            </w:pPr>
            <w:r w:rsidRPr="00855D1E">
              <w:rPr>
                <w:rFonts w:ascii="Calibri" w:hAnsi="Calibri" w:cs="Calibri"/>
                <w:b/>
                <w:bCs/>
                <w:sz w:val="18"/>
                <w:szCs w:val="18"/>
              </w:rPr>
              <w:t>Title/description</w:t>
            </w:r>
          </w:p>
        </w:tc>
        <w:tc>
          <w:tcPr>
            <w:tcW w:w="1134" w:type="dxa"/>
            <w:tcBorders>
              <w:top w:val="single" w:sz="4" w:space="0" w:color="auto"/>
              <w:left w:val="nil"/>
              <w:bottom w:val="single" w:sz="4" w:space="0" w:color="auto"/>
              <w:right w:val="single" w:sz="4" w:space="0" w:color="auto"/>
            </w:tcBorders>
            <w:shd w:val="clear" w:color="000000" w:fill="A6A6A6"/>
            <w:hideMark/>
          </w:tcPr>
          <w:p w14:paraId="6D3A7B1B" w14:textId="1B11F7FC" w:rsidR="00855D1E" w:rsidRPr="00855D1E" w:rsidRDefault="00855D1E" w:rsidP="00633FF6">
            <w:pPr>
              <w:rPr>
                <w:rFonts w:ascii="Calibri" w:hAnsi="Calibri" w:cs="Calibri"/>
                <w:b/>
                <w:bCs/>
                <w:sz w:val="18"/>
                <w:szCs w:val="18"/>
              </w:rPr>
            </w:pPr>
            <w:r w:rsidRPr="00855D1E">
              <w:rPr>
                <w:rFonts w:ascii="Calibri" w:hAnsi="Calibri" w:cs="Calibri"/>
                <w:b/>
                <w:bCs/>
                <w:sz w:val="18"/>
                <w:szCs w:val="18"/>
              </w:rPr>
              <w:t xml:space="preserve">Total estimated value </w:t>
            </w:r>
            <w:r w:rsidR="00633FF6">
              <w:rPr>
                <w:rFonts w:ascii="Calibri" w:hAnsi="Calibri" w:cs="Calibri"/>
                <w:b/>
                <w:bCs/>
                <w:sz w:val="18"/>
                <w:szCs w:val="18"/>
              </w:rPr>
              <w:t>(</w:t>
            </w:r>
            <w:r w:rsidR="005C4F4A">
              <w:rPr>
                <w:rFonts w:ascii="Calibri" w:hAnsi="Calibri" w:cs="Calibri"/>
                <w:b/>
                <w:bCs/>
                <w:sz w:val="18"/>
                <w:szCs w:val="18"/>
              </w:rPr>
              <w:t>$m</w:t>
            </w:r>
            <w:r w:rsidRPr="00855D1E">
              <w:rPr>
                <w:rFonts w:ascii="Calibri" w:hAnsi="Calibri" w:cs="Calibri"/>
                <w:b/>
                <w:bCs/>
                <w:sz w:val="18"/>
                <w:szCs w:val="18"/>
              </w:rPr>
              <w:t>)</w:t>
            </w:r>
          </w:p>
        </w:tc>
        <w:tc>
          <w:tcPr>
            <w:tcW w:w="1074" w:type="dxa"/>
            <w:tcBorders>
              <w:top w:val="single" w:sz="4" w:space="0" w:color="auto"/>
              <w:left w:val="nil"/>
              <w:bottom w:val="single" w:sz="4" w:space="0" w:color="auto"/>
              <w:right w:val="single" w:sz="4" w:space="0" w:color="auto"/>
            </w:tcBorders>
            <w:shd w:val="clear" w:color="000000" w:fill="A6A6A6"/>
            <w:hideMark/>
          </w:tcPr>
          <w:p w14:paraId="7791AEF2" w14:textId="77777777" w:rsidR="00855D1E" w:rsidRPr="00855D1E" w:rsidRDefault="00855D1E" w:rsidP="00633FF6">
            <w:pPr>
              <w:rPr>
                <w:rFonts w:ascii="Calibri" w:hAnsi="Calibri" w:cs="Calibri"/>
                <w:b/>
                <w:bCs/>
                <w:sz w:val="18"/>
                <w:szCs w:val="18"/>
              </w:rPr>
            </w:pPr>
            <w:r w:rsidRPr="00855D1E">
              <w:rPr>
                <w:rFonts w:ascii="Calibri" w:hAnsi="Calibri" w:cs="Calibri"/>
                <w:b/>
                <w:bCs/>
                <w:sz w:val="18"/>
                <w:szCs w:val="18"/>
              </w:rPr>
              <w:t>Contract term (years)</w:t>
            </w:r>
          </w:p>
        </w:tc>
        <w:tc>
          <w:tcPr>
            <w:tcW w:w="1074" w:type="dxa"/>
            <w:tcBorders>
              <w:top w:val="single" w:sz="4" w:space="0" w:color="auto"/>
              <w:left w:val="nil"/>
              <w:bottom w:val="single" w:sz="4" w:space="0" w:color="auto"/>
              <w:right w:val="single" w:sz="4" w:space="0" w:color="auto"/>
            </w:tcBorders>
            <w:shd w:val="clear" w:color="000000" w:fill="A6A6A6"/>
            <w:hideMark/>
          </w:tcPr>
          <w:p w14:paraId="2AF17FAA" w14:textId="77777777" w:rsidR="00855D1E" w:rsidRPr="00855D1E" w:rsidRDefault="00855D1E" w:rsidP="00633FF6">
            <w:pPr>
              <w:rPr>
                <w:rFonts w:ascii="Calibri" w:hAnsi="Calibri" w:cs="Calibri"/>
                <w:b/>
                <w:bCs/>
                <w:sz w:val="18"/>
                <w:szCs w:val="18"/>
              </w:rPr>
            </w:pPr>
            <w:r w:rsidRPr="00855D1E">
              <w:rPr>
                <w:rFonts w:ascii="Calibri" w:hAnsi="Calibri" w:cs="Calibri"/>
                <w:b/>
                <w:bCs/>
                <w:sz w:val="18"/>
                <w:szCs w:val="18"/>
              </w:rPr>
              <w:t xml:space="preserve">Option(s) to extend (years) </w:t>
            </w:r>
          </w:p>
        </w:tc>
        <w:tc>
          <w:tcPr>
            <w:tcW w:w="1308" w:type="dxa"/>
            <w:tcBorders>
              <w:top w:val="single" w:sz="4" w:space="0" w:color="auto"/>
              <w:left w:val="nil"/>
              <w:bottom w:val="single" w:sz="4" w:space="0" w:color="auto"/>
              <w:right w:val="single" w:sz="4" w:space="0" w:color="auto"/>
            </w:tcBorders>
            <w:shd w:val="clear" w:color="000000" w:fill="A6A6A6"/>
            <w:hideMark/>
          </w:tcPr>
          <w:p w14:paraId="0DBB5914" w14:textId="77777777" w:rsidR="00855D1E" w:rsidRPr="00855D1E" w:rsidRDefault="00855D1E" w:rsidP="00633FF6">
            <w:pPr>
              <w:rPr>
                <w:rFonts w:ascii="Calibri" w:hAnsi="Calibri" w:cs="Calibri"/>
                <w:b/>
                <w:bCs/>
                <w:sz w:val="18"/>
                <w:szCs w:val="18"/>
              </w:rPr>
            </w:pPr>
            <w:r w:rsidRPr="00855D1E">
              <w:rPr>
                <w:rFonts w:ascii="Calibri" w:hAnsi="Calibri" w:cs="Calibri"/>
                <w:b/>
                <w:bCs/>
                <w:sz w:val="18"/>
                <w:szCs w:val="18"/>
              </w:rPr>
              <w:t>Complexity assessment outcome</w:t>
            </w:r>
          </w:p>
        </w:tc>
        <w:tc>
          <w:tcPr>
            <w:tcW w:w="975" w:type="dxa"/>
            <w:tcBorders>
              <w:top w:val="single" w:sz="4" w:space="0" w:color="auto"/>
              <w:left w:val="nil"/>
              <w:bottom w:val="single" w:sz="4" w:space="0" w:color="auto"/>
              <w:right w:val="single" w:sz="4" w:space="0" w:color="auto"/>
            </w:tcBorders>
            <w:shd w:val="clear" w:color="000000" w:fill="A6A6A6"/>
            <w:hideMark/>
          </w:tcPr>
          <w:p w14:paraId="67551035" w14:textId="77777777" w:rsidR="00855D1E" w:rsidRPr="00855D1E" w:rsidRDefault="00855D1E" w:rsidP="00633FF6">
            <w:pPr>
              <w:rPr>
                <w:rFonts w:ascii="Calibri" w:hAnsi="Calibri" w:cs="Calibri"/>
                <w:b/>
                <w:bCs/>
                <w:sz w:val="18"/>
                <w:szCs w:val="18"/>
              </w:rPr>
            </w:pPr>
            <w:r w:rsidRPr="00855D1E">
              <w:rPr>
                <w:rFonts w:ascii="Calibri" w:hAnsi="Calibri" w:cs="Calibri"/>
                <w:b/>
                <w:bCs/>
                <w:sz w:val="18"/>
                <w:szCs w:val="18"/>
              </w:rPr>
              <w:t>Market approach method</w:t>
            </w:r>
          </w:p>
        </w:tc>
        <w:tc>
          <w:tcPr>
            <w:tcW w:w="808" w:type="dxa"/>
            <w:tcBorders>
              <w:top w:val="single" w:sz="4" w:space="0" w:color="auto"/>
              <w:left w:val="nil"/>
              <w:bottom w:val="single" w:sz="4" w:space="0" w:color="auto"/>
              <w:right w:val="single" w:sz="4" w:space="0" w:color="auto"/>
            </w:tcBorders>
            <w:shd w:val="clear" w:color="000000" w:fill="A6A6A6"/>
            <w:hideMark/>
          </w:tcPr>
          <w:p w14:paraId="455BA715" w14:textId="77777777" w:rsidR="00855D1E" w:rsidRPr="00855D1E" w:rsidRDefault="00855D1E" w:rsidP="00633FF6">
            <w:pPr>
              <w:rPr>
                <w:rFonts w:ascii="Calibri" w:hAnsi="Calibri" w:cs="Calibri"/>
                <w:b/>
                <w:bCs/>
                <w:sz w:val="18"/>
                <w:szCs w:val="18"/>
              </w:rPr>
            </w:pPr>
            <w:r w:rsidRPr="00855D1E">
              <w:rPr>
                <w:rFonts w:ascii="Calibri" w:hAnsi="Calibri" w:cs="Calibri"/>
                <w:b/>
                <w:bCs/>
                <w:sz w:val="18"/>
                <w:szCs w:val="18"/>
              </w:rPr>
              <w:t>Type of arrangement</w:t>
            </w:r>
          </w:p>
        </w:tc>
        <w:tc>
          <w:tcPr>
            <w:tcW w:w="893" w:type="dxa"/>
            <w:tcBorders>
              <w:top w:val="single" w:sz="4" w:space="0" w:color="auto"/>
              <w:left w:val="nil"/>
              <w:bottom w:val="single" w:sz="4" w:space="0" w:color="auto"/>
              <w:right w:val="single" w:sz="4" w:space="0" w:color="auto"/>
            </w:tcBorders>
            <w:shd w:val="clear" w:color="000000" w:fill="A6A6A6"/>
            <w:hideMark/>
          </w:tcPr>
          <w:p w14:paraId="6825A4B2" w14:textId="79E3AB1B" w:rsidR="00855D1E" w:rsidRPr="00855D1E" w:rsidRDefault="00855D1E" w:rsidP="00633FF6">
            <w:pPr>
              <w:rPr>
                <w:rFonts w:ascii="Calibri" w:hAnsi="Calibri" w:cs="Calibri"/>
                <w:b/>
                <w:bCs/>
                <w:sz w:val="18"/>
                <w:szCs w:val="18"/>
              </w:rPr>
            </w:pPr>
            <w:r w:rsidRPr="00855D1E">
              <w:rPr>
                <w:rFonts w:ascii="Calibri" w:hAnsi="Calibri" w:cs="Calibri"/>
                <w:b/>
                <w:bCs/>
                <w:sz w:val="18"/>
                <w:szCs w:val="18"/>
              </w:rPr>
              <w:t>N</w:t>
            </w:r>
            <w:r>
              <w:rPr>
                <w:rFonts w:ascii="Calibri" w:hAnsi="Calibri" w:cs="Calibri"/>
                <w:b/>
                <w:bCs/>
                <w:sz w:val="18"/>
                <w:szCs w:val="18"/>
              </w:rPr>
              <w:t xml:space="preserve">o. </w:t>
            </w:r>
            <w:r w:rsidRPr="00855D1E">
              <w:rPr>
                <w:rFonts w:ascii="Calibri" w:hAnsi="Calibri" w:cs="Calibri"/>
                <w:b/>
                <w:bCs/>
                <w:sz w:val="18"/>
                <w:szCs w:val="18"/>
              </w:rPr>
              <w:t>of suppliers</w:t>
            </w:r>
          </w:p>
        </w:tc>
      </w:tr>
      <w:tr w:rsidR="00EF126C" w:rsidRPr="00855D1E" w14:paraId="561CD081" w14:textId="77777777" w:rsidTr="00633FF6">
        <w:trPr>
          <w:trHeight w:val="300"/>
        </w:trPr>
        <w:tc>
          <w:tcPr>
            <w:tcW w:w="1188" w:type="dxa"/>
            <w:vMerge w:val="restart"/>
            <w:tcBorders>
              <w:top w:val="nil"/>
              <w:left w:val="single" w:sz="4" w:space="0" w:color="auto"/>
              <w:right w:val="single" w:sz="4" w:space="0" w:color="auto"/>
            </w:tcBorders>
            <w:shd w:val="clear" w:color="000000" w:fill="FFFFFF"/>
            <w:noWrap/>
            <w:hideMark/>
          </w:tcPr>
          <w:p w14:paraId="52E5F987" w14:textId="77777777" w:rsidR="00EF126C" w:rsidRPr="00855D1E" w:rsidRDefault="00EF126C" w:rsidP="000B20B5">
            <w:pPr>
              <w:pStyle w:val="TableText"/>
            </w:pPr>
            <w:r w:rsidRPr="00855D1E">
              <w:t>Cenitex</w:t>
            </w:r>
          </w:p>
          <w:p w14:paraId="469C2383" w14:textId="57ECD489"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F0B3054" w14:textId="77777777" w:rsidR="00EF126C" w:rsidRPr="00855D1E" w:rsidRDefault="00EF126C" w:rsidP="000B20B5">
            <w:pPr>
              <w:pStyle w:val="TableText"/>
            </w:pPr>
            <w:r w:rsidRPr="00855D1E">
              <w:t>Cenitex catering panel</w:t>
            </w:r>
          </w:p>
        </w:tc>
        <w:tc>
          <w:tcPr>
            <w:tcW w:w="1134" w:type="dxa"/>
            <w:tcBorders>
              <w:top w:val="nil"/>
              <w:left w:val="nil"/>
              <w:bottom w:val="single" w:sz="4" w:space="0" w:color="auto"/>
              <w:right w:val="single" w:sz="4" w:space="0" w:color="auto"/>
            </w:tcBorders>
            <w:shd w:val="clear" w:color="000000" w:fill="FFFFFF"/>
            <w:vAlign w:val="center"/>
            <w:hideMark/>
          </w:tcPr>
          <w:p w14:paraId="1B49FB42" w14:textId="77777777" w:rsidR="00EF126C" w:rsidRPr="00855D1E" w:rsidRDefault="00EF126C" w:rsidP="000B20B5">
            <w:pPr>
              <w:pStyle w:val="Tablenumbers"/>
            </w:pPr>
            <w:r w:rsidRPr="00855D1E">
              <w:t>$0.2</w:t>
            </w:r>
          </w:p>
        </w:tc>
        <w:tc>
          <w:tcPr>
            <w:tcW w:w="1074" w:type="dxa"/>
            <w:tcBorders>
              <w:top w:val="nil"/>
              <w:left w:val="nil"/>
              <w:bottom w:val="single" w:sz="4" w:space="0" w:color="auto"/>
              <w:right w:val="single" w:sz="4" w:space="0" w:color="auto"/>
            </w:tcBorders>
            <w:shd w:val="clear" w:color="000000" w:fill="FFFFFF"/>
            <w:vAlign w:val="center"/>
            <w:hideMark/>
          </w:tcPr>
          <w:p w14:paraId="0038C675"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1D2221D1" w14:textId="4302751A" w:rsidR="00EF126C" w:rsidRPr="00855D1E" w:rsidRDefault="00B15BF7" w:rsidP="000B20B5">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417801F4"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33EFCA41"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112EE693"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4F504967" w14:textId="77777777" w:rsidR="00EF126C" w:rsidRPr="00855D1E" w:rsidRDefault="00EF126C" w:rsidP="000B20B5">
            <w:pPr>
              <w:pStyle w:val="Tablenumbers"/>
            </w:pPr>
            <w:r w:rsidRPr="00855D1E">
              <w:t>4</w:t>
            </w:r>
          </w:p>
        </w:tc>
      </w:tr>
      <w:tr w:rsidR="00EF126C" w:rsidRPr="00855D1E" w14:paraId="3991AF8C" w14:textId="77777777" w:rsidTr="00633FF6">
        <w:trPr>
          <w:trHeight w:val="300"/>
        </w:trPr>
        <w:tc>
          <w:tcPr>
            <w:tcW w:w="1188" w:type="dxa"/>
            <w:vMerge/>
            <w:tcBorders>
              <w:left w:val="single" w:sz="4" w:space="0" w:color="auto"/>
              <w:right w:val="single" w:sz="4" w:space="0" w:color="auto"/>
            </w:tcBorders>
            <w:shd w:val="clear" w:color="000000" w:fill="FFFFFF"/>
            <w:noWrap/>
            <w:hideMark/>
          </w:tcPr>
          <w:p w14:paraId="2A77C7C5" w14:textId="6E5F239C"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5037A16A" w14:textId="77777777" w:rsidR="00EF126C" w:rsidRPr="00855D1E" w:rsidRDefault="00EF126C" w:rsidP="000B20B5">
            <w:pPr>
              <w:pStyle w:val="TableText"/>
            </w:pPr>
            <w:r w:rsidRPr="00855D1E">
              <w:t>Cenitex coaching panel</w:t>
            </w:r>
          </w:p>
        </w:tc>
        <w:tc>
          <w:tcPr>
            <w:tcW w:w="1134" w:type="dxa"/>
            <w:tcBorders>
              <w:top w:val="nil"/>
              <w:left w:val="nil"/>
              <w:bottom w:val="single" w:sz="4" w:space="0" w:color="auto"/>
              <w:right w:val="single" w:sz="4" w:space="0" w:color="auto"/>
            </w:tcBorders>
            <w:shd w:val="clear" w:color="000000" w:fill="FFFFFF"/>
            <w:vAlign w:val="center"/>
            <w:hideMark/>
          </w:tcPr>
          <w:p w14:paraId="013838FA" w14:textId="77777777" w:rsidR="00EF126C" w:rsidRPr="00855D1E" w:rsidRDefault="00EF126C" w:rsidP="000B20B5">
            <w:pPr>
              <w:pStyle w:val="Tablenumbers"/>
            </w:pPr>
            <w:r w:rsidRPr="00855D1E">
              <w:t>$0.7</w:t>
            </w:r>
          </w:p>
        </w:tc>
        <w:tc>
          <w:tcPr>
            <w:tcW w:w="1074" w:type="dxa"/>
            <w:tcBorders>
              <w:top w:val="nil"/>
              <w:left w:val="nil"/>
              <w:bottom w:val="single" w:sz="4" w:space="0" w:color="auto"/>
              <w:right w:val="single" w:sz="4" w:space="0" w:color="auto"/>
            </w:tcBorders>
            <w:shd w:val="clear" w:color="000000" w:fill="FFFFFF"/>
            <w:vAlign w:val="center"/>
            <w:hideMark/>
          </w:tcPr>
          <w:p w14:paraId="64EE7DA6"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2C57374D" w14:textId="3B895C1B" w:rsidR="00EF126C" w:rsidRPr="00855D1E" w:rsidRDefault="00B15BF7" w:rsidP="000B20B5">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28F15CCA"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4E8186BA" w14:textId="2E28349A" w:rsidR="00EF126C" w:rsidRPr="00855D1E" w:rsidRDefault="00EF126C" w:rsidP="000B20B5">
            <w:pPr>
              <w:pStyle w:val="TableText"/>
            </w:pPr>
            <w:r w:rsidRPr="00855D1E">
              <w:t xml:space="preserve">RFQ </w:t>
            </w:r>
          </w:p>
        </w:tc>
        <w:tc>
          <w:tcPr>
            <w:tcW w:w="808" w:type="dxa"/>
            <w:tcBorders>
              <w:top w:val="nil"/>
              <w:left w:val="nil"/>
              <w:bottom w:val="single" w:sz="4" w:space="0" w:color="auto"/>
              <w:right w:val="single" w:sz="4" w:space="0" w:color="auto"/>
            </w:tcBorders>
            <w:shd w:val="clear" w:color="000000" w:fill="FFFFFF"/>
            <w:vAlign w:val="center"/>
            <w:hideMark/>
          </w:tcPr>
          <w:p w14:paraId="5A1A6323"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415A2030" w14:textId="77777777" w:rsidR="00EF126C" w:rsidRPr="00855D1E" w:rsidRDefault="00EF126C" w:rsidP="000B20B5">
            <w:pPr>
              <w:pStyle w:val="Tablenumbers"/>
            </w:pPr>
            <w:r w:rsidRPr="00855D1E">
              <w:t>4</w:t>
            </w:r>
          </w:p>
        </w:tc>
      </w:tr>
      <w:tr w:rsidR="00EF126C" w:rsidRPr="00855D1E" w14:paraId="6C8DC14E" w14:textId="77777777" w:rsidTr="00633FF6">
        <w:trPr>
          <w:trHeight w:val="300"/>
        </w:trPr>
        <w:tc>
          <w:tcPr>
            <w:tcW w:w="1188" w:type="dxa"/>
            <w:vMerge/>
            <w:tcBorders>
              <w:left w:val="single" w:sz="4" w:space="0" w:color="auto"/>
              <w:bottom w:val="single" w:sz="4" w:space="0" w:color="auto"/>
              <w:right w:val="single" w:sz="4" w:space="0" w:color="auto"/>
            </w:tcBorders>
            <w:shd w:val="clear" w:color="000000" w:fill="FFFFFF"/>
            <w:noWrap/>
            <w:hideMark/>
          </w:tcPr>
          <w:p w14:paraId="25086D18" w14:textId="7365329E"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4F4E0663" w14:textId="7D0B8D0D" w:rsidR="00EF126C" w:rsidRPr="00855D1E" w:rsidRDefault="00EF126C" w:rsidP="000B20B5">
            <w:pPr>
              <w:pStyle w:val="TableText"/>
            </w:pPr>
            <w:r w:rsidRPr="00855D1E">
              <w:t>V</w:t>
            </w:r>
            <w:r w:rsidR="00D940B1">
              <w:t>M</w:t>
            </w:r>
            <w:r w:rsidRPr="00855D1E">
              <w:t>ware</w:t>
            </w:r>
          </w:p>
        </w:tc>
        <w:tc>
          <w:tcPr>
            <w:tcW w:w="1134" w:type="dxa"/>
            <w:tcBorders>
              <w:top w:val="nil"/>
              <w:left w:val="nil"/>
              <w:bottom w:val="single" w:sz="4" w:space="0" w:color="auto"/>
              <w:right w:val="single" w:sz="4" w:space="0" w:color="auto"/>
            </w:tcBorders>
            <w:shd w:val="clear" w:color="000000" w:fill="FFFFFF"/>
            <w:vAlign w:val="center"/>
            <w:hideMark/>
          </w:tcPr>
          <w:p w14:paraId="7F57E78A" w14:textId="77777777" w:rsidR="00EF126C" w:rsidRPr="00855D1E" w:rsidRDefault="00EF126C" w:rsidP="000B20B5">
            <w:pPr>
              <w:pStyle w:val="Tablenumbers"/>
            </w:pPr>
            <w:r w:rsidRPr="00855D1E">
              <w:t>$2.8</w:t>
            </w:r>
          </w:p>
        </w:tc>
        <w:tc>
          <w:tcPr>
            <w:tcW w:w="1074" w:type="dxa"/>
            <w:tcBorders>
              <w:top w:val="nil"/>
              <w:left w:val="nil"/>
              <w:bottom w:val="single" w:sz="4" w:space="0" w:color="auto"/>
              <w:right w:val="single" w:sz="4" w:space="0" w:color="auto"/>
            </w:tcBorders>
            <w:shd w:val="clear" w:color="000000" w:fill="FFFFFF"/>
            <w:vAlign w:val="center"/>
            <w:hideMark/>
          </w:tcPr>
          <w:p w14:paraId="6A5AA8B1"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33068F67" w14:textId="56FACA64" w:rsidR="00EF126C" w:rsidRPr="00855D1E" w:rsidRDefault="00633FF6" w:rsidP="000B20B5">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1DB83AFC" w14:textId="77777777" w:rsidR="00EF126C" w:rsidRPr="00855D1E" w:rsidRDefault="00EF126C" w:rsidP="000B20B5">
            <w:pPr>
              <w:pStyle w:val="TableText"/>
            </w:pPr>
            <w:r w:rsidRPr="00855D1E">
              <w:t>Leveraged</w:t>
            </w:r>
          </w:p>
        </w:tc>
        <w:tc>
          <w:tcPr>
            <w:tcW w:w="975" w:type="dxa"/>
            <w:tcBorders>
              <w:top w:val="nil"/>
              <w:left w:val="nil"/>
              <w:bottom w:val="single" w:sz="4" w:space="0" w:color="auto"/>
              <w:right w:val="single" w:sz="4" w:space="0" w:color="auto"/>
            </w:tcBorders>
            <w:shd w:val="clear" w:color="000000" w:fill="FFFFFF"/>
            <w:vAlign w:val="center"/>
            <w:hideMark/>
          </w:tcPr>
          <w:p w14:paraId="3FBBA3D9" w14:textId="5776D348" w:rsidR="00EF126C" w:rsidRPr="00855D1E" w:rsidRDefault="00EF126C" w:rsidP="000B20B5">
            <w:pPr>
              <w:pStyle w:val="TableText"/>
            </w:pPr>
            <w:r w:rsidRPr="00855D1E">
              <w:t xml:space="preserve">RFQ </w:t>
            </w:r>
          </w:p>
        </w:tc>
        <w:tc>
          <w:tcPr>
            <w:tcW w:w="808" w:type="dxa"/>
            <w:tcBorders>
              <w:top w:val="nil"/>
              <w:left w:val="nil"/>
              <w:bottom w:val="single" w:sz="4" w:space="0" w:color="auto"/>
              <w:right w:val="single" w:sz="4" w:space="0" w:color="auto"/>
            </w:tcBorders>
            <w:shd w:val="clear" w:color="000000" w:fill="FFFFFF"/>
            <w:vAlign w:val="center"/>
            <w:hideMark/>
          </w:tcPr>
          <w:p w14:paraId="1C898E8E"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642EA571" w14:textId="77777777" w:rsidR="00EF126C" w:rsidRPr="00855D1E" w:rsidRDefault="00EF126C" w:rsidP="000B20B5">
            <w:pPr>
              <w:pStyle w:val="Tablenumbers"/>
            </w:pPr>
            <w:r w:rsidRPr="00855D1E">
              <w:t>1</w:t>
            </w:r>
          </w:p>
        </w:tc>
      </w:tr>
      <w:tr w:rsidR="006D7E80" w:rsidRPr="00855D1E" w14:paraId="06D046E9" w14:textId="77777777" w:rsidTr="00064484">
        <w:trPr>
          <w:trHeight w:val="447"/>
        </w:trPr>
        <w:tc>
          <w:tcPr>
            <w:tcW w:w="1188" w:type="dxa"/>
            <w:vMerge w:val="restart"/>
            <w:tcBorders>
              <w:top w:val="nil"/>
              <w:left w:val="single" w:sz="4" w:space="0" w:color="auto"/>
              <w:right w:val="single" w:sz="4" w:space="0" w:color="auto"/>
            </w:tcBorders>
            <w:shd w:val="clear" w:color="000000" w:fill="FFFFFF"/>
            <w:noWrap/>
            <w:hideMark/>
          </w:tcPr>
          <w:p w14:paraId="52AE70B6" w14:textId="77777777" w:rsidR="006D7E80" w:rsidRPr="00EF126C" w:rsidRDefault="006D7E80" w:rsidP="006D7E80">
            <w:pPr>
              <w:pStyle w:val="TableText"/>
            </w:pPr>
            <w:r w:rsidRPr="00EF126C">
              <w:t>DELWP</w:t>
            </w:r>
          </w:p>
          <w:p w14:paraId="153DC4B3" w14:textId="08CF859F" w:rsidR="006D7E80" w:rsidRPr="00EF126C"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7DAFC823" w14:textId="157B9C23" w:rsidR="006D7E80" w:rsidRPr="00855D1E" w:rsidRDefault="006D7E80" w:rsidP="006D7E80">
            <w:pPr>
              <w:pStyle w:val="TableText"/>
            </w:pPr>
            <w:r w:rsidRPr="00855D1E">
              <w:t>Upskill executive leadership group to support employees affected by COVID</w:t>
            </w:r>
            <w:r>
              <w:t>-19</w:t>
            </w:r>
          </w:p>
        </w:tc>
        <w:tc>
          <w:tcPr>
            <w:tcW w:w="1134" w:type="dxa"/>
            <w:tcBorders>
              <w:top w:val="nil"/>
              <w:left w:val="nil"/>
              <w:bottom w:val="single" w:sz="4" w:space="0" w:color="auto"/>
              <w:right w:val="single" w:sz="4" w:space="0" w:color="auto"/>
            </w:tcBorders>
            <w:shd w:val="clear" w:color="000000" w:fill="FFFFFF"/>
            <w:vAlign w:val="center"/>
            <w:hideMark/>
          </w:tcPr>
          <w:p w14:paraId="5B9DE0FF" w14:textId="77777777" w:rsidR="006D7E80" w:rsidRPr="00855D1E" w:rsidRDefault="006D7E80" w:rsidP="006D7E80">
            <w:pPr>
              <w:pStyle w:val="Tablenumbers"/>
            </w:pPr>
            <w:r w:rsidRPr="00855D1E">
              <w:t>$0.1</w:t>
            </w:r>
          </w:p>
        </w:tc>
        <w:tc>
          <w:tcPr>
            <w:tcW w:w="1074" w:type="dxa"/>
            <w:tcBorders>
              <w:top w:val="nil"/>
              <w:left w:val="nil"/>
              <w:bottom w:val="single" w:sz="4" w:space="0" w:color="auto"/>
              <w:right w:val="single" w:sz="4" w:space="0" w:color="auto"/>
            </w:tcBorders>
            <w:shd w:val="clear" w:color="000000" w:fill="FFFFFF"/>
            <w:vAlign w:val="center"/>
            <w:hideMark/>
          </w:tcPr>
          <w:p w14:paraId="52CD8142" w14:textId="77777777" w:rsidR="006D7E80" w:rsidRPr="00855D1E" w:rsidRDefault="006D7E80" w:rsidP="006D7E80">
            <w:pPr>
              <w:pStyle w:val="Tablenumbers"/>
            </w:pPr>
            <w:r w:rsidRPr="00855D1E">
              <w:t>0.75</w:t>
            </w:r>
          </w:p>
        </w:tc>
        <w:tc>
          <w:tcPr>
            <w:tcW w:w="1074" w:type="dxa"/>
            <w:tcBorders>
              <w:top w:val="nil"/>
              <w:left w:val="nil"/>
              <w:bottom w:val="single" w:sz="4" w:space="0" w:color="auto"/>
              <w:right w:val="single" w:sz="4" w:space="0" w:color="auto"/>
            </w:tcBorders>
            <w:shd w:val="clear" w:color="000000" w:fill="FFFFFF"/>
            <w:vAlign w:val="center"/>
            <w:hideMark/>
          </w:tcPr>
          <w:p w14:paraId="30E4AD06" w14:textId="57ADAC22" w:rsidR="006D7E80" w:rsidRPr="00855D1E" w:rsidRDefault="006D7E80" w:rsidP="006D7E80">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4FCE962C"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4363EB67" w14:textId="77777777" w:rsidR="006D7E80" w:rsidRPr="00855D1E" w:rsidRDefault="006D7E80" w:rsidP="006D7E80">
            <w:pPr>
              <w:pStyle w:val="TableText"/>
            </w:pPr>
            <w:r w:rsidRPr="00855D1E">
              <w:t>RFQ</w:t>
            </w:r>
          </w:p>
        </w:tc>
        <w:tc>
          <w:tcPr>
            <w:tcW w:w="808" w:type="dxa"/>
            <w:tcBorders>
              <w:top w:val="nil"/>
              <w:left w:val="nil"/>
              <w:bottom w:val="single" w:sz="4" w:space="0" w:color="auto"/>
              <w:right w:val="single" w:sz="4" w:space="0" w:color="auto"/>
            </w:tcBorders>
            <w:shd w:val="clear" w:color="000000" w:fill="FFFFFF"/>
            <w:hideMark/>
          </w:tcPr>
          <w:p w14:paraId="6B4AAAF4" w14:textId="5FE7BC81"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2A8D38FF" w14:textId="77777777" w:rsidR="006D7E80" w:rsidRPr="00855D1E" w:rsidRDefault="006D7E80" w:rsidP="006D7E80">
            <w:pPr>
              <w:pStyle w:val="Tablenumbers"/>
            </w:pPr>
            <w:r w:rsidRPr="00855D1E">
              <w:t>1</w:t>
            </w:r>
          </w:p>
        </w:tc>
      </w:tr>
      <w:tr w:rsidR="006D7E80" w:rsidRPr="00855D1E" w14:paraId="71867D73" w14:textId="77777777" w:rsidTr="00064484">
        <w:trPr>
          <w:trHeight w:val="327"/>
        </w:trPr>
        <w:tc>
          <w:tcPr>
            <w:tcW w:w="1188" w:type="dxa"/>
            <w:vMerge/>
            <w:tcBorders>
              <w:left w:val="single" w:sz="4" w:space="0" w:color="auto"/>
              <w:right w:val="single" w:sz="4" w:space="0" w:color="auto"/>
            </w:tcBorders>
            <w:shd w:val="clear" w:color="000000" w:fill="FFFFFF"/>
            <w:noWrap/>
            <w:hideMark/>
          </w:tcPr>
          <w:p w14:paraId="7F3D1BED" w14:textId="4E19E68C"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66557A5" w14:textId="0E8FF386" w:rsidR="006D7E80" w:rsidRPr="00855D1E" w:rsidRDefault="006D7E80" w:rsidP="006D7E80">
            <w:pPr>
              <w:pStyle w:val="TableText"/>
            </w:pPr>
            <w:r w:rsidRPr="00855D1E">
              <w:t>Testing and tagging cache containers</w:t>
            </w:r>
          </w:p>
        </w:tc>
        <w:tc>
          <w:tcPr>
            <w:tcW w:w="1134" w:type="dxa"/>
            <w:tcBorders>
              <w:top w:val="nil"/>
              <w:left w:val="nil"/>
              <w:bottom w:val="single" w:sz="4" w:space="0" w:color="auto"/>
              <w:right w:val="single" w:sz="4" w:space="0" w:color="auto"/>
            </w:tcBorders>
            <w:shd w:val="clear" w:color="000000" w:fill="FFFFFF"/>
            <w:vAlign w:val="center"/>
            <w:hideMark/>
          </w:tcPr>
          <w:p w14:paraId="58E03B38" w14:textId="77777777" w:rsidR="006D7E80" w:rsidRPr="00855D1E" w:rsidRDefault="006D7E80" w:rsidP="006D7E80">
            <w:pPr>
              <w:pStyle w:val="Tablenumbers"/>
            </w:pPr>
            <w:r w:rsidRPr="00855D1E">
              <w:t>$0.1</w:t>
            </w:r>
          </w:p>
        </w:tc>
        <w:tc>
          <w:tcPr>
            <w:tcW w:w="1074" w:type="dxa"/>
            <w:tcBorders>
              <w:top w:val="nil"/>
              <w:left w:val="nil"/>
              <w:bottom w:val="single" w:sz="4" w:space="0" w:color="auto"/>
              <w:right w:val="single" w:sz="4" w:space="0" w:color="auto"/>
            </w:tcBorders>
            <w:shd w:val="clear" w:color="000000" w:fill="FFFFFF"/>
            <w:vAlign w:val="center"/>
            <w:hideMark/>
          </w:tcPr>
          <w:p w14:paraId="2D4CAADD" w14:textId="77777777" w:rsidR="006D7E80" w:rsidRPr="00855D1E" w:rsidRDefault="006D7E80" w:rsidP="006D7E80">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714399C1" w14:textId="001645DF" w:rsidR="006D7E80" w:rsidRPr="00855D1E" w:rsidRDefault="006D7E80" w:rsidP="006D7E80">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496E672A"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2B789F62" w14:textId="77777777" w:rsidR="006D7E80" w:rsidRPr="00855D1E" w:rsidRDefault="006D7E80" w:rsidP="006D7E80">
            <w:pPr>
              <w:pStyle w:val="TableText"/>
            </w:pPr>
            <w:r w:rsidRPr="00855D1E">
              <w:t>RFQ</w:t>
            </w:r>
          </w:p>
        </w:tc>
        <w:tc>
          <w:tcPr>
            <w:tcW w:w="808" w:type="dxa"/>
            <w:tcBorders>
              <w:top w:val="nil"/>
              <w:left w:val="nil"/>
              <w:bottom w:val="single" w:sz="4" w:space="0" w:color="auto"/>
              <w:right w:val="single" w:sz="4" w:space="0" w:color="auto"/>
            </w:tcBorders>
            <w:shd w:val="clear" w:color="000000" w:fill="FFFFFF"/>
            <w:hideMark/>
          </w:tcPr>
          <w:p w14:paraId="4D87465F" w14:textId="644FA2D1"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59A38732" w14:textId="77777777" w:rsidR="006D7E80" w:rsidRPr="00855D1E" w:rsidRDefault="006D7E80" w:rsidP="006D7E80">
            <w:pPr>
              <w:pStyle w:val="Tablenumbers"/>
            </w:pPr>
            <w:r w:rsidRPr="00855D1E">
              <w:t>3</w:t>
            </w:r>
          </w:p>
        </w:tc>
      </w:tr>
      <w:tr w:rsidR="006D7E80" w:rsidRPr="00855D1E" w14:paraId="7F0B4DFE" w14:textId="77777777" w:rsidTr="00064484">
        <w:trPr>
          <w:trHeight w:val="290"/>
        </w:trPr>
        <w:tc>
          <w:tcPr>
            <w:tcW w:w="1188" w:type="dxa"/>
            <w:vMerge/>
            <w:tcBorders>
              <w:left w:val="single" w:sz="4" w:space="0" w:color="auto"/>
              <w:right w:val="single" w:sz="4" w:space="0" w:color="auto"/>
            </w:tcBorders>
            <w:shd w:val="clear" w:color="000000" w:fill="FFFFFF"/>
            <w:noWrap/>
            <w:hideMark/>
          </w:tcPr>
          <w:p w14:paraId="4F87A162" w14:textId="50F859A8"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21470924" w14:textId="426ADEFF" w:rsidR="006D7E80" w:rsidRPr="00855D1E" w:rsidRDefault="006D7E80" w:rsidP="006D7E80">
            <w:pPr>
              <w:pStyle w:val="TableText"/>
            </w:pPr>
            <w:r w:rsidRPr="00855D1E">
              <w:t>Fusee matches for planned and back</w:t>
            </w:r>
            <w:r>
              <w:t>-</w:t>
            </w:r>
            <w:r w:rsidRPr="00855D1E">
              <w:t>burning activities</w:t>
            </w:r>
          </w:p>
        </w:tc>
        <w:tc>
          <w:tcPr>
            <w:tcW w:w="1134" w:type="dxa"/>
            <w:tcBorders>
              <w:top w:val="nil"/>
              <w:left w:val="nil"/>
              <w:bottom w:val="single" w:sz="4" w:space="0" w:color="auto"/>
              <w:right w:val="single" w:sz="4" w:space="0" w:color="auto"/>
            </w:tcBorders>
            <w:shd w:val="clear" w:color="000000" w:fill="FFFFFF"/>
            <w:vAlign w:val="center"/>
            <w:hideMark/>
          </w:tcPr>
          <w:p w14:paraId="3D366A11" w14:textId="77777777" w:rsidR="006D7E80" w:rsidRPr="00855D1E" w:rsidRDefault="006D7E80" w:rsidP="006D7E80">
            <w:pPr>
              <w:pStyle w:val="Tablenumbers"/>
            </w:pPr>
            <w:r w:rsidRPr="00855D1E">
              <w:t>$0.1</w:t>
            </w:r>
          </w:p>
        </w:tc>
        <w:tc>
          <w:tcPr>
            <w:tcW w:w="1074" w:type="dxa"/>
            <w:tcBorders>
              <w:top w:val="nil"/>
              <w:left w:val="nil"/>
              <w:bottom w:val="single" w:sz="4" w:space="0" w:color="auto"/>
              <w:right w:val="single" w:sz="4" w:space="0" w:color="auto"/>
            </w:tcBorders>
            <w:shd w:val="clear" w:color="000000" w:fill="FFFFFF"/>
            <w:vAlign w:val="center"/>
            <w:hideMark/>
          </w:tcPr>
          <w:p w14:paraId="6B8FECA8" w14:textId="77777777" w:rsidR="006D7E80" w:rsidRPr="00855D1E" w:rsidRDefault="006D7E80" w:rsidP="006D7E80">
            <w:pPr>
              <w:pStyle w:val="Tablenumbers"/>
            </w:pPr>
            <w:r w:rsidRPr="00855D1E">
              <w:t>1</w:t>
            </w:r>
          </w:p>
        </w:tc>
        <w:tc>
          <w:tcPr>
            <w:tcW w:w="1074" w:type="dxa"/>
            <w:tcBorders>
              <w:top w:val="nil"/>
              <w:left w:val="nil"/>
              <w:bottom w:val="single" w:sz="4" w:space="0" w:color="auto"/>
              <w:right w:val="single" w:sz="4" w:space="0" w:color="auto"/>
            </w:tcBorders>
            <w:shd w:val="clear" w:color="000000" w:fill="FFFFFF"/>
            <w:vAlign w:val="center"/>
            <w:hideMark/>
          </w:tcPr>
          <w:p w14:paraId="0B76EB1C" w14:textId="4F23B2B5" w:rsidR="006D7E80" w:rsidRPr="00855D1E" w:rsidRDefault="006D7E80" w:rsidP="006D7E80">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6C26513C"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15075041" w14:textId="04945B1C" w:rsidR="006D7E80" w:rsidRPr="00855D1E" w:rsidRDefault="006D7E80" w:rsidP="006D7E80">
            <w:pPr>
              <w:pStyle w:val="TableText"/>
            </w:pPr>
            <w:r w:rsidRPr="00855D1E">
              <w:t xml:space="preserve">RFQ </w:t>
            </w:r>
          </w:p>
        </w:tc>
        <w:tc>
          <w:tcPr>
            <w:tcW w:w="808" w:type="dxa"/>
            <w:tcBorders>
              <w:top w:val="nil"/>
              <w:left w:val="nil"/>
              <w:bottom w:val="single" w:sz="4" w:space="0" w:color="auto"/>
              <w:right w:val="single" w:sz="4" w:space="0" w:color="auto"/>
            </w:tcBorders>
            <w:shd w:val="clear" w:color="000000" w:fill="FFFFFF"/>
            <w:hideMark/>
          </w:tcPr>
          <w:p w14:paraId="549E7EFD" w14:textId="76D15E2E"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5F7AA4A6" w14:textId="77777777" w:rsidR="006D7E80" w:rsidRPr="00855D1E" w:rsidRDefault="006D7E80" w:rsidP="006D7E80">
            <w:pPr>
              <w:pStyle w:val="Tablenumbers"/>
            </w:pPr>
            <w:r w:rsidRPr="00855D1E">
              <w:t>1</w:t>
            </w:r>
          </w:p>
        </w:tc>
      </w:tr>
      <w:tr w:rsidR="006D7E80" w:rsidRPr="00855D1E" w14:paraId="091471ED" w14:textId="77777777" w:rsidTr="00064484">
        <w:trPr>
          <w:trHeight w:val="555"/>
        </w:trPr>
        <w:tc>
          <w:tcPr>
            <w:tcW w:w="1188" w:type="dxa"/>
            <w:vMerge/>
            <w:tcBorders>
              <w:left w:val="single" w:sz="4" w:space="0" w:color="auto"/>
              <w:right w:val="single" w:sz="4" w:space="0" w:color="auto"/>
            </w:tcBorders>
            <w:shd w:val="clear" w:color="000000" w:fill="FFFFFF"/>
            <w:noWrap/>
            <w:hideMark/>
          </w:tcPr>
          <w:p w14:paraId="6FBBF35F" w14:textId="6151ECE2"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18746525" w14:textId="77777777" w:rsidR="006D7E80" w:rsidRPr="00855D1E" w:rsidRDefault="006D7E80" w:rsidP="006D7E80">
            <w:pPr>
              <w:pStyle w:val="TableText"/>
            </w:pPr>
            <w:r w:rsidRPr="00855D1E">
              <w:t>Nally pallet bins and lids for storing and transporting camping kits and other equipment</w:t>
            </w:r>
          </w:p>
        </w:tc>
        <w:tc>
          <w:tcPr>
            <w:tcW w:w="1134" w:type="dxa"/>
            <w:tcBorders>
              <w:top w:val="nil"/>
              <w:left w:val="nil"/>
              <w:bottom w:val="single" w:sz="4" w:space="0" w:color="auto"/>
              <w:right w:val="single" w:sz="4" w:space="0" w:color="auto"/>
            </w:tcBorders>
            <w:shd w:val="clear" w:color="000000" w:fill="FFFFFF"/>
            <w:vAlign w:val="center"/>
            <w:hideMark/>
          </w:tcPr>
          <w:p w14:paraId="445909FE" w14:textId="77777777" w:rsidR="006D7E80" w:rsidRPr="00855D1E" w:rsidRDefault="006D7E80" w:rsidP="006D7E80">
            <w:pPr>
              <w:pStyle w:val="Tablenumbers"/>
            </w:pPr>
            <w:r w:rsidRPr="00855D1E">
              <w:t>$0.1</w:t>
            </w:r>
          </w:p>
        </w:tc>
        <w:tc>
          <w:tcPr>
            <w:tcW w:w="1074" w:type="dxa"/>
            <w:tcBorders>
              <w:top w:val="nil"/>
              <w:left w:val="nil"/>
              <w:bottom w:val="single" w:sz="4" w:space="0" w:color="auto"/>
              <w:right w:val="single" w:sz="4" w:space="0" w:color="auto"/>
            </w:tcBorders>
            <w:shd w:val="clear" w:color="000000" w:fill="FFFFFF"/>
            <w:vAlign w:val="center"/>
            <w:hideMark/>
          </w:tcPr>
          <w:p w14:paraId="26E12F0A" w14:textId="77777777" w:rsidR="006D7E80" w:rsidRPr="00855D1E" w:rsidRDefault="006D7E80" w:rsidP="006D7E80">
            <w:pPr>
              <w:pStyle w:val="Tablenumbers"/>
            </w:pPr>
            <w:r w:rsidRPr="00855D1E">
              <w:t>1</w:t>
            </w:r>
          </w:p>
        </w:tc>
        <w:tc>
          <w:tcPr>
            <w:tcW w:w="1074" w:type="dxa"/>
            <w:tcBorders>
              <w:top w:val="nil"/>
              <w:left w:val="nil"/>
              <w:bottom w:val="single" w:sz="4" w:space="0" w:color="auto"/>
              <w:right w:val="single" w:sz="4" w:space="0" w:color="auto"/>
            </w:tcBorders>
            <w:shd w:val="clear" w:color="000000" w:fill="FFFFFF"/>
            <w:vAlign w:val="center"/>
            <w:hideMark/>
          </w:tcPr>
          <w:p w14:paraId="27D65D57" w14:textId="39898E86" w:rsidR="006D7E80" w:rsidRPr="00855D1E" w:rsidRDefault="006D7E80" w:rsidP="006D7E80">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65C789C0"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32FC7EF7" w14:textId="4A77EE81" w:rsidR="006D7E80" w:rsidRPr="00855D1E" w:rsidRDefault="006D7E80" w:rsidP="006D7E80">
            <w:pPr>
              <w:pStyle w:val="TableText"/>
            </w:pPr>
            <w:r w:rsidRPr="00855D1E">
              <w:t xml:space="preserve">RFQ </w:t>
            </w:r>
          </w:p>
        </w:tc>
        <w:tc>
          <w:tcPr>
            <w:tcW w:w="808" w:type="dxa"/>
            <w:tcBorders>
              <w:top w:val="nil"/>
              <w:left w:val="nil"/>
              <w:bottom w:val="single" w:sz="4" w:space="0" w:color="auto"/>
              <w:right w:val="single" w:sz="4" w:space="0" w:color="auto"/>
            </w:tcBorders>
            <w:shd w:val="clear" w:color="000000" w:fill="FFFFFF"/>
            <w:hideMark/>
          </w:tcPr>
          <w:p w14:paraId="1B9F9902" w14:textId="603EF077"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54BD9BF2" w14:textId="77777777" w:rsidR="006D7E80" w:rsidRPr="00855D1E" w:rsidRDefault="006D7E80" w:rsidP="006D7E80">
            <w:pPr>
              <w:pStyle w:val="Tablenumbers"/>
            </w:pPr>
            <w:r w:rsidRPr="00855D1E">
              <w:t>1</w:t>
            </w:r>
          </w:p>
        </w:tc>
      </w:tr>
      <w:tr w:rsidR="006D7E80" w:rsidRPr="00855D1E" w14:paraId="29D33002" w14:textId="77777777" w:rsidTr="00064484">
        <w:trPr>
          <w:trHeight w:val="279"/>
        </w:trPr>
        <w:tc>
          <w:tcPr>
            <w:tcW w:w="1188" w:type="dxa"/>
            <w:vMerge/>
            <w:tcBorders>
              <w:left w:val="single" w:sz="4" w:space="0" w:color="auto"/>
              <w:right w:val="single" w:sz="4" w:space="0" w:color="auto"/>
            </w:tcBorders>
            <w:shd w:val="clear" w:color="000000" w:fill="FFFFFF"/>
            <w:noWrap/>
            <w:hideMark/>
          </w:tcPr>
          <w:p w14:paraId="706350DC" w14:textId="07F078F4"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2D21F7DE" w14:textId="7DE2C30E" w:rsidR="006D7E80" w:rsidRPr="00855D1E" w:rsidRDefault="006D7E80" w:rsidP="006D7E80">
            <w:pPr>
              <w:pStyle w:val="TableText"/>
            </w:pPr>
            <w:r w:rsidRPr="00855D1E">
              <w:t>Sanitising items for DELWP staff due to COVID</w:t>
            </w:r>
            <w:r>
              <w:t>-19</w:t>
            </w:r>
          </w:p>
        </w:tc>
        <w:tc>
          <w:tcPr>
            <w:tcW w:w="1134" w:type="dxa"/>
            <w:tcBorders>
              <w:top w:val="nil"/>
              <w:left w:val="nil"/>
              <w:bottom w:val="single" w:sz="4" w:space="0" w:color="auto"/>
              <w:right w:val="single" w:sz="4" w:space="0" w:color="auto"/>
            </w:tcBorders>
            <w:shd w:val="clear" w:color="000000" w:fill="FFFFFF"/>
            <w:vAlign w:val="center"/>
            <w:hideMark/>
          </w:tcPr>
          <w:p w14:paraId="0B2EC184" w14:textId="77777777" w:rsidR="006D7E80" w:rsidRPr="00855D1E" w:rsidRDefault="006D7E80" w:rsidP="006D7E80">
            <w:pPr>
              <w:pStyle w:val="Tablenumbers"/>
            </w:pPr>
            <w:r w:rsidRPr="00855D1E">
              <w:t>$0.1</w:t>
            </w:r>
          </w:p>
        </w:tc>
        <w:tc>
          <w:tcPr>
            <w:tcW w:w="1074" w:type="dxa"/>
            <w:tcBorders>
              <w:top w:val="nil"/>
              <w:left w:val="nil"/>
              <w:bottom w:val="single" w:sz="4" w:space="0" w:color="auto"/>
              <w:right w:val="single" w:sz="4" w:space="0" w:color="auto"/>
            </w:tcBorders>
            <w:shd w:val="clear" w:color="000000" w:fill="FFFFFF"/>
            <w:vAlign w:val="center"/>
            <w:hideMark/>
          </w:tcPr>
          <w:p w14:paraId="1BC28B78" w14:textId="77777777" w:rsidR="006D7E80" w:rsidRPr="00855D1E" w:rsidRDefault="006D7E80" w:rsidP="006D7E80">
            <w:pPr>
              <w:pStyle w:val="Tablenumbers"/>
            </w:pPr>
            <w:r w:rsidRPr="00855D1E">
              <w:t>0.67</w:t>
            </w:r>
          </w:p>
        </w:tc>
        <w:tc>
          <w:tcPr>
            <w:tcW w:w="1074" w:type="dxa"/>
            <w:tcBorders>
              <w:top w:val="nil"/>
              <w:left w:val="nil"/>
              <w:bottom w:val="single" w:sz="4" w:space="0" w:color="auto"/>
              <w:right w:val="single" w:sz="4" w:space="0" w:color="auto"/>
            </w:tcBorders>
            <w:shd w:val="clear" w:color="000000" w:fill="FFFFFF"/>
            <w:vAlign w:val="center"/>
            <w:hideMark/>
          </w:tcPr>
          <w:p w14:paraId="116D3C02" w14:textId="028FFE8A" w:rsidR="006D7E80" w:rsidRPr="00855D1E" w:rsidRDefault="006D7E80" w:rsidP="006D7E80">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26A3E228"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7827F2AB" w14:textId="77777777" w:rsidR="006D7E80" w:rsidRPr="00855D1E" w:rsidRDefault="006D7E80" w:rsidP="006D7E80">
            <w:pPr>
              <w:pStyle w:val="TableText"/>
            </w:pPr>
            <w:r w:rsidRPr="00855D1E">
              <w:t>RFQ</w:t>
            </w:r>
          </w:p>
        </w:tc>
        <w:tc>
          <w:tcPr>
            <w:tcW w:w="808" w:type="dxa"/>
            <w:tcBorders>
              <w:top w:val="nil"/>
              <w:left w:val="nil"/>
              <w:bottom w:val="single" w:sz="4" w:space="0" w:color="auto"/>
              <w:right w:val="single" w:sz="4" w:space="0" w:color="auto"/>
            </w:tcBorders>
            <w:shd w:val="clear" w:color="000000" w:fill="FFFFFF"/>
            <w:hideMark/>
          </w:tcPr>
          <w:p w14:paraId="2F9577AB" w14:textId="1E89C787"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141CA42E" w14:textId="77777777" w:rsidR="006D7E80" w:rsidRPr="00855D1E" w:rsidRDefault="006D7E80" w:rsidP="006D7E80">
            <w:pPr>
              <w:pStyle w:val="Tablenumbers"/>
            </w:pPr>
            <w:r w:rsidRPr="00855D1E">
              <w:t>1</w:t>
            </w:r>
          </w:p>
        </w:tc>
      </w:tr>
      <w:tr w:rsidR="006D7E80" w:rsidRPr="00855D1E" w14:paraId="04AE22CB" w14:textId="77777777" w:rsidTr="00064484">
        <w:trPr>
          <w:trHeight w:val="167"/>
        </w:trPr>
        <w:tc>
          <w:tcPr>
            <w:tcW w:w="1188" w:type="dxa"/>
            <w:vMerge/>
            <w:tcBorders>
              <w:left w:val="single" w:sz="4" w:space="0" w:color="auto"/>
              <w:right w:val="single" w:sz="4" w:space="0" w:color="auto"/>
            </w:tcBorders>
            <w:shd w:val="clear" w:color="000000" w:fill="FFFFFF"/>
            <w:noWrap/>
            <w:hideMark/>
          </w:tcPr>
          <w:p w14:paraId="25E59884" w14:textId="5E246C7F"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7418C6FB" w14:textId="77777777" w:rsidR="006D7E80" w:rsidRPr="00855D1E" w:rsidRDefault="006D7E80" w:rsidP="006D7E80">
            <w:pPr>
              <w:pStyle w:val="TableText"/>
            </w:pPr>
            <w:r w:rsidRPr="00855D1E">
              <w:t>Electrolyte sachets for fire and field personnel</w:t>
            </w:r>
          </w:p>
        </w:tc>
        <w:tc>
          <w:tcPr>
            <w:tcW w:w="1134" w:type="dxa"/>
            <w:tcBorders>
              <w:top w:val="nil"/>
              <w:left w:val="nil"/>
              <w:bottom w:val="single" w:sz="4" w:space="0" w:color="auto"/>
              <w:right w:val="single" w:sz="4" w:space="0" w:color="auto"/>
            </w:tcBorders>
            <w:shd w:val="clear" w:color="000000" w:fill="FFFFFF"/>
            <w:vAlign w:val="center"/>
            <w:hideMark/>
          </w:tcPr>
          <w:p w14:paraId="759692E0" w14:textId="77777777" w:rsidR="006D7E80" w:rsidRPr="00855D1E" w:rsidRDefault="006D7E80" w:rsidP="006D7E80">
            <w:pPr>
              <w:pStyle w:val="Tablenumbers"/>
            </w:pPr>
            <w:r w:rsidRPr="00855D1E">
              <w:t>$0.1</w:t>
            </w:r>
          </w:p>
        </w:tc>
        <w:tc>
          <w:tcPr>
            <w:tcW w:w="1074" w:type="dxa"/>
            <w:tcBorders>
              <w:top w:val="nil"/>
              <w:left w:val="nil"/>
              <w:bottom w:val="single" w:sz="4" w:space="0" w:color="auto"/>
              <w:right w:val="single" w:sz="4" w:space="0" w:color="auto"/>
            </w:tcBorders>
            <w:shd w:val="clear" w:color="000000" w:fill="FFFFFF"/>
            <w:vAlign w:val="center"/>
            <w:hideMark/>
          </w:tcPr>
          <w:p w14:paraId="2C8D99C8" w14:textId="77777777" w:rsidR="006D7E80" w:rsidRPr="00855D1E" w:rsidRDefault="006D7E80" w:rsidP="006D7E80">
            <w:pPr>
              <w:pStyle w:val="Tablenumbers"/>
            </w:pPr>
            <w:r w:rsidRPr="00855D1E">
              <w:t>1</w:t>
            </w:r>
          </w:p>
        </w:tc>
        <w:tc>
          <w:tcPr>
            <w:tcW w:w="1074" w:type="dxa"/>
            <w:tcBorders>
              <w:top w:val="nil"/>
              <w:left w:val="nil"/>
              <w:bottom w:val="single" w:sz="4" w:space="0" w:color="auto"/>
              <w:right w:val="single" w:sz="4" w:space="0" w:color="auto"/>
            </w:tcBorders>
            <w:shd w:val="clear" w:color="000000" w:fill="FFFFFF"/>
            <w:vAlign w:val="center"/>
            <w:hideMark/>
          </w:tcPr>
          <w:p w14:paraId="4F51519E" w14:textId="4027875C" w:rsidR="006D7E80" w:rsidRPr="00855D1E" w:rsidRDefault="006D7E80" w:rsidP="006D7E80">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7DB4EA91"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2097CA84" w14:textId="77777777" w:rsidR="006D7E80" w:rsidRPr="00855D1E" w:rsidRDefault="006D7E80" w:rsidP="006D7E80">
            <w:pPr>
              <w:pStyle w:val="TableText"/>
            </w:pPr>
            <w:r w:rsidRPr="00855D1E">
              <w:t>RFQ</w:t>
            </w:r>
          </w:p>
        </w:tc>
        <w:tc>
          <w:tcPr>
            <w:tcW w:w="808" w:type="dxa"/>
            <w:tcBorders>
              <w:top w:val="nil"/>
              <w:left w:val="nil"/>
              <w:bottom w:val="single" w:sz="4" w:space="0" w:color="auto"/>
              <w:right w:val="single" w:sz="4" w:space="0" w:color="auto"/>
            </w:tcBorders>
            <w:shd w:val="clear" w:color="000000" w:fill="FFFFFF"/>
            <w:hideMark/>
          </w:tcPr>
          <w:p w14:paraId="7A40FDF2" w14:textId="085D68A2"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2A5B1E82" w14:textId="77777777" w:rsidR="006D7E80" w:rsidRPr="00855D1E" w:rsidRDefault="006D7E80" w:rsidP="006D7E80">
            <w:pPr>
              <w:pStyle w:val="Tablenumbers"/>
            </w:pPr>
            <w:r w:rsidRPr="00855D1E">
              <w:t>1</w:t>
            </w:r>
          </w:p>
        </w:tc>
      </w:tr>
      <w:tr w:rsidR="006D7E80" w:rsidRPr="00855D1E" w14:paraId="49925206" w14:textId="77777777" w:rsidTr="00064484">
        <w:trPr>
          <w:trHeight w:val="144"/>
        </w:trPr>
        <w:tc>
          <w:tcPr>
            <w:tcW w:w="1188" w:type="dxa"/>
            <w:vMerge/>
            <w:tcBorders>
              <w:left w:val="single" w:sz="4" w:space="0" w:color="auto"/>
              <w:right w:val="single" w:sz="4" w:space="0" w:color="auto"/>
            </w:tcBorders>
            <w:shd w:val="clear" w:color="000000" w:fill="FFFFFF"/>
            <w:noWrap/>
            <w:hideMark/>
          </w:tcPr>
          <w:p w14:paraId="277976C0" w14:textId="28F0F832"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79CD75A5" w14:textId="77777777" w:rsidR="006D7E80" w:rsidRPr="00855D1E" w:rsidRDefault="006D7E80" w:rsidP="006D7E80">
            <w:pPr>
              <w:pStyle w:val="TableText"/>
            </w:pPr>
            <w:r w:rsidRPr="00855D1E">
              <w:t>Forest Protection Survey Program panel</w:t>
            </w:r>
          </w:p>
        </w:tc>
        <w:tc>
          <w:tcPr>
            <w:tcW w:w="1134" w:type="dxa"/>
            <w:tcBorders>
              <w:top w:val="nil"/>
              <w:left w:val="nil"/>
              <w:bottom w:val="single" w:sz="4" w:space="0" w:color="auto"/>
              <w:right w:val="single" w:sz="4" w:space="0" w:color="auto"/>
            </w:tcBorders>
            <w:shd w:val="clear" w:color="000000" w:fill="FFFFFF"/>
            <w:vAlign w:val="center"/>
            <w:hideMark/>
          </w:tcPr>
          <w:p w14:paraId="5A27293C" w14:textId="77777777" w:rsidR="006D7E80" w:rsidRPr="00855D1E" w:rsidRDefault="006D7E80" w:rsidP="006D7E80">
            <w:pPr>
              <w:pStyle w:val="Tablenumbers"/>
            </w:pPr>
            <w:r w:rsidRPr="00855D1E">
              <w:t>$0.2</w:t>
            </w:r>
          </w:p>
        </w:tc>
        <w:tc>
          <w:tcPr>
            <w:tcW w:w="1074" w:type="dxa"/>
            <w:tcBorders>
              <w:top w:val="nil"/>
              <w:left w:val="nil"/>
              <w:bottom w:val="single" w:sz="4" w:space="0" w:color="auto"/>
              <w:right w:val="single" w:sz="4" w:space="0" w:color="auto"/>
            </w:tcBorders>
            <w:shd w:val="clear" w:color="000000" w:fill="FFFFFF"/>
            <w:vAlign w:val="center"/>
            <w:hideMark/>
          </w:tcPr>
          <w:p w14:paraId="2B65CB06" w14:textId="77777777" w:rsidR="006D7E80" w:rsidRPr="00855D1E" w:rsidRDefault="006D7E80" w:rsidP="006D7E80">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7B2A720E" w14:textId="3EB62268" w:rsidR="006D7E80" w:rsidRPr="00855D1E" w:rsidRDefault="006D7E80" w:rsidP="006D7E80">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26666ADD" w14:textId="77777777" w:rsidR="006D7E80" w:rsidRPr="00855D1E" w:rsidRDefault="006D7E80" w:rsidP="006D7E80">
            <w:pPr>
              <w:pStyle w:val="TableText"/>
            </w:pPr>
            <w:r w:rsidRPr="00855D1E">
              <w:t>Focused</w:t>
            </w:r>
          </w:p>
        </w:tc>
        <w:tc>
          <w:tcPr>
            <w:tcW w:w="975" w:type="dxa"/>
            <w:tcBorders>
              <w:top w:val="nil"/>
              <w:left w:val="nil"/>
              <w:bottom w:val="single" w:sz="4" w:space="0" w:color="auto"/>
              <w:right w:val="single" w:sz="4" w:space="0" w:color="auto"/>
            </w:tcBorders>
            <w:shd w:val="clear" w:color="000000" w:fill="FFFFFF"/>
            <w:vAlign w:val="center"/>
            <w:hideMark/>
          </w:tcPr>
          <w:p w14:paraId="421E69CA" w14:textId="7605A094" w:rsidR="006D7E80" w:rsidRPr="00855D1E" w:rsidRDefault="006D7E80" w:rsidP="006D7E80">
            <w:pPr>
              <w:pStyle w:val="TableText"/>
            </w:pPr>
            <w:r w:rsidRPr="00855D1E">
              <w:t xml:space="preserve">RFT </w:t>
            </w:r>
          </w:p>
        </w:tc>
        <w:tc>
          <w:tcPr>
            <w:tcW w:w="808" w:type="dxa"/>
            <w:tcBorders>
              <w:top w:val="nil"/>
              <w:left w:val="nil"/>
              <w:bottom w:val="single" w:sz="4" w:space="0" w:color="auto"/>
              <w:right w:val="single" w:sz="4" w:space="0" w:color="auto"/>
            </w:tcBorders>
            <w:shd w:val="clear" w:color="000000" w:fill="FFFFFF"/>
            <w:hideMark/>
          </w:tcPr>
          <w:p w14:paraId="23CD4B7E" w14:textId="1494B8C0"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15D5E3D6" w14:textId="77777777" w:rsidR="006D7E80" w:rsidRPr="00855D1E" w:rsidRDefault="006D7E80" w:rsidP="006D7E80">
            <w:pPr>
              <w:pStyle w:val="Tablenumbers"/>
            </w:pPr>
            <w:r w:rsidRPr="00855D1E">
              <w:t>1</w:t>
            </w:r>
          </w:p>
        </w:tc>
      </w:tr>
      <w:tr w:rsidR="006D7E80" w:rsidRPr="00855D1E" w14:paraId="164B7524" w14:textId="77777777" w:rsidTr="00064484">
        <w:trPr>
          <w:trHeight w:val="244"/>
        </w:trPr>
        <w:tc>
          <w:tcPr>
            <w:tcW w:w="1188" w:type="dxa"/>
            <w:vMerge/>
            <w:tcBorders>
              <w:left w:val="single" w:sz="4" w:space="0" w:color="auto"/>
              <w:right w:val="single" w:sz="4" w:space="0" w:color="auto"/>
            </w:tcBorders>
            <w:shd w:val="clear" w:color="000000" w:fill="FFFFFF"/>
            <w:noWrap/>
            <w:hideMark/>
          </w:tcPr>
          <w:p w14:paraId="0D617C63" w14:textId="12055D22"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FED8B06" w14:textId="77777777" w:rsidR="006D7E80" w:rsidRPr="00855D1E" w:rsidRDefault="006D7E80" w:rsidP="006D7E80">
            <w:pPr>
              <w:pStyle w:val="TableText"/>
            </w:pPr>
            <w:r w:rsidRPr="00855D1E">
              <w:t>Environment and Community Programs evaluation</w:t>
            </w:r>
          </w:p>
        </w:tc>
        <w:tc>
          <w:tcPr>
            <w:tcW w:w="1134" w:type="dxa"/>
            <w:tcBorders>
              <w:top w:val="nil"/>
              <w:left w:val="nil"/>
              <w:bottom w:val="single" w:sz="4" w:space="0" w:color="auto"/>
              <w:right w:val="single" w:sz="4" w:space="0" w:color="auto"/>
            </w:tcBorders>
            <w:shd w:val="clear" w:color="000000" w:fill="FFFFFF"/>
            <w:vAlign w:val="center"/>
            <w:hideMark/>
          </w:tcPr>
          <w:p w14:paraId="06FB53B4" w14:textId="77777777" w:rsidR="006D7E80" w:rsidRPr="00855D1E" w:rsidRDefault="006D7E80" w:rsidP="006D7E80">
            <w:pPr>
              <w:pStyle w:val="Tablenumbers"/>
            </w:pPr>
            <w:r w:rsidRPr="00855D1E">
              <w:t>$0.2</w:t>
            </w:r>
          </w:p>
        </w:tc>
        <w:tc>
          <w:tcPr>
            <w:tcW w:w="1074" w:type="dxa"/>
            <w:tcBorders>
              <w:top w:val="nil"/>
              <w:left w:val="nil"/>
              <w:bottom w:val="single" w:sz="4" w:space="0" w:color="auto"/>
              <w:right w:val="single" w:sz="4" w:space="0" w:color="auto"/>
            </w:tcBorders>
            <w:shd w:val="clear" w:color="000000" w:fill="FFFFFF"/>
            <w:vAlign w:val="center"/>
            <w:hideMark/>
          </w:tcPr>
          <w:p w14:paraId="72C6D0DE" w14:textId="77777777" w:rsidR="006D7E80" w:rsidRPr="00855D1E" w:rsidRDefault="006D7E80" w:rsidP="006D7E80">
            <w:pPr>
              <w:pStyle w:val="Tablenumbers"/>
            </w:pPr>
            <w:r w:rsidRPr="00855D1E">
              <w:t>0.67</w:t>
            </w:r>
          </w:p>
        </w:tc>
        <w:tc>
          <w:tcPr>
            <w:tcW w:w="1074" w:type="dxa"/>
            <w:tcBorders>
              <w:top w:val="nil"/>
              <w:left w:val="nil"/>
              <w:bottom w:val="single" w:sz="4" w:space="0" w:color="auto"/>
              <w:right w:val="single" w:sz="4" w:space="0" w:color="auto"/>
            </w:tcBorders>
            <w:shd w:val="clear" w:color="000000" w:fill="FFFFFF"/>
            <w:vAlign w:val="center"/>
            <w:hideMark/>
          </w:tcPr>
          <w:p w14:paraId="5047C27E" w14:textId="40FEF40F" w:rsidR="006D7E80" w:rsidRPr="00855D1E" w:rsidRDefault="006D7E80" w:rsidP="006D7E80">
            <w:pPr>
              <w:pStyle w:val="TableText"/>
            </w:pPr>
            <w:r>
              <w:t>0</w:t>
            </w:r>
          </w:p>
        </w:tc>
        <w:tc>
          <w:tcPr>
            <w:tcW w:w="1308" w:type="dxa"/>
            <w:tcBorders>
              <w:top w:val="nil"/>
              <w:left w:val="nil"/>
              <w:bottom w:val="single" w:sz="4" w:space="0" w:color="auto"/>
              <w:right w:val="single" w:sz="4" w:space="0" w:color="auto"/>
            </w:tcBorders>
            <w:shd w:val="clear" w:color="000000" w:fill="FFFFFF"/>
            <w:vAlign w:val="center"/>
            <w:hideMark/>
          </w:tcPr>
          <w:p w14:paraId="6BFD40B3"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6DA80690" w14:textId="77777777" w:rsidR="006D7E80" w:rsidRPr="00855D1E" w:rsidRDefault="006D7E80" w:rsidP="006D7E80">
            <w:pPr>
              <w:pStyle w:val="TableText"/>
            </w:pPr>
            <w:r w:rsidRPr="00855D1E">
              <w:t>RFT</w:t>
            </w:r>
          </w:p>
        </w:tc>
        <w:tc>
          <w:tcPr>
            <w:tcW w:w="808" w:type="dxa"/>
            <w:tcBorders>
              <w:top w:val="nil"/>
              <w:left w:val="nil"/>
              <w:bottom w:val="single" w:sz="4" w:space="0" w:color="auto"/>
              <w:right w:val="single" w:sz="4" w:space="0" w:color="auto"/>
            </w:tcBorders>
            <w:shd w:val="clear" w:color="000000" w:fill="FFFFFF"/>
            <w:hideMark/>
          </w:tcPr>
          <w:p w14:paraId="6210C61C" w14:textId="5E909D0B"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388D0D7E" w14:textId="77777777" w:rsidR="006D7E80" w:rsidRPr="00855D1E" w:rsidRDefault="006D7E80" w:rsidP="006D7E80">
            <w:pPr>
              <w:pStyle w:val="Tablenumbers"/>
            </w:pPr>
            <w:r w:rsidRPr="00855D1E">
              <w:t>1</w:t>
            </w:r>
          </w:p>
        </w:tc>
      </w:tr>
      <w:tr w:rsidR="006D7E80" w:rsidRPr="00855D1E" w14:paraId="328A4C84" w14:textId="77777777" w:rsidTr="00064484">
        <w:trPr>
          <w:trHeight w:val="300"/>
        </w:trPr>
        <w:tc>
          <w:tcPr>
            <w:tcW w:w="1188" w:type="dxa"/>
            <w:vMerge/>
            <w:tcBorders>
              <w:left w:val="single" w:sz="4" w:space="0" w:color="auto"/>
              <w:right w:val="single" w:sz="4" w:space="0" w:color="auto"/>
            </w:tcBorders>
            <w:shd w:val="clear" w:color="000000" w:fill="FFFFFF"/>
            <w:noWrap/>
            <w:hideMark/>
          </w:tcPr>
          <w:p w14:paraId="67D99BCD" w14:textId="779433FF"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223AEA61" w14:textId="77777777" w:rsidR="006D7E80" w:rsidRPr="00855D1E" w:rsidRDefault="006D7E80" w:rsidP="006D7E80">
            <w:pPr>
              <w:pStyle w:val="TableText"/>
            </w:pPr>
            <w:r w:rsidRPr="00855D1E">
              <w:t>Aerial incendiary capsules</w:t>
            </w:r>
          </w:p>
        </w:tc>
        <w:tc>
          <w:tcPr>
            <w:tcW w:w="1134" w:type="dxa"/>
            <w:tcBorders>
              <w:top w:val="nil"/>
              <w:left w:val="nil"/>
              <w:bottom w:val="single" w:sz="4" w:space="0" w:color="auto"/>
              <w:right w:val="single" w:sz="4" w:space="0" w:color="auto"/>
            </w:tcBorders>
            <w:shd w:val="clear" w:color="000000" w:fill="FFFFFF"/>
            <w:vAlign w:val="center"/>
            <w:hideMark/>
          </w:tcPr>
          <w:p w14:paraId="493E5C16" w14:textId="77777777" w:rsidR="006D7E80" w:rsidRPr="00855D1E" w:rsidRDefault="006D7E80" w:rsidP="006D7E80">
            <w:pPr>
              <w:pStyle w:val="Tablenumbers"/>
            </w:pPr>
            <w:r w:rsidRPr="00855D1E">
              <w:t>$0.4</w:t>
            </w:r>
          </w:p>
        </w:tc>
        <w:tc>
          <w:tcPr>
            <w:tcW w:w="1074" w:type="dxa"/>
            <w:tcBorders>
              <w:top w:val="nil"/>
              <w:left w:val="nil"/>
              <w:bottom w:val="single" w:sz="4" w:space="0" w:color="auto"/>
              <w:right w:val="single" w:sz="4" w:space="0" w:color="auto"/>
            </w:tcBorders>
            <w:shd w:val="clear" w:color="000000" w:fill="FFFFFF"/>
            <w:vAlign w:val="center"/>
            <w:hideMark/>
          </w:tcPr>
          <w:p w14:paraId="785F9174" w14:textId="4F97E9FF" w:rsidR="006D7E80" w:rsidRPr="00855D1E" w:rsidRDefault="006D7E80" w:rsidP="006D7E80">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055C0AB4" w14:textId="38407DCB" w:rsidR="006D7E80" w:rsidRPr="00855D1E" w:rsidRDefault="006D7E80" w:rsidP="006D7E80">
            <w:pPr>
              <w:pStyle w:val="TableText"/>
            </w:pPr>
            <w:r w:rsidRPr="00855D1E">
              <w:t>2</w:t>
            </w:r>
            <w:r>
              <w:rPr>
                <w:rStyle w:val="st"/>
              </w:rPr>
              <w:t>×</w:t>
            </w:r>
            <w:r w:rsidRPr="00855D1E">
              <w:t>1</w:t>
            </w:r>
          </w:p>
        </w:tc>
        <w:tc>
          <w:tcPr>
            <w:tcW w:w="1308" w:type="dxa"/>
            <w:tcBorders>
              <w:top w:val="nil"/>
              <w:left w:val="nil"/>
              <w:bottom w:val="single" w:sz="4" w:space="0" w:color="auto"/>
              <w:right w:val="single" w:sz="4" w:space="0" w:color="auto"/>
            </w:tcBorders>
            <w:shd w:val="clear" w:color="000000" w:fill="FFFFFF"/>
            <w:vAlign w:val="center"/>
            <w:hideMark/>
          </w:tcPr>
          <w:p w14:paraId="37133CBC" w14:textId="77777777" w:rsidR="006D7E80" w:rsidRPr="00855D1E" w:rsidRDefault="006D7E80" w:rsidP="006D7E80">
            <w:pPr>
              <w:pStyle w:val="TableText"/>
            </w:pPr>
            <w:r w:rsidRPr="00855D1E">
              <w:t>Focused</w:t>
            </w:r>
          </w:p>
        </w:tc>
        <w:tc>
          <w:tcPr>
            <w:tcW w:w="975" w:type="dxa"/>
            <w:tcBorders>
              <w:top w:val="nil"/>
              <w:left w:val="nil"/>
              <w:bottom w:val="single" w:sz="4" w:space="0" w:color="auto"/>
              <w:right w:val="single" w:sz="4" w:space="0" w:color="auto"/>
            </w:tcBorders>
            <w:shd w:val="clear" w:color="000000" w:fill="FFFFFF"/>
            <w:vAlign w:val="center"/>
            <w:hideMark/>
          </w:tcPr>
          <w:p w14:paraId="780DCB9D" w14:textId="77777777" w:rsidR="006D7E80" w:rsidRPr="00855D1E" w:rsidRDefault="006D7E80" w:rsidP="006D7E80">
            <w:pPr>
              <w:pStyle w:val="TableText"/>
            </w:pPr>
            <w:r w:rsidRPr="00855D1E">
              <w:t>RFQ</w:t>
            </w:r>
          </w:p>
        </w:tc>
        <w:tc>
          <w:tcPr>
            <w:tcW w:w="808" w:type="dxa"/>
            <w:tcBorders>
              <w:top w:val="nil"/>
              <w:left w:val="nil"/>
              <w:bottom w:val="single" w:sz="4" w:space="0" w:color="auto"/>
              <w:right w:val="single" w:sz="4" w:space="0" w:color="auto"/>
            </w:tcBorders>
            <w:shd w:val="clear" w:color="000000" w:fill="FFFFFF"/>
            <w:hideMark/>
          </w:tcPr>
          <w:p w14:paraId="444945A3" w14:textId="40BE9D60"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4A0164F1" w14:textId="77777777" w:rsidR="006D7E80" w:rsidRPr="00855D1E" w:rsidRDefault="006D7E80" w:rsidP="006D7E80">
            <w:pPr>
              <w:pStyle w:val="Tablenumbers"/>
            </w:pPr>
            <w:r w:rsidRPr="00855D1E">
              <w:t>1</w:t>
            </w:r>
          </w:p>
        </w:tc>
      </w:tr>
      <w:tr w:rsidR="006D7E80" w:rsidRPr="00855D1E" w14:paraId="684E59F1" w14:textId="77777777" w:rsidTr="00064484">
        <w:trPr>
          <w:trHeight w:val="300"/>
        </w:trPr>
        <w:tc>
          <w:tcPr>
            <w:tcW w:w="1188" w:type="dxa"/>
            <w:vMerge/>
            <w:tcBorders>
              <w:left w:val="single" w:sz="4" w:space="0" w:color="auto"/>
              <w:right w:val="single" w:sz="4" w:space="0" w:color="auto"/>
            </w:tcBorders>
            <w:shd w:val="clear" w:color="000000" w:fill="FFFFFF"/>
            <w:noWrap/>
            <w:vAlign w:val="bottom"/>
            <w:hideMark/>
          </w:tcPr>
          <w:p w14:paraId="7EA62B0E" w14:textId="01AEC241"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47CEC6C0" w14:textId="77777777" w:rsidR="006D7E80" w:rsidRPr="00855D1E" w:rsidRDefault="006D7E80" w:rsidP="006D7E80">
            <w:pPr>
              <w:pStyle w:val="TableText"/>
            </w:pPr>
            <w:r w:rsidRPr="00855D1E">
              <w:t>Electrolyte drink</w:t>
            </w:r>
          </w:p>
        </w:tc>
        <w:tc>
          <w:tcPr>
            <w:tcW w:w="1134" w:type="dxa"/>
            <w:tcBorders>
              <w:top w:val="nil"/>
              <w:left w:val="nil"/>
              <w:bottom w:val="single" w:sz="4" w:space="0" w:color="auto"/>
              <w:right w:val="single" w:sz="4" w:space="0" w:color="auto"/>
            </w:tcBorders>
            <w:shd w:val="clear" w:color="000000" w:fill="FFFFFF"/>
            <w:vAlign w:val="center"/>
            <w:hideMark/>
          </w:tcPr>
          <w:p w14:paraId="62AB8798" w14:textId="77777777" w:rsidR="006D7E80" w:rsidRPr="00855D1E" w:rsidRDefault="006D7E80" w:rsidP="006D7E80">
            <w:pPr>
              <w:pStyle w:val="Tablenumbers"/>
            </w:pPr>
            <w:r w:rsidRPr="00855D1E">
              <w:t>$0.4</w:t>
            </w:r>
          </w:p>
        </w:tc>
        <w:tc>
          <w:tcPr>
            <w:tcW w:w="1074" w:type="dxa"/>
            <w:tcBorders>
              <w:top w:val="nil"/>
              <w:left w:val="nil"/>
              <w:bottom w:val="single" w:sz="4" w:space="0" w:color="auto"/>
              <w:right w:val="single" w:sz="4" w:space="0" w:color="auto"/>
            </w:tcBorders>
            <w:shd w:val="clear" w:color="000000" w:fill="FFFFFF"/>
            <w:vAlign w:val="center"/>
            <w:hideMark/>
          </w:tcPr>
          <w:p w14:paraId="697DB5DF" w14:textId="77777777" w:rsidR="006D7E80" w:rsidRPr="00855D1E" w:rsidRDefault="006D7E80" w:rsidP="006D7E80">
            <w:pPr>
              <w:pStyle w:val="Tablenumbers"/>
            </w:pPr>
            <w:r w:rsidRPr="00855D1E">
              <w:t>1</w:t>
            </w:r>
          </w:p>
        </w:tc>
        <w:tc>
          <w:tcPr>
            <w:tcW w:w="1074" w:type="dxa"/>
            <w:tcBorders>
              <w:top w:val="nil"/>
              <w:left w:val="nil"/>
              <w:bottom w:val="single" w:sz="4" w:space="0" w:color="auto"/>
              <w:right w:val="single" w:sz="4" w:space="0" w:color="auto"/>
            </w:tcBorders>
            <w:shd w:val="clear" w:color="000000" w:fill="FFFFFF"/>
            <w:vAlign w:val="center"/>
            <w:hideMark/>
          </w:tcPr>
          <w:p w14:paraId="16B71C2F" w14:textId="6F5370E2" w:rsidR="006D7E80" w:rsidRPr="00855D1E" w:rsidRDefault="006D7E80" w:rsidP="006D7E80">
            <w:pPr>
              <w:pStyle w:val="TableText"/>
            </w:pPr>
            <w:r w:rsidRPr="009F602B">
              <w:t>2</w:t>
            </w:r>
            <w:r w:rsidRPr="009F602B">
              <w:rPr>
                <w:rStyle w:val="st"/>
              </w:rPr>
              <w:t>×</w:t>
            </w:r>
            <w:r w:rsidRPr="009F602B">
              <w:t>1</w:t>
            </w:r>
          </w:p>
        </w:tc>
        <w:tc>
          <w:tcPr>
            <w:tcW w:w="1308" w:type="dxa"/>
            <w:tcBorders>
              <w:top w:val="nil"/>
              <w:left w:val="nil"/>
              <w:bottom w:val="single" w:sz="4" w:space="0" w:color="auto"/>
              <w:right w:val="single" w:sz="4" w:space="0" w:color="auto"/>
            </w:tcBorders>
            <w:shd w:val="clear" w:color="000000" w:fill="FFFFFF"/>
            <w:vAlign w:val="center"/>
            <w:hideMark/>
          </w:tcPr>
          <w:p w14:paraId="09C0E755"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48775A75" w14:textId="77777777" w:rsidR="006D7E80" w:rsidRPr="00855D1E" w:rsidRDefault="006D7E80" w:rsidP="006D7E80">
            <w:pPr>
              <w:pStyle w:val="TableText"/>
            </w:pPr>
            <w:r w:rsidRPr="00855D1E">
              <w:t>RFQ</w:t>
            </w:r>
          </w:p>
        </w:tc>
        <w:tc>
          <w:tcPr>
            <w:tcW w:w="808" w:type="dxa"/>
            <w:tcBorders>
              <w:top w:val="nil"/>
              <w:left w:val="nil"/>
              <w:bottom w:val="single" w:sz="4" w:space="0" w:color="auto"/>
              <w:right w:val="single" w:sz="4" w:space="0" w:color="auto"/>
            </w:tcBorders>
            <w:shd w:val="clear" w:color="000000" w:fill="FFFFFF"/>
            <w:hideMark/>
          </w:tcPr>
          <w:p w14:paraId="25D60549" w14:textId="30175FB5"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1E957FA3" w14:textId="77777777" w:rsidR="006D7E80" w:rsidRPr="00855D1E" w:rsidRDefault="006D7E80" w:rsidP="006D7E80">
            <w:pPr>
              <w:pStyle w:val="Tablenumbers"/>
            </w:pPr>
            <w:r w:rsidRPr="00855D1E">
              <w:t>1</w:t>
            </w:r>
          </w:p>
        </w:tc>
      </w:tr>
      <w:tr w:rsidR="006D7E80" w:rsidRPr="00855D1E" w14:paraId="0FEEBE27" w14:textId="77777777" w:rsidTr="00064484">
        <w:trPr>
          <w:trHeight w:val="300"/>
        </w:trPr>
        <w:tc>
          <w:tcPr>
            <w:tcW w:w="1188" w:type="dxa"/>
            <w:vMerge/>
            <w:tcBorders>
              <w:left w:val="single" w:sz="4" w:space="0" w:color="auto"/>
              <w:right w:val="single" w:sz="4" w:space="0" w:color="auto"/>
            </w:tcBorders>
            <w:shd w:val="clear" w:color="000000" w:fill="FFFFFF"/>
            <w:noWrap/>
            <w:vAlign w:val="bottom"/>
            <w:hideMark/>
          </w:tcPr>
          <w:p w14:paraId="20DD6891" w14:textId="00FFA7EA"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901395F" w14:textId="77777777" w:rsidR="006D7E80" w:rsidRPr="00855D1E" w:rsidRDefault="006D7E80" w:rsidP="006D7E80">
            <w:pPr>
              <w:pStyle w:val="TableText"/>
            </w:pPr>
            <w:r w:rsidRPr="00855D1E">
              <w:t>Tents</w:t>
            </w:r>
          </w:p>
        </w:tc>
        <w:tc>
          <w:tcPr>
            <w:tcW w:w="1134" w:type="dxa"/>
            <w:tcBorders>
              <w:top w:val="nil"/>
              <w:left w:val="nil"/>
              <w:bottom w:val="single" w:sz="4" w:space="0" w:color="auto"/>
              <w:right w:val="single" w:sz="4" w:space="0" w:color="auto"/>
            </w:tcBorders>
            <w:shd w:val="clear" w:color="000000" w:fill="FFFFFF"/>
            <w:vAlign w:val="center"/>
            <w:hideMark/>
          </w:tcPr>
          <w:p w14:paraId="6F02E247" w14:textId="77777777" w:rsidR="006D7E80" w:rsidRPr="00855D1E" w:rsidRDefault="006D7E80" w:rsidP="006D7E80">
            <w:pPr>
              <w:pStyle w:val="Tablenumbers"/>
            </w:pPr>
            <w:r w:rsidRPr="00855D1E">
              <w:t>$0.5</w:t>
            </w:r>
          </w:p>
        </w:tc>
        <w:tc>
          <w:tcPr>
            <w:tcW w:w="1074" w:type="dxa"/>
            <w:tcBorders>
              <w:top w:val="nil"/>
              <w:left w:val="nil"/>
              <w:bottom w:val="single" w:sz="4" w:space="0" w:color="auto"/>
              <w:right w:val="single" w:sz="4" w:space="0" w:color="auto"/>
            </w:tcBorders>
            <w:shd w:val="clear" w:color="000000" w:fill="FFFFFF"/>
            <w:vAlign w:val="center"/>
            <w:hideMark/>
          </w:tcPr>
          <w:p w14:paraId="5CAFA5CB" w14:textId="77777777" w:rsidR="006D7E80" w:rsidRPr="00855D1E" w:rsidRDefault="006D7E80" w:rsidP="006D7E80">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59783B14" w14:textId="7E43E653" w:rsidR="006D7E80" w:rsidRPr="00855D1E" w:rsidRDefault="006D7E80" w:rsidP="006D7E80">
            <w:pPr>
              <w:pStyle w:val="TableText"/>
            </w:pPr>
            <w:r w:rsidRPr="009F602B">
              <w:t>2</w:t>
            </w:r>
            <w:r w:rsidRPr="009F602B">
              <w:rPr>
                <w:rStyle w:val="st"/>
              </w:rPr>
              <w:t>×</w:t>
            </w:r>
            <w:r w:rsidRPr="009F602B">
              <w:t>1</w:t>
            </w:r>
          </w:p>
        </w:tc>
        <w:tc>
          <w:tcPr>
            <w:tcW w:w="1308" w:type="dxa"/>
            <w:tcBorders>
              <w:top w:val="nil"/>
              <w:left w:val="nil"/>
              <w:bottom w:val="single" w:sz="4" w:space="0" w:color="auto"/>
              <w:right w:val="single" w:sz="4" w:space="0" w:color="auto"/>
            </w:tcBorders>
            <w:shd w:val="clear" w:color="000000" w:fill="FFFFFF"/>
            <w:vAlign w:val="center"/>
            <w:hideMark/>
          </w:tcPr>
          <w:p w14:paraId="747F6267"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55EEF816" w14:textId="77777777" w:rsidR="006D7E80" w:rsidRPr="00855D1E" w:rsidRDefault="006D7E80" w:rsidP="006D7E80">
            <w:pPr>
              <w:pStyle w:val="TableText"/>
            </w:pPr>
            <w:r w:rsidRPr="00855D1E">
              <w:t>RFT</w:t>
            </w:r>
          </w:p>
        </w:tc>
        <w:tc>
          <w:tcPr>
            <w:tcW w:w="808" w:type="dxa"/>
            <w:tcBorders>
              <w:top w:val="nil"/>
              <w:left w:val="nil"/>
              <w:bottom w:val="single" w:sz="4" w:space="0" w:color="auto"/>
              <w:right w:val="single" w:sz="4" w:space="0" w:color="auto"/>
            </w:tcBorders>
            <w:shd w:val="clear" w:color="000000" w:fill="FFFFFF"/>
            <w:hideMark/>
          </w:tcPr>
          <w:p w14:paraId="4BB048C5" w14:textId="4AA035F6"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44E4932B" w14:textId="77777777" w:rsidR="006D7E80" w:rsidRPr="00855D1E" w:rsidRDefault="006D7E80" w:rsidP="006D7E80">
            <w:pPr>
              <w:pStyle w:val="Tablenumbers"/>
            </w:pPr>
            <w:r w:rsidRPr="00855D1E">
              <w:t>1</w:t>
            </w:r>
          </w:p>
        </w:tc>
      </w:tr>
      <w:tr w:rsidR="006D7E80" w:rsidRPr="00855D1E" w14:paraId="2C4ABC32" w14:textId="77777777" w:rsidTr="00064484">
        <w:trPr>
          <w:trHeight w:val="300"/>
        </w:trPr>
        <w:tc>
          <w:tcPr>
            <w:tcW w:w="1188" w:type="dxa"/>
            <w:vMerge/>
            <w:tcBorders>
              <w:left w:val="single" w:sz="4" w:space="0" w:color="auto"/>
              <w:right w:val="single" w:sz="4" w:space="0" w:color="auto"/>
            </w:tcBorders>
            <w:shd w:val="clear" w:color="000000" w:fill="FFFFFF"/>
            <w:noWrap/>
            <w:vAlign w:val="bottom"/>
            <w:hideMark/>
          </w:tcPr>
          <w:p w14:paraId="5501965D" w14:textId="33052C54"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38F25077" w14:textId="77777777" w:rsidR="006D7E80" w:rsidRPr="00855D1E" w:rsidRDefault="006D7E80" w:rsidP="006D7E80">
            <w:pPr>
              <w:pStyle w:val="TableText"/>
            </w:pPr>
            <w:r w:rsidRPr="00855D1E">
              <w:t>Snack and ration packs</w:t>
            </w:r>
          </w:p>
        </w:tc>
        <w:tc>
          <w:tcPr>
            <w:tcW w:w="1134" w:type="dxa"/>
            <w:tcBorders>
              <w:top w:val="nil"/>
              <w:left w:val="nil"/>
              <w:bottom w:val="single" w:sz="4" w:space="0" w:color="auto"/>
              <w:right w:val="single" w:sz="4" w:space="0" w:color="auto"/>
            </w:tcBorders>
            <w:shd w:val="clear" w:color="000000" w:fill="FFFFFF"/>
            <w:vAlign w:val="center"/>
            <w:hideMark/>
          </w:tcPr>
          <w:p w14:paraId="4305C789" w14:textId="77777777" w:rsidR="006D7E80" w:rsidRPr="00855D1E" w:rsidRDefault="006D7E80" w:rsidP="006D7E80">
            <w:pPr>
              <w:pStyle w:val="Tablenumbers"/>
            </w:pPr>
            <w:r w:rsidRPr="00855D1E">
              <w:t>$0.5</w:t>
            </w:r>
          </w:p>
        </w:tc>
        <w:tc>
          <w:tcPr>
            <w:tcW w:w="1074" w:type="dxa"/>
            <w:tcBorders>
              <w:top w:val="nil"/>
              <w:left w:val="nil"/>
              <w:bottom w:val="single" w:sz="4" w:space="0" w:color="auto"/>
              <w:right w:val="single" w:sz="4" w:space="0" w:color="auto"/>
            </w:tcBorders>
            <w:shd w:val="clear" w:color="000000" w:fill="FFFFFF"/>
            <w:vAlign w:val="center"/>
            <w:hideMark/>
          </w:tcPr>
          <w:p w14:paraId="4FC4B899" w14:textId="77777777" w:rsidR="006D7E80" w:rsidRPr="00855D1E" w:rsidRDefault="006D7E80" w:rsidP="006D7E80">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48EA99A7" w14:textId="1660CE77" w:rsidR="006D7E80" w:rsidRPr="00855D1E" w:rsidRDefault="006D7E80" w:rsidP="006D7E80">
            <w:pPr>
              <w:pStyle w:val="TableText"/>
            </w:pPr>
            <w:r w:rsidRPr="009F602B">
              <w:t>2</w:t>
            </w:r>
            <w:r w:rsidRPr="009F602B">
              <w:rPr>
                <w:rStyle w:val="st"/>
              </w:rPr>
              <w:t>×</w:t>
            </w:r>
            <w:r w:rsidRPr="009F602B">
              <w:t>1</w:t>
            </w:r>
          </w:p>
        </w:tc>
        <w:tc>
          <w:tcPr>
            <w:tcW w:w="1308" w:type="dxa"/>
            <w:tcBorders>
              <w:top w:val="nil"/>
              <w:left w:val="nil"/>
              <w:bottom w:val="single" w:sz="4" w:space="0" w:color="auto"/>
              <w:right w:val="single" w:sz="4" w:space="0" w:color="auto"/>
            </w:tcBorders>
            <w:shd w:val="clear" w:color="000000" w:fill="FFFFFF"/>
            <w:vAlign w:val="center"/>
            <w:hideMark/>
          </w:tcPr>
          <w:p w14:paraId="6B156DDD"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30249B17" w14:textId="77777777" w:rsidR="006D7E80" w:rsidRPr="00855D1E" w:rsidRDefault="006D7E80" w:rsidP="006D7E80">
            <w:pPr>
              <w:pStyle w:val="TableText"/>
            </w:pPr>
            <w:r w:rsidRPr="00855D1E">
              <w:t>RFT</w:t>
            </w:r>
          </w:p>
        </w:tc>
        <w:tc>
          <w:tcPr>
            <w:tcW w:w="808" w:type="dxa"/>
            <w:tcBorders>
              <w:top w:val="nil"/>
              <w:left w:val="nil"/>
              <w:bottom w:val="single" w:sz="4" w:space="0" w:color="auto"/>
              <w:right w:val="single" w:sz="4" w:space="0" w:color="auto"/>
            </w:tcBorders>
            <w:shd w:val="clear" w:color="000000" w:fill="FFFFFF"/>
            <w:hideMark/>
          </w:tcPr>
          <w:p w14:paraId="075E991A" w14:textId="48300FCE"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53242275" w14:textId="77777777" w:rsidR="006D7E80" w:rsidRPr="00855D1E" w:rsidRDefault="006D7E80" w:rsidP="006D7E80">
            <w:pPr>
              <w:pStyle w:val="Tablenumbers"/>
            </w:pPr>
            <w:r w:rsidRPr="00855D1E">
              <w:t>1</w:t>
            </w:r>
          </w:p>
        </w:tc>
      </w:tr>
      <w:tr w:rsidR="006D7E80" w:rsidRPr="00855D1E" w14:paraId="2E51A3D3" w14:textId="77777777" w:rsidTr="00064484">
        <w:trPr>
          <w:trHeight w:val="252"/>
        </w:trPr>
        <w:tc>
          <w:tcPr>
            <w:tcW w:w="1188" w:type="dxa"/>
            <w:vMerge/>
            <w:tcBorders>
              <w:left w:val="single" w:sz="4" w:space="0" w:color="auto"/>
              <w:right w:val="single" w:sz="4" w:space="0" w:color="auto"/>
            </w:tcBorders>
            <w:shd w:val="clear" w:color="000000" w:fill="FFFFFF"/>
            <w:noWrap/>
            <w:vAlign w:val="bottom"/>
            <w:hideMark/>
          </w:tcPr>
          <w:p w14:paraId="4A228DE6" w14:textId="2F0DCA65"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2AAA9230" w14:textId="77777777" w:rsidR="006D7E80" w:rsidRPr="00855D1E" w:rsidRDefault="006D7E80" w:rsidP="006D7E80">
            <w:pPr>
              <w:pStyle w:val="TableText"/>
            </w:pPr>
            <w:r w:rsidRPr="00855D1E">
              <w:t>Panel of independent water recovery auditors and reviewers</w:t>
            </w:r>
          </w:p>
        </w:tc>
        <w:tc>
          <w:tcPr>
            <w:tcW w:w="1134" w:type="dxa"/>
            <w:tcBorders>
              <w:top w:val="nil"/>
              <w:left w:val="nil"/>
              <w:bottom w:val="single" w:sz="4" w:space="0" w:color="auto"/>
              <w:right w:val="single" w:sz="4" w:space="0" w:color="auto"/>
            </w:tcBorders>
            <w:shd w:val="clear" w:color="000000" w:fill="FFFFFF"/>
            <w:vAlign w:val="center"/>
            <w:hideMark/>
          </w:tcPr>
          <w:p w14:paraId="6CB708E9" w14:textId="77777777" w:rsidR="006D7E80" w:rsidRPr="00855D1E" w:rsidRDefault="006D7E80" w:rsidP="006D7E80">
            <w:pPr>
              <w:pStyle w:val="Tablenumbers"/>
            </w:pPr>
            <w:r w:rsidRPr="00855D1E">
              <w:t>$1.6</w:t>
            </w:r>
          </w:p>
        </w:tc>
        <w:tc>
          <w:tcPr>
            <w:tcW w:w="1074" w:type="dxa"/>
            <w:tcBorders>
              <w:top w:val="nil"/>
              <w:left w:val="nil"/>
              <w:bottom w:val="single" w:sz="4" w:space="0" w:color="auto"/>
              <w:right w:val="single" w:sz="4" w:space="0" w:color="auto"/>
            </w:tcBorders>
            <w:shd w:val="clear" w:color="000000" w:fill="FFFFFF"/>
            <w:vAlign w:val="center"/>
            <w:hideMark/>
          </w:tcPr>
          <w:p w14:paraId="44DDCBCE" w14:textId="77777777" w:rsidR="006D7E80" w:rsidRPr="00855D1E" w:rsidRDefault="006D7E80" w:rsidP="006D7E80">
            <w:pPr>
              <w:pStyle w:val="Tablenumbers"/>
            </w:pPr>
            <w:r w:rsidRPr="00855D1E">
              <w:t>6</w:t>
            </w:r>
          </w:p>
        </w:tc>
        <w:tc>
          <w:tcPr>
            <w:tcW w:w="1074" w:type="dxa"/>
            <w:tcBorders>
              <w:top w:val="nil"/>
              <w:left w:val="nil"/>
              <w:bottom w:val="single" w:sz="4" w:space="0" w:color="auto"/>
              <w:right w:val="single" w:sz="4" w:space="0" w:color="auto"/>
            </w:tcBorders>
            <w:shd w:val="clear" w:color="000000" w:fill="FFFFFF"/>
            <w:vAlign w:val="center"/>
            <w:hideMark/>
          </w:tcPr>
          <w:p w14:paraId="0BE06CBD" w14:textId="3C641673" w:rsidR="006D7E80" w:rsidRPr="00855D1E" w:rsidRDefault="006D7E80" w:rsidP="006D7E80">
            <w:pPr>
              <w:pStyle w:val="TableText"/>
            </w:pPr>
            <w:r w:rsidRPr="009F602B">
              <w:t>2</w:t>
            </w:r>
            <w:r w:rsidRPr="009F602B">
              <w:rPr>
                <w:rStyle w:val="st"/>
              </w:rPr>
              <w:t>×</w:t>
            </w:r>
            <w:r w:rsidRPr="009F602B">
              <w:t>1</w:t>
            </w:r>
          </w:p>
        </w:tc>
        <w:tc>
          <w:tcPr>
            <w:tcW w:w="1308" w:type="dxa"/>
            <w:tcBorders>
              <w:top w:val="nil"/>
              <w:left w:val="nil"/>
              <w:bottom w:val="single" w:sz="4" w:space="0" w:color="auto"/>
              <w:right w:val="single" w:sz="4" w:space="0" w:color="auto"/>
            </w:tcBorders>
            <w:shd w:val="clear" w:color="000000" w:fill="FFFFFF"/>
            <w:vAlign w:val="center"/>
            <w:hideMark/>
          </w:tcPr>
          <w:p w14:paraId="3BB84C67"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2857D8AC" w14:textId="77777777" w:rsidR="006D7E80" w:rsidRPr="00855D1E" w:rsidRDefault="006D7E80" w:rsidP="006D7E80">
            <w:pPr>
              <w:pStyle w:val="TableText"/>
            </w:pPr>
            <w:r w:rsidRPr="00855D1E">
              <w:t>RFT</w:t>
            </w:r>
          </w:p>
        </w:tc>
        <w:tc>
          <w:tcPr>
            <w:tcW w:w="808" w:type="dxa"/>
            <w:tcBorders>
              <w:top w:val="nil"/>
              <w:left w:val="nil"/>
              <w:bottom w:val="single" w:sz="4" w:space="0" w:color="auto"/>
              <w:right w:val="single" w:sz="4" w:space="0" w:color="auto"/>
            </w:tcBorders>
            <w:shd w:val="clear" w:color="000000" w:fill="FFFFFF"/>
            <w:hideMark/>
          </w:tcPr>
          <w:p w14:paraId="4D1FFC60" w14:textId="4FB76E13"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5F21CA10" w14:textId="77777777" w:rsidR="006D7E80" w:rsidRPr="00855D1E" w:rsidRDefault="006D7E80" w:rsidP="006D7E80">
            <w:pPr>
              <w:pStyle w:val="Tablenumbers"/>
            </w:pPr>
            <w:r w:rsidRPr="00855D1E">
              <w:t>6</w:t>
            </w:r>
          </w:p>
        </w:tc>
      </w:tr>
      <w:tr w:rsidR="006D7E80" w:rsidRPr="00855D1E" w14:paraId="25893283" w14:textId="77777777" w:rsidTr="00064484">
        <w:trPr>
          <w:trHeight w:val="300"/>
        </w:trPr>
        <w:tc>
          <w:tcPr>
            <w:tcW w:w="1188" w:type="dxa"/>
            <w:vMerge/>
            <w:tcBorders>
              <w:left w:val="single" w:sz="4" w:space="0" w:color="auto"/>
              <w:right w:val="single" w:sz="4" w:space="0" w:color="auto"/>
            </w:tcBorders>
            <w:shd w:val="clear" w:color="000000" w:fill="FFFFFF"/>
            <w:noWrap/>
            <w:vAlign w:val="bottom"/>
            <w:hideMark/>
          </w:tcPr>
          <w:p w14:paraId="0D06B198" w14:textId="6059026F"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54D7C2D3" w14:textId="77777777" w:rsidR="006D7E80" w:rsidRPr="00855D1E" w:rsidRDefault="006D7E80" w:rsidP="006D7E80">
            <w:pPr>
              <w:pStyle w:val="TableText"/>
            </w:pPr>
            <w:r w:rsidRPr="00855D1E">
              <w:t>Cutting equipment</w:t>
            </w:r>
          </w:p>
        </w:tc>
        <w:tc>
          <w:tcPr>
            <w:tcW w:w="1134" w:type="dxa"/>
            <w:tcBorders>
              <w:top w:val="nil"/>
              <w:left w:val="nil"/>
              <w:bottom w:val="single" w:sz="4" w:space="0" w:color="auto"/>
              <w:right w:val="single" w:sz="4" w:space="0" w:color="auto"/>
            </w:tcBorders>
            <w:shd w:val="clear" w:color="000000" w:fill="FFFFFF"/>
            <w:vAlign w:val="center"/>
            <w:hideMark/>
          </w:tcPr>
          <w:p w14:paraId="7459F1BD" w14:textId="77777777" w:rsidR="006D7E80" w:rsidRPr="00855D1E" w:rsidRDefault="006D7E80" w:rsidP="006D7E80">
            <w:pPr>
              <w:pStyle w:val="Tablenumbers"/>
            </w:pPr>
            <w:r w:rsidRPr="00855D1E">
              <w:t>$3.6</w:t>
            </w:r>
          </w:p>
        </w:tc>
        <w:tc>
          <w:tcPr>
            <w:tcW w:w="1074" w:type="dxa"/>
            <w:tcBorders>
              <w:top w:val="nil"/>
              <w:left w:val="nil"/>
              <w:bottom w:val="single" w:sz="4" w:space="0" w:color="auto"/>
              <w:right w:val="single" w:sz="4" w:space="0" w:color="auto"/>
            </w:tcBorders>
            <w:shd w:val="clear" w:color="000000" w:fill="FFFFFF"/>
            <w:vAlign w:val="center"/>
            <w:hideMark/>
          </w:tcPr>
          <w:p w14:paraId="399BDEBD" w14:textId="77777777" w:rsidR="006D7E80" w:rsidRPr="00855D1E" w:rsidRDefault="006D7E80" w:rsidP="006D7E80">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2BBCD4E6" w14:textId="22B060D8" w:rsidR="006D7E80" w:rsidRPr="00855D1E" w:rsidRDefault="006D7E80" w:rsidP="006D7E80">
            <w:pPr>
              <w:pStyle w:val="TableText"/>
            </w:pPr>
            <w:r w:rsidRPr="009F602B">
              <w:t>2</w:t>
            </w:r>
            <w:r w:rsidRPr="009F602B">
              <w:rPr>
                <w:rStyle w:val="st"/>
              </w:rPr>
              <w:t>×</w:t>
            </w:r>
            <w:r w:rsidRPr="009F602B">
              <w:t>1</w:t>
            </w:r>
          </w:p>
        </w:tc>
        <w:tc>
          <w:tcPr>
            <w:tcW w:w="1308" w:type="dxa"/>
            <w:tcBorders>
              <w:top w:val="nil"/>
              <w:left w:val="nil"/>
              <w:bottom w:val="single" w:sz="4" w:space="0" w:color="auto"/>
              <w:right w:val="single" w:sz="4" w:space="0" w:color="auto"/>
            </w:tcBorders>
            <w:shd w:val="clear" w:color="000000" w:fill="FFFFFF"/>
            <w:vAlign w:val="center"/>
            <w:hideMark/>
          </w:tcPr>
          <w:p w14:paraId="0640460A"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6ACB8FDF" w14:textId="77777777" w:rsidR="006D7E80" w:rsidRPr="00855D1E" w:rsidRDefault="006D7E80" w:rsidP="006D7E80">
            <w:pPr>
              <w:pStyle w:val="TableText"/>
            </w:pPr>
            <w:r w:rsidRPr="00855D1E">
              <w:t>RFT</w:t>
            </w:r>
          </w:p>
        </w:tc>
        <w:tc>
          <w:tcPr>
            <w:tcW w:w="808" w:type="dxa"/>
            <w:tcBorders>
              <w:top w:val="nil"/>
              <w:left w:val="nil"/>
              <w:bottom w:val="single" w:sz="4" w:space="0" w:color="auto"/>
              <w:right w:val="single" w:sz="4" w:space="0" w:color="auto"/>
            </w:tcBorders>
            <w:shd w:val="clear" w:color="000000" w:fill="FFFFFF"/>
            <w:hideMark/>
          </w:tcPr>
          <w:p w14:paraId="1E5B5E97" w14:textId="5808E3C4"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32489502" w14:textId="77777777" w:rsidR="006D7E80" w:rsidRPr="00855D1E" w:rsidRDefault="006D7E80" w:rsidP="006D7E80">
            <w:pPr>
              <w:pStyle w:val="Tablenumbers"/>
            </w:pPr>
            <w:r w:rsidRPr="00855D1E">
              <w:t>1</w:t>
            </w:r>
          </w:p>
        </w:tc>
      </w:tr>
      <w:tr w:rsidR="006D7E80" w:rsidRPr="00855D1E" w14:paraId="47B88804" w14:textId="77777777" w:rsidTr="00064484">
        <w:trPr>
          <w:trHeight w:val="415"/>
        </w:trPr>
        <w:tc>
          <w:tcPr>
            <w:tcW w:w="1188" w:type="dxa"/>
            <w:vMerge/>
            <w:tcBorders>
              <w:left w:val="single" w:sz="4" w:space="0" w:color="auto"/>
              <w:bottom w:val="single" w:sz="4" w:space="0" w:color="auto"/>
              <w:right w:val="single" w:sz="4" w:space="0" w:color="auto"/>
            </w:tcBorders>
            <w:shd w:val="clear" w:color="000000" w:fill="FFFFFF"/>
            <w:noWrap/>
            <w:vAlign w:val="bottom"/>
            <w:hideMark/>
          </w:tcPr>
          <w:p w14:paraId="1B639BB1" w14:textId="446EE911" w:rsidR="006D7E80" w:rsidRPr="00855D1E" w:rsidRDefault="006D7E80" w:rsidP="006D7E80">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57588F72" w14:textId="77777777" w:rsidR="006D7E80" w:rsidRPr="00855D1E" w:rsidRDefault="006D7E80" w:rsidP="006D7E80">
            <w:pPr>
              <w:pStyle w:val="TableText"/>
            </w:pPr>
            <w:r w:rsidRPr="00855D1E">
              <w:t>Safety and wellbeing learning and development panel</w:t>
            </w:r>
          </w:p>
        </w:tc>
        <w:tc>
          <w:tcPr>
            <w:tcW w:w="1134" w:type="dxa"/>
            <w:tcBorders>
              <w:top w:val="nil"/>
              <w:left w:val="nil"/>
              <w:bottom w:val="single" w:sz="4" w:space="0" w:color="auto"/>
              <w:right w:val="single" w:sz="4" w:space="0" w:color="auto"/>
            </w:tcBorders>
            <w:shd w:val="clear" w:color="000000" w:fill="FFFFFF"/>
            <w:vAlign w:val="center"/>
            <w:hideMark/>
          </w:tcPr>
          <w:p w14:paraId="7B83E074" w14:textId="77777777" w:rsidR="006D7E80" w:rsidRPr="00855D1E" w:rsidRDefault="006D7E80" w:rsidP="006D7E80">
            <w:pPr>
              <w:pStyle w:val="Tablenumbers"/>
            </w:pPr>
            <w:r w:rsidRPr="00855D1E">
              <w:t>$7.0</w:t>
            </w:r>
          </w:p>
        </w:tc>
        <w:tc>
          <w:tcPr>
            <w:tcW w:w="1074" w:type="dxa"/>
            <w:tcBorders>
              <w:top w:val="nil"/>
              <w:left w:val="nil"/>
              <w:bottom w:val="single" w:sz="4" w:space="0" w:color="auto"/>
              <w:right w:val="single" w:sz="4" w:space="0" w:color="auto"/>
            </w:tcBorders>
            <w:shd w:val="clear" w:color="000000" w:fill="FFFFFF"/>
            <w:vAlign w:val="center"/>
            <w:hideMark/>
          </w:tcPr>
          <w:p w14:paraId="0D46AC64" w14:textId="77777777" w:rsidR="006D7E80" w:rsidRPr="00855D1E" w:rsidRDefault="006D7E80" w:rsidP="006D7E80">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6B5041AE" w14:textId="7A700CA4" w:rsidR="006D7E80" w:rsidRPr="00855D1E" w:rsidRDefault="006D7E80" w:rsidP="006D7E80">
            <w:pPr>
              <w:pStyle w:val="TableText"/>
            </w:pPr>
            <w:r w:rsidRPr="00855D1E">
              <w:t>2</w:t>
            </w:r>
            <w:r>
              <w:rPr>
                <w:rStyle w:val="st"/>
              </w:rPr>
              <w:t>×</w:t>
            </w:r>
            <w:r>
              <w:t>2</w:t>
            </w:r>
          </w:p>
        </w:tc>
        <w:tc>
          <w:tcPr>
            <w:tcW w:w="1308" w:type="dxa"/>
            <w:tcBorders>
              <w:top w:val="nil"/>
              <w:left w:val="nil"/>
              <w:bottom w:val="single" w:sz="4" w:space="0" w:color="auto"/>
              <w:right w:val="single" w:sz="4" w:space="0" w:color="auto"/>
            </w:tcBorders>
            <w:shd w:val="clear" w:color="000000" w:fill="FFFFFF"/>
            <w:vAlign w:val="center"/>
            <w:hideMark/>
          </w:tcPr>
          <w:p w14:paraId="00F4A9C0" w14:textId="77777777" w:rsidR="006D7E80" w:rsidRPr="00855D1E" w:rsidRDefault="006D7E80" w:rsidP="006D7E80">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4520CFD7" w14:textId="77777777" w:rsidR="006D7E80" w:rsidRPr="00855D1E" w:rsidRDefault="006D7E80" w:rsidP="006D7E80">
            <w:pPr>
              <w:pStyle w:val="TableText"/>
            </w:pPr>
            <w:r w:rsidRPr="00855D1E">
              <w:t xml:space="preserve"> RFT </w:t>
            </w:r>
          </w:p>
        </w:tc>
        <w:tc>
          <w:tcPr>
            <w:tcW w:w="808" w:type="dxa"/>
            <w:tcBorders>
              <w:top w:val="nil"/>
              <w:left w:val="nil"/>
              <w:bottom w:val="single" w:sz="4" w:space="0" w:color="auto"/>
              <w:right w:val="single" w:sz="4" w:space="0" w:color="auto"/>
            </w:tcBorders>
            <w:shd w:val="clear" w:color="000000" w:fill="FFFFFF"/>
            <w:hideMark/>
          </w:tcPr>
          <w:p w14:paraId="16D24194" w14:textId="4A639C8C" w:rsidR="006D7E80" w:rsidRPr="00DA1E79" w:rsidRDefault="006D7E80" w:rsidP="006D7E80">
            <w:pPr>
              <w:pStyle w:val="TableText"/>
            </w:pPr>
            <w:r w:rsidRPr="00413EB8">
              <w:t>Closed</w:t>
            </w:r>
          </w:p>
        </w:tc>
        <w:tc>
          <w:tcPr>
            <w:tcW w:w="893" w:type="dxa"/>
            <w:tcBorders>
              <w:top w:val="nil"/>
              <w:left w:val="nil"/>
              <w:bottom w:val="single" w:sz="4" w:space="0" w:color="auto"/>
              <w:right w:val="single" w:sz="4" w:space="0" w:color="auto"/>
            </w:tcBorders>
            <w:shd w:val="clear" w:color="000000" w:fill="FFFFFF"/>
            <w:vAlign w:val="center"/>
            <w:hideMark/>
          </w:tcPr>
          <w:p w14:paraId="1B2A7ADF" w14:textId="77777777" w:rsidR="006D7E80" w:rsidRPr="00855D1E" w:rsidRDefault="006D7E80" w:rsidP="006D7E80">
            <w:pPr>
              <w:pStyle w:val="Tablenumbers"/>
            </w:pPr>
            <w:r w:rsidRPr="00855D1E">
              <w:t>10</w:t>
            </w:r>
          </w:p>
        </w:tc>
      </w:tr>
      <w:tr w:rsidR="00DA1E79" w:rsidRPr="00855D1E" w14:paraId="52D30440" w14:textId="77777777" w:rsidTr="00633FF6">
        <w:trPr>
          <w:trHeight w:val="606"/>
        </w:trPr>
        <w:tc>
          <w:tcPr>
            <w:tcW w:w="1188" w:type="dxa"/>
            <w:tcBorders>
              <w:top w:val="nil"/>
              <w:left w:val="single" w:sz="4" w:space="0" w:color="auto"/>
              <w:bottom w:val="single" w:sz="4" w:space="0" w:color="auto"/>
              <w:right w:val="single" w:sz="4" w:space="0" w:color="auto"/>
            </w:tcBorders>
            <w:shd w:val="clear" w:color="000000" w:fill="FFFFFF"/>
            <w:noWrap/>
            <w:hideMark/>
          </w:tcPr>
          <w:p w14:paraId="0D46D47A" w14:textId="77777777" w:rsidR="00DA1E79" w:rsidRPr="00855D1E" w:rsidRDefault="00DA1E79" w:rsidP="000B20B5">
            <w:pPr>
              <w:pStyle w:val="TableText"/>
            </w:pPr>
            <w:r w:rsidRPr="00855D1E">
              <w:lastRenderedPageBreak/>
              <w:t>DHHS</w:t>
            </w:r>
          </w:p>
        </w:tc>
        <w:tc>
          <w:tcPr>
            <w:tcW w:w="5474" w:type="dxa"/>
            <w:tcBorders>
              <w:top w:val="nil"/>
              <w:left w:val="nil"/>
              <w:bottom w:val="single" w:sz="4" w:space="0" w:color="auto"/>
              <w:right w:val="single" w:sz="4" w:space="0" w:color="auto"/>
            </w:tcBorders>
            <w:shd w:val="clear" w:color="000000" w:fill="FFFFFF"/>
            <w:vAlign w:val="center"/>
            <w:hideMark/>
          </w:tcPr>
          <w:p w14:paraId="715209AF" w14:textId="77777777" w:rsidR="00DA1E79" w:rsidRPr="00855D1E" w:rsidRDefault="00DA1E79" w:rsidP="000B20B5">
            <w:pPr>
              <w:pStyle w:val="TableText"/>
            </w:pPr>
            <w:r w:rsidRPr="00855D1E">
              <w:t>Panel of independent investigators for allegations of physical or sexual abuse of children by carers</w:t>
            </w:r>
          </w:p>
        </w:tc>
        <w:tc>
          <w:tcPr>
            <w:tcW w:w="1134" w:type="dxa"/>
            <w:tcBorders>
              <w:top w:val="nil"/>
              <w:left w:val="nil"/>
              <w:bottom w:val="single" w:sz="4" w:space="0" w:color="auto"/>
              <w:right w:val="single" w:sz="4" w:space="0" w:color="auto"/>
            </w:tcBorders>
            <w:shd w:val="clear" w:color="000000" w:fill="FFFFFF"/>
            <w:vAlign w:val="center"/>
            <w:hideMark/>
          </w:tcPr>
          <w:p w14:paraId="734A75B5" w14:textId="77777777" w:rsidR="00DA1E79" w:rsidRPr="00855D1E" w:rsidRDefault="00DA1E79" w:rsidP="000B20B5">
            <w:pPr>
              <w:pStyle w:val="Tablenumbers"/>
            </w:pPr>
            <w:r w:rsidRPr="00855D1E">
              <w:t>$3.5</w:t>
            </w:r>
          </w:p>
        </w:tc>
        <w:tc>
          <w:tcPr>
            <w:tcW w:w="1074" w:type="dxa"/>
            <w:tcBorders>
              <w:top w:val="nil"/>
              <w:left w:val="nil"/>
              <w:bottom w:val="single" w:sz="4" w:space="0" w:color="auto"/>
              <w:right w:val="single" w:sz="4" w:space="0" w:color="auto"/>
            </w:tcBorders>
            <w:shd w:val="clear" w:color="000000" w:fill="FFFFFF"/>
            <w:vAlign w:val="center"/>
            <w:hideMark/>
          </w:tcPr>
          <w:p w14:paraId="0A9299C4" w14:textId="77777777" w:rsidR="00DA1E79" w:rsidRPr="00855D1E" w:rsidRDefault="00DA1E79"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3521B52B" w14:textId="77777777" w:rsidR="00DA1E79" w:rsidRPr="00855D1E" w:rsidRDefault="00DA1E79"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692FF89A" w14:textId="77777777" w:rsidR="00DA1E79" w:rsidRPr="00855D1E" w:rsidRDefault="00DA1E79" w:rsidP="000B20B5">
            <w:pPr>
              <w:pStyle w:val="TableText"/>
            </w:pPr>
            <w:r w:rsidRPr="00855D1E">
              <w:t>Strategic</w:t>
            </w:r>
          </w:p>
        </w:tc>
        <w:tc>
          <w:tcPr>
            <w:tcW w:w="975" w:type="dxa"/>
            <w:tcBorders>
              <w:top w:val="nil"/>
              <w:left w:val="nil"/>
              <w:bottom w:val="single" w:sz="4" w:space="0" w:color="auto"/>
              <w:right w:val="single" w:sz="4" w:space="0" w:color="auto"/>
            </w:tcBorders>
            <w:shd w:val="clear" w:color="000000" w:fill="FFFFFF"/>
            <w:vAlign w:val="center"/>
            <w:hideMark/>
          </w:tcPr>
          <w:p w14:paraId="70611ECF" w14:textId="77777777" w:rsidR="00DA1E79" w:rsidRPr="00855D1E" w:rsidRDefault="00DA1E79" w:rsidP="000B20B5">
            <w:pPr>
              <w:pStyle w:val="TableText"/>
            </w:pPr>
            <w:r w:rsidRPr="00855D1E">
              <w:t xml:space="preserve"> RFT </w:t>
            </w:r>
          </w:p>
        </w:tc>
        <w:tc>
          <w:tcPr>
            <w:tcW w:w="808" w:type="dxa"/>
            <w:tcBorders>
              <w:top w:val="nil"/>
              <w:left w:val="nil"/>
              <w:bottom w:val="single" w:sz="4" w:space="0" w:color="auto"/>
              <w:right w:val="single" w:sz="4" w:space="0" w:color="auto"/>
            </w:tcBorders>
            <w:shd w:val="clear" w:color="000000" w:fill="FFFFFF"/>
            <w:vAlign w:val="center"/>
            <w:hideMark/>
          </w:tcPr>
          <w:p w14:paraId="58E7D67F" w14:textId="24E6C1F1" w:rsidR="00DA1E79" w:rsidRPr="00855D1E" w:rsidRDefault="00DA1E79"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511CA42C" w14:textId="77777777" w:rsidR="00DA1E79" w:rsidRPr="00855D1E" w:rsidRDefault="00DA1E79" w:rsidP="000B20B5">
            <w:pPr>
              <w:pStyle w:val="Tablenumbers"/>
            </w:pPr>
            <w:r w:rsidRPr="00855D1E">
              <w:t>4</w:t>
            </w:r>
          </w:p>
        </w:tc>
      </w:tr>
      <w:tr w:rsidR="00DA1E79" w:rsidRPr="00855D1E" w14:paraId="36C9AA40" w14:textId="77777777" w:rsidTr="00633FF6">
        <w:trPr>
          <w:trHeight w:val="239"/>
        </w:trPr>
        <w:tc>
          <w:tcPr>
            <w:tcW w:w="1188" w:type="dxa"/>
            <w:tcBorders>
              <w:top w:val="nil"/>
              <w:left w:val="single" w:sz="4" w:space="0" w:color="auto"/>
              <w:bottom w:val="single" w:sz="4" w:space="0" w:color="auto"/>
              <w:right w:val="single" w:sz="4" w:space="0" w:color="auto"/>
            </w:tcBorders>
            <w:shd w:val="clear" w:color="000000" w:fill="FFFFFF"/>
            <w:noWrap/>
            <w:hideMark/>
          </w:tcPr>
          <w:p w14:paraId="0456E40B" w14:textId="77777777" w:rsidR="00DA1E79" w:rsidRPr="00855D1E" w:rsidRDefault="00DA1E79" w:rsidP="000B20B5">
            <w:pPr>
              <w:pStyle w:val="TableText"/>
            </w:pPr>
            <w:r w:rsidRPr="00855D1E">
              <w:t>DJCS</w:t>
            </w:r>
          </w:p>
        </w:tc>
        <w:tc>
          <w:tcPr>
            <w:tcW w:w="5474" w:type="dxa"/>
            <w:tcBorders>
              <w:top w:val="nil"/>
              <w:left w:val="nil"/>
              <w:bottom w:val="single" w:sz="4" w:space="0" w:color="auto"/>
              <w:right w:val="single" w:sz="4" w:space="0" w:color="auto"/>
            </w:tcBorders>
            <w:shd w:val="clear" w:color="000000" w:fill="FFFFFF"/>
            <w:vAlign w:val="center"/>
            <w:hideMark/>
          </w:tcPr>
          <w:p w14:paraId="147736D7" w14:textId="77777777" w:rsidR="00DA1E79" w:rsidRPr="00855D1E" w:rsidRDefault="00DA1E79" w:rsidP="000B20B5">
            <w:pPr>
              <w:pStyle w:val="TableText"/>
            </w:pPr>
            <w:r w:rsidRPr="00855D1E">
              <w:t>Training and assessment services in TAE16</w:t>
            </w:r>
          </w:p>
        </w:tc>
        <w:tc>
          <w:tcPr>
            <w:tcW w:w="1134" w:type="dxa"/>
            <w:tcBorders>
              <w:top w:val="nil"/>
              <w:left w:val="nil"/>
              <w:bottom w:val="single" w:sz="4" w:space="0" w:color="auto"/>
              <w:right w:val="single" w:sz="4" w:space="0" w:color="auto"/>
            </w:tcBorders>
            <w:shd w:val="clear" w:color="000000" w:fill="FFFFFF"/>
            <w:vAlign w:val="center"/>
            <w:hideMark/>
          </w:tcPr>
          <w:p w14:paraId="3C7F9C77" w14:textId="77777777" w:rsidR="00DA1E79" w:rsidRPr="00855D1E" w:rsidRDefault="00DA1E79" w:rsidP="000B20B5">
            <w:pPr>
              <w:pStyle w:val="Tablenumbers"/>
            </w:pPr>
            <w:r w:rsidRPr="00855D1E">
              <w:t>$0.2</w:t>
            </w:r>
          </w:p>
        </w:tc>
        <w:tc>
          <w:tcPr>
            <w:tcW w:w="1074" w:type="dxa"/>
            <w:tcBorders>
              <w:top w:val="nil"/>
              <w:left w:val="nil"/>
              <w:bottom w:val="single" w:sz="4" w:space="0" w:color="auto"/>
              <w:right w:val="single" w:sz="4" w:space="0" w:color="auto"/>
            </w:tcBorders>
            <w:shd w:val="clear" w:color="000000" w:fill="FFFFFF"/>
            <w:vAlign w:val="center"/>
            <w:hideMark/>
          </w:tcPr>
          <w:p w14:paraId="06A24A37" w14:textId="77777777" w:rsidR="00DA1E79" w:rsidRPr="00855D1E" w:rsidRDefault="00DA1E79" w:rsidP="000B20B5">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1B05D050" w14:textId="77777777" w:rsidR="00DA1E79" w:rsidRPr="00855D1E" w:rsidRDefault="00DA1E79"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4915469B" w14:textId="77777777" w:rsidR="00DA1E79" w:rsidRPr="00855D1E" w:rsidRDefault="00DA1E79" w:rsidP="000B20B5">
            <w:pPr>
              <w:pStyle w:val="TableText"/>
            </w:pPr>
            <w:r w:rsidRPr="00855D1E">
              <w:t>Leveraged</w:t>
            </w:r>
          </w:p>
        </w:tc>
        <w:tc>
          <w:tcPr>
            <w:tcW w:w="975" w:type="dxa"/>
            <w:tcBorders>
              <w:top w:val="nil"/>
              <w:left w:val="nil"/>
              <w:bottom w:val="single" w:sz="4" w:space="0" w:color="auto"/>
              <w:right w:val="single" w:sz="4" w:space="0" w:color="auto"/>
            </w:tcBorders>
            <w:shd w:val="clear" w:color="000000" w:fill="FFFFFF"/>
            <w:vAlign w:val="center"/>
            <w:hideMark/>
          </w:tcPr>
          <w:p w14:paraId="50429554" w14:textId="77777777" w:rsidR="00DA1E79" w:rsidRPr="00855D1E" w:rsidRDefault="00DA1E79" w:rsidP="000B20B5">
            <w:pPr>
              <w:pStyle w:val="TableText"/>
            </w:pPr>
            <w:r w:rsidRPr="00855D1E">
              <w:t xml:space="preserve"> RFQ </w:t>
            </w:r>
          </w:p>
        </w:tc>
        <w:tc>
          <w:tcPr>
            <w:tcW w:w="808" w:type="dxa"/>
            <w:tcBorders>
              <w:top w:val="nil"/>
              <w:left w:val="nil"/>
              <w:bottom w:val="single" w:sz="4" w:space="0" w:color="auto"/>
              <w:right w:val="single" w:sz="4" w:space="0" w:color="auto"/>
            </w:tcBorders>
            <w:shd w:val="clear" w:color="000000" w:fill="FFFFFF"/>
            <w:vAlign w:val="center"/>
            <w:hideMark/>
          </w:tcPr>
          <w:p w14:paraId="25679C5F" w14:textId="106BC95B" w:rsidR="00DA1E79" w:rsidRPr="00855D1E" w:rsidRDefault="00DA1E79"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12E6AEB9" w14:textId="77777777" w:rsidR="00DA1E79" w:rsidRPr="00855D1E" w:rsidRDefault="00DA1E79" w:rsidP="000B20B5">
            <w:pPr>
              <w:pStyle w:val="Tablenumbers"/>
            </w:pPr>
            <w:r w:rsidRPr="00855D1E">
              <w:t>2</w:t>
            </w:r>
          </w:p>
        </w:tc>
      </w:tr>
      <w:tr w:rsidR="00EF126C" w:rsidRPr="00855D1E" w14:paraId="790C9927" w14:textId="77777777" w:rsidTr="00633FF6">
        <w:trPr>
          <w:trHeight w:val="274"/>
        </w:trPr>
        <w:tc>
          <w:tcPr>
            <w:tcW w:w="1188" w:type="dxa"/>
            <w:vMerge w:val="restart"/>
            <w:tcBorders>
              <w:top w:val="nil"/>
              <w:left w:val="single" w:sz="4" w:space="0" w:color="auto"/>
              <w:right w:val="single" w:sz="4" w:space="0" w:color="auto"/>
            </w:tcBorders>
            <w:shd w:val="clear" w:color="000000" w:fill="FFFFFF"/>
            <w:noWrap/>
            <w:hideMark/>
          </w:tcPr>
          <w:p w14:paraId="7195382E" w14:textId="1C89E10C" w:rsidR="00EF126C" w:rsidRPr="00855D1E" w:rsidRDefault="00EF126C" w:rsidP="000B20B5">
            <w:pPr>
              <w:pStyle w:val="TableText"/>
            </w:pPr>
            <w:r>
              <w:t xml:space="preserve">Victoria Police </w:t>
            </w:r>
          </w:p>
        </w:tc>
        <w:tc>
          <w:tcPr>
            <w:tcW w:w="5474" w:type="dxa"/>
            <w:tcBorders>
              <w:top w:val="nil"/>
              <w:left w:val="nil"/>
              <w:bottom w:val="single" w:sz="4" w:space="0" w:color="auto"/>
              <w:right w:val="single" w:sz="4" w:space="0" w:color="auto"/>
            </w:tcBorders>
            <w:shd w:val="clear" w:color="000000" w:fill="FFFFFF"/>
            <w:vAlign w:val="center"/>
            <w:hideMark/>
          </w:tcPr>
          <w:p w14:paraId="0499423D" w14:textId="77777777" w:rsidR="00EF126C" w:rsidRPr="00855D1E" w:rsidRDefault="00EF126C" w:rsidP="000B20B5">
            <w:pPr>
              <w:pStyle w:val="TableText"/>
            </w:pPr>
            <w:r w:rsidRPr="00855D1E">
              <w:t>Executive mentoring and coaching</w:t>
            </w:r>
          </w:p>
        </w:tc>
        <w:tc>
          <w:tcPr>
            <w:tcW w:w="1134" w:type="dxa"/>
            <w:tcBorders>
              <w:top w:val="nil"/>
              <w:left w:val="nil"/>
              <w:bottom w:val="single" w:sz="4" w:space="0" w:color="auto"/>
              <w:right w:val="single" w:sz="4" w:space="0" w:color="auto"/>
            </w:tcBorders>
            <w:shd w:val="clear" w:color="000000" w:fill="FFFFFF"/>
            <w:vAlign w:val="center"/>
            <w:hideMark/>
          </w:tcPr>
          <w:p w14:paraId="068EC5A7" w14:textId="77777777" w:rsidR="00EF126C" w:rsidRPr="00855D1E" w:rsidRDefault="00EF126C" w:rsidP="000B20B5">
            <w:pPr>
              <w:pStyle w:val="Tablenumbers"/>
            </w:pPr>
            <w:r w:rsidRPr="00855D1E">
              <w:t>$0.2</w:t>
            </w:r>
          </w:p>
        </w:tc>
        <w:tc>
          <w:tcPr>
            <w:tcW w:w="1074" w:type="dxa"/>
            <w:tcBorders>
              <w:top w:val="nil"/>
              <w:left w:val="nil"/>
              <w:bottom w:val="single" w:sz="4" w:space="0" w:color="auto"/>
              <w:right w:val="single" w:sz="4" w:space="0" w:color="auto"/>
            </w:tcBorders>
            <w:shd w:val="clear" w:color="000000" w:fill="FFFFFF"/>
            <w:vAlign w:val="center"/>
            <w:hideMark/>
          </w:tcPr>
          <w:p w14:paraId="2E414095" w14:textId="77777777" w:rsidR="00EF126C" w:rsidRPr="00855D1E" w:rsidRDefault="00EF126C" w:rsidP="000B20B5">
            <w:pPr>
              <w:pStyle w:val="Tablenumbers"/>
            </w:pPr>
            <w:r w:rsidRPr="00855D1E">
              <w:t>0.5</w:t>
            </w:r>
          </w:p>
        </w:tc>
        <w:tc>
          <w:tcPr>
            <w:tcW w:w="1074" w:type="dxa"/>
            <w:tcBorders>
              <w:top w:val="nil"/>
              <w:left w:val="nil"/>
              <w:bottom w:val="single" w:sz="4" w:space="0" w:color="auto"/>
              <w:right w:val="single" w:sz="4" w:space="0" w:color="auto"/>
            </w:tcBorders>
            <w:shd w:val="clear" w:color="000000" w:fill="FFFFFF"/>
            <w:vAlign w:val="center"/>
            <w:hideMark/>
          </w:tcPr>
          <w:p w14:paraId="18574E5A"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1</w:t>
            </w:r>
          </w:p>
        </w:tc>
        <w:tc>
          <w:tcPr>
            <w:tcW w:w="1308" w:type="dxa"/>
            <w:tcBorders>
              <w:top w:val="nil"/>
              <w:left w:val="nil"/>
              <w:bottom w:val="single" w:sz="4" w:space="0" w:color="auto"/>
              <w:right w:val="single" w:sz="4" w:space="0" w:color="auto"/>
            </w:tcBorders>
            <w:shd w:val="clear" w:color="000000" w:fill="FFFFFF"/>
            <w:vAlign w:val="center"/>
            <w:hideMark/>
          </w:tcPr>
          <w:p w14:paraId="68658B57"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1A9F6EBC"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7167EBE0"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3AD0D873" w14:textId="77777777" w:rsidR="00EF126C" w:rsidRPr="00855D1E" w:rsidRDefault="00EF126C" w:rsidP="000B20B5">
            <w:pPr>
              <w:pStyle w:val="Tablenumbers"/>
            </w:pPr>
            <w:r w:rsidRPr="00855D1E">
              <w:t>1</w:t>
            </w:r>
          </w:p>
        </w:tc>
      </w:tr>
      <w:tr w:rsidR="00EF126C" w:rsidRPr="00855D1E" w14:paraId="3D11BBBA" w14:textId="77777777" w:rsidTr="00633FF6">
        <w:trPr>
          <w:trHeight w:val="323"/>
        </w:trPr>
        <w:tc>
          <w:tcPr>
            <w:tcW w:w="1188" w:type="dxa"/>
            <w:vMerge/>
            <w:tcBorders>
              <w:left w:val="single" w:sz="4" w:space="0" w:color="auto"/>
              <w:right w:val="single" w:sz="4" w:space="0" w:color="auto"/>
            </w:tcBorders>
            <w:shd w:val="clear" w:color="000000" w:fill="FFFFFF"/>
            <w:noWrap/>
            <w:vAlign w:val="bottom"/>
            <w:hideMark/>
          </w:tcPr>
          <w:p w14:paraId="735C6427" w14:textId="1509CBE3"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3A7B1717" w14:textId="77777777" w:rsidR="00EF126C" w:rsidRPr="00855D1E" w:rsidRDefault="00EF126C" w:rsidP="000B20B5">
            <w:pPr>
              <w:pStyle w:val="TableText"/>
            </w:pPr>
            <w:r w:rsidRPr="00855D1E">
              <w:t>Facilitation of people leadership program</w:t>
            </w:r>
          </w:p>
        </w:tc>
        <w:tc>
          <w:tcPr>
            <w:tcW w:w="1134" w:type="dxa"/>
            <w:tcBorders>
              <w:top w:val="nil"/>
              <w:left w:val="nil"/>
              <w:bottom w:val="single" w:sz="4" w:space="0" w:color="auto"/>
              <w:right w:val="single" w:sz="4" w:space="0" w:color="auto"/>
            </w:tcBorders>
            <w:shd w:val="clear" w:color="000000" w:fill="FFFFFF"/>
            <w:vAlign w:val="center"/>
            <w:hideMark/>
          </w:tcPr>
          <w:p w14:paraId="1F31AEFD" w14:textId="77777777" w:rsidR="00EF126C" w:rsidRPr="00855D1E" w:rsidRDefault="00EF126C" w:rsidP="000B20B5">
            <w:pPr>
              <w:pStyle w:val="Tablenumbers"/>
            </w:pPr>
            <w:r w:rsidRPr="00855D1E">
              <w:t>$0.2</w:t>
            </w:r>
          </w:p>
        </w:tc>
        <w:tc>
          <w:tcPr>
            <w:tcW w:w="1074" w:type="dxa"/>
            <w:tcBorders>
              <w:top w:val="nil"/>
              <w:left w:val="nil"/>
              <w:bottom w:val="single" w:sz="4" w:space="0" w:color="auto"/>
              <w:right w:val="single" w:sz="4" w:space="0" w:color="auto"/>
            </w:tcBorders>
            <w:shd w:val="clear" w:color="000000" w:fill="FFFFFF"/>
            <w:vAlign w:val="center"/>
            <w:hideMark/>
          </w:tcPr>
          <w:p w14:paraId="5012ED63" w14:textId="77777777" w:rsidR="00EF126C" w:rsidRPr="00855D1E" w:rsidRDefault="00EF126C" w:rsidP="000B20B5">
            <w:pPr>
              <w:pStyle w:val="Tablenumbers"/>
            </w:pPr>
            <w:r w:rsidRPr="00855D1E">
              <w:t>0.6</w:t>
            </w:r>
          </w:p>
        </w:tc>
        <w:tc>
          <w:tcPr>
            <w:tcW w:w="1074" w:type="dxa"/>
            <w:tcBorders>
              <w:top w:val="nil"/>
              <w:left w:val="nil"/>
              <w:bottom w:val="single" w:sz="4" w:space="0" w:color="auto"/>
              <w:right w:val="single" w:sz="4" w:space="0" w:color="auto"/>
            </w:tcBorders>
            <w:shd w:val="clear" w:color="000000" w:fill="FFFFFF"/>
            <w:vAlign w:val="center"/>
            <w:hideMark/>
          </w:tcPr>
          <w:p w14:paraId="0129C1C4"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0.6</w:t>
            </w:r>
          </w:p>
        </w:tc>
        <w:tc>
          <w:tcPr>
            <w:tcW w:w="1308" w:type="dxa"/>
            <w:tcBorders>
              <w:top w:val="nil"/>
              <w:left w:val="nil"/>
              <w:bottom w:val="single" w:sz="4" w:space="0" w:color="auto"/>
              <w:right w:val="single" w:sz="4" w:space="0" w:color="auto"/>
            </w:tcBorders>
            <w:shd w:val="clear" w:color="000000" w:fill="FFFFFF"/>
            <w:vAlign w:val="center"/>
            <w:hideMark/>
          </w:tcPr>
          <w:p w14:paraId="39FB24AA"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72BA6AE4"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74A3B006"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46A4D87B" w14:textId="77777777" w:rsidR="00EF126C" w:rsidRPr="00855D1E" w:rsidRDefault="00EF126C" w:rsidP="000B20B5">
            <w:pPr>
              <w:pStyle w:val="Tablenumbers"/>
            </w:pPr>
            <w:r w:rsidRPr="00855D1E">
              <w:t>1</w:t>
            </w:r>
          </w:p>
        </w:tc>
      </w:tr>
      <w:tr w:rsidR="00EF126C" w:rsidRPr="00855D1E" w14:paraId="5A73E054" w14:textId="77777777" w:rsidTr="00633FF6">
        <w:trPr>
          <w:trHeight w:val="373"/>
        </w:trPr>
        <w:tc>
          <w:tcPr>
            <w:tcW w:w="1188" w:type="dxa"/>
            <w:vMerge/>
            <w:tcBorders>
              <w:left w:val="single" w:sz="4" w:space="0" w:color="auto"/>
              <w:right w:val="single" w:sz="4" w:space="0" w:color="auto"/>
            </w:tcBorders>
            <w:shd w:val="clear" w:color="000000" w:fill="FFFFFF"/>
            <w:noWrap/>
            <w:vAlign w:val="bottom"/>
            <w:hideMark/>
          </w:tcPr>
          <w:p w14:paraId="6C5BAEA0" w14:textId="600CD52E"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14472B16" w14:textId="075FAB6A" w:rsidR="00EF126C" w:rsidRPr="00855D1E" w:rsidRDefault="00EF126C" w:rsidP="000B20B5">
            <w:pPr>
              <w:pStyle w:val="TableText"/>
            </w:pPr>
            <w:r w:rsidRPr="00855D1E">
              <w:t xml:space="preserve">Cold weather clothing </w:t>
            </w:r>
            <w:r w:rsidR="00DB5F73">
              <w:t>–</w:t>
            </w:r>
            <w:r w:rsidRPr="00855D1E">
              <w:t xml:space="preserve"> thermal beanies</w:t>
            </w:r>
          </w:p>
        </w:tc>
        <w:tc>
          <w:tcPr>
            <w:tcW w:w="1134" w:type="dxa"/>
            <w:tcBorders>
              <w:top w:val="nil"/>
              <w:left w:val="nil"/>
              <w:bottom w:val="single" w:sz="4" w:space="0" w:color="auto"/>
              <w:right w:val="single" w:sz="4" w:space="0" w:color="auto"/>
            </w:tcBorders>
            <w:shd w:val="clear" w:color="000000" w:fill="FFFFFF"/>
            <w:vAlign w:val="center"/>
            <w:hideMark/>
          </w:tcPr>
          <w:p w14:paraId="094CA152" w14:textId="77777777" w:rsidR="00EF126C" w:rsidRPr="00855D1E" w:rsidRDefault="00EF126C" w:rsidP="000B20B5">
            <w:pPr>
              <w:pStyle w:val="Tablenumbers"/>
            </w:pPr>
            <w:r w:rsidRPr="00855D1E">
              <w:t>$0.3</w:t>
            </w:r>
          </w:p>
        </w:tc>
        <w:tc>
          <w:tcPr>
            <w:tcW w:w="1074" w:type="dxa"/>
            <w:tcBorders>
              <w:top w:val="nil"/>
              <w:left w:val="nil"/>
              <w:bottom w:val="single" w:sz="4" w:space="0" w:color="auto"/>
              <w:right w:val="single" w:sz="4" w:space="0" w:color="auto"/>
            </w:tcBorders>
            <w:shd w:val="clear" w:color="000000" w:fill="FFFFFF"/>
            <w:vAlign w:val="center"/>
            <w:hideMark/>
          </w:tcPr>
          <w:p w14:paraId="5BD56E5A" w14:textId="77777777" w:rsidR="00EF126C" w:rsidRPr="00855D1E" w:rsidRDefault="00EF126C" w:rsidP="000B20B5">
            <w:pPr>
              <w:pStyle w:val="Tablenumbers"/>
            </w:pPr>
            <w:r w:rsidRPr="00855D1E">
              <w:t>1</w:t>
            </w:r>
          </w:p>
        </w:tc>
        <w:tc>
          <w:tcPr>
            <w:tcW w:w="1074" w:type="dxa"/>
            <w:tcBorders>
              <w:top w:val="nil"/>
              <w:left w:val="nil"/>
              <w:bottom w:val="single" w:sz="4" w:space="0" w:color="auto"/>
              <w:right w:val="single" w:sz="4" w:space="0" w:color="auto"/>
            </w:tcBorders>
            <w:shd w:val="clear" w:color="000000" w:fill="FFFFFF"/>
            <w:vAlign w:val="center"/>
            <w:hideMark/>
          </w:tcPr>
          <w:p w14:paraId="25F748F1"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1</w:t>
            </w:r>
          </w:p>
        </w:tc>
        <w:tc>
          <w:tcPr>
            <w:tcW w:w="1308" w:type="dxa"/>
            <w:tcBorders>
              <w:top w:val="nil"/>
              <w:left w:val="nil"/>
              <w:bottom w:val="single" w:sz="4" w:space="0" w:color="auto"/>
              <w:right w:val="single" w:sz="4" w:space="0" w:color="auto"/>
            </w:tcBorders>
            <w:shd w:val="clear" w:color="000000" w:fill="FFFFFF"/>
            <w:vAlign w:val="center"/>
            <w:hideMark/>
          </w:tcPr>
          <w:p w14:paraId="1AB5FBA7"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5283EEB0"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2A68B88B"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0E7C87D6" w14:textId="77777777" w:rsidR="00EF126C" w:rsidRPr="00855D1E" w:rsidRDefault="00EF126C" w:rsidP="000B20B5">
            <w:pPr>
              <w:pStyle w:val="Tablenumbers"/>
            </w:pPr>
            <w:r w:rsidRPr="00855D1E">
              <w:t>1</w:t>
            </w:r>
          </w:p>
        </w:tc>
      </w:tr>
      <w:tr w:rsidR="00EF126C" w:rsidRPr="00855D1E" w14:paraId="7A289A1F" w14:textId="77777777" w:rsidTr="00633FF6">
        <w:trPr>
          <w:trHeight w:val="510"/>
        </w:trPr>
        <w:tc>
          <w:tcPr>
            <w:tcW w:w="1188" w:type="dxa"/>
            <w:vMerge/>
            <w:tcBorders>
              <w:left w:val="single" w:sz="4" w:space="0" w:color="auto"/>
              <w:right w:val="single" w:sz="4" w:space="0" w:color="auto"/>
            </w:tcBorders>
            <w:shd w:val="clear" w:color="000000" w:fill="FFFFFF"/>
            <w:noWrap/>
            <w:vAlign w:val="bottom"/>
            <w:hideMark/>
          </w:tcPr>
          <w:p w14:paraId="2A71CA36" w14:textId="43699E6C"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A674F55" w14:textId="0D6DB6DB" w:rsidR="00EF126C" w:rsidRPr="00855D1E" w:rsidRDefault="00EF126C" w:rsidP="000B20B5">
            <w:pPr>
              <w:pStyle w:val="TableText"/>
            </w:pPr>
            <w:r w:rsidRPr="00855D1E">
              <w:t xml:space="preserve">Non-alcoholic drinks at the </w:t>
            </w:r>
            <w:r w:rsidR="00D940B1" w:rsidRPr="00855D1E">
              <w:t>Academy and Airlie Leadership Centre for retail sale and for</w:t>
            </w:r>
            <w:r w:rsidR="00D940B1">
              <w:t xml:space="preserve"> corporate events</w:t>
            </w:r>
          </w:p>
        </w:tc>
        <w:tc>
          <w:tcPr>
            <w:tcW w:w="1134" w:type="dxa"/>
            <w:tcBorders>
              <w:top w:val="nil"/>
              <w:left w:val="nil"/>
              <w:bottom w:val="single" w:sz="4" w:space="0" w:color="auto"/>
              <w:right w:val="single" w:sz="4" w:space="0" w:color="auto"/>
            </w:tcBorders>
            <w:shd w:val="clear" w:color="000000" w:fill="FFFFFF"/>
            <w:vAlign w:val="center"/>
            <w:hideMark/>
          </w:tcPr>
          <w:p w14:paraId="185B684B" w14:textId="77777777" w:rsidR="00EF126C" w:rsidRPr="00855D1E" w:rsidRDefault="00EF126C" w:rsidP="000B20B5">
            <w:pPr>
              <w:pStyle w:val="Tablenumbers"/>
            </w:pPr>
            <w:r w:rsidRPr="00855D1E">
              <w:t>$0.4</w:t>
            </w:r>
          </w:p>
        </w:tc>
        <w:tc>
          <w:tcPr>
            <w:tcW w:w="1074" w:type="dxa"/>
            <w:tcBorders>
              <w:top w:val="nil"/>
              <w:left w:val="nil"/>
              <w:bottom w:val="single" w:sz="4" w:space="0" w:color="auto"/>
              <w:right w:val="single" w:sz="4" w:space="0" w:color="auto"/>
            </w:tcBorders>
            <w:shd w:val="clear" w:color="000000" w:fill="FFFFFF"/>
            <w:vAlign w:val="center"/>
            <w:hideMark/>
          </w:tcPr>
          <w:p w14:paraId="05BCB4C1"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336F09BC"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45D53EEC"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20DBC478"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2A0CF62E"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4E4CFA3B" w14:textId="77777777" w:rsidR="00EF126C" w:rsidRPr="00855D1E" w:rsidRDefault="00EF126C" w:rsidP="000B20B5">
            <w:pPr>
              <w:pStyle w:val="Tablenumbers"/>
            </w:pPr>
            <w:r w:rsidRPr="00855D1E">
              <w:t>2</w:t>
            </w:r>
          </w:p>
        </w:tc>
      </w:tr>
      <w:tr w:rsidR="00EF126C" w:rsidRPr="00855D1E" w14:paraId="5471950B" w14:textId="77777777" w:rsidTr="00633FF6">
        <w:trPr>
          <w:trHeight w:val="503"/>
        </w:trPr>
        <w:tc>
          <w:tcPr>
            <w:tcW w:w="1188" w:type="dxa"/>
            <w:vMerge/>
            <w:tcBorders>
              <w:left w:val="single" w:sz="4" w:space="0" w:color="auto"/>
              <w:right w:val="single" w:sz="4" w:space="0" w:color="auto"/>
            </w:tcBorders>
            <w:shd w:val="clear" w:color="000000" w:fill="FFFFFF"/>
            <w:noWrap/>
            <w:vAlign w:val="bottom"/>
            <w:hideMark/>
          </w:tcPr>
          <w:p w14:paraId="02AD9EA9" w14:textId="66210EFC"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59AC7590" w14:textId="77777777" w:rsidR="00EF126C" w:rsidRPr="00855D1E" w:rsidRDefault="00EF126C" w:rsidP="000B20B5">
            <w:pPr>
              <w:pStyle w:val="TableText"/>
            </w:pPr>
            <w:r w:rsidRPr="00855D1E">
              <w:t>Supply of coffee, hot drinks and coffee-making equipment at the Academy and Airlie</w:t>
            </w:r>
          </w:p>
        </w:tc>
        <w:tc>
          <w:tcPr>
            <w:tcW w:w="1134" w:type="dxa"/>
            <w:tcBorders>
              <w:top w:val="nil"/>
              <w:left w:val="nil"/>
              <w:bottom w:val="single" w:sz="4" w:space="0" w:color="auto"/>
              <w:right w:val="single" w:sz="4" w:space="0" w:color="auto"/>
            </w:tcBorders>
            <w:shd w:val="clear" w:color="000000" w:fill="FFFFFF"/>
            <w:vAlign w:val="center"/>
            <w:hideMark/>
          </w:tcPr>
          <w:p w14:paraId="4826E9AF" w14:textId="77777777" w:rsidR="00EF126C" w:rsidRPr="00855D1E" w:rsidRDefault="00EF126C" w:rsidP="000B20B5">
            <w:pPr>
              <w:pStyle w:val="Tablenumbers"/>
            </w:pPr>
            <w:r w:rsidRPr="00855D1E">
              <w:t>$0.5</w:t>
            </w:r>
          </w:p>
        </w:tc>
        <w:tc>
          <w:tcPr>
            <w:tcW w:w="1074" w:type="dxa"/>
            <w:tcBorders>
              <w:top w:val="nil"/>
              <w:left w:val="nil"/>
              <w:bottom w:val="single" w:sz="4" w:space="0" w:color="auto"/>
              <w:right w:val="single" w:sz="4" w:space="0" w:color="auto"/>
            </w:tcBorders>
            <w:shd w:val="clear" w:color="000000" w:fill="FFFFFF"/>
            <w:hideMark/>
          </w:tcPr>
          <w:p w14:paraId="17DFBD49" w14:textId="77777777" w:rsidR="00EF126C" w:rsidRPr="00855D1E" w:rsidRDefault="00EF126C" w:rsidP="000B20B5">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7D6D63C5"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2</w:t>
            </w:r>
          </w:p>
        </w:tc>
        <w:tc>
          <w:tcPr>
            <w:tcW w:w="1308" w:type="dxa"/>
            <w:tcBorders>
              <w:top w:val="nil"/>
              <w:left w:val="nil"/>
              <w:bottom w:val="single" w:sz="4" w:space="0" w:color="auto"/>
              <w:right w:val="single" w:sz="4" w:space="0" w:color="auto"/>
            </w:tcBorders>
            <w:shd w:val="clear" w:color="000000" w:fill="FFFFFF"/>
            <w:vAlign w:val="center"/>
            <w:hideMark/>
          </w:tcPr>
          <w:p w14:paraId="68997CFE"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635D0300"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0248F1F8"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437757D6" w14:textId="77777777" w:rsidR="00EF126C" w:rsidRPr="00855D1E" w:rsidRDefault="00EF126C" w:rsidP="000B20B5">
            <w:pPr>
              <w:pStyle w:val="Tablenumbers"/>
            </w:pPr>
            <w:r w:rsidRPr="00855D1E">
              <w:t>1</w:t>
            </w:r>
          </w:p>
        </w:tc>
      </w:tr>
      <w:tr w:rsidR="00EF126C" w:rsidRPr="00855D1E" w14:paraId="3BB73D16" w14:textId="77777777" w:rsidTr="00633FF6">
        <w:trPr>
          <w:trHeight w:val="359"/>
        </w:trPr>
        <w:tc>
          <w:tcPr>
            <w:tcW w:w="1188" w:type="dxa"/>
            <w:vMerge/>
            <w:tcBorders>
              <w:left w:val="single" w:sz="4" w:space="0" w:color="auto"/>
              <w:right w:val="single" w:sz="4" w:space="0" w:color="auto"/>
            </w:tcBorders>
            <w:shd w:val="clear" w:color="000000" w:fill="FFFFFF"/>
            <w:noWrap/>
            <w:vAlign w:val="bottom"/>
            <w:hideMark/>
          </w:tcPr>
          <w:p w14:paraId="246FB1D9" w14:textId="5C33B067"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C06860E" w14:textId="3561FE73" w:rsidR="00EF126C" w:rsidRPr="00855D1E" w:rsidRDefault="00EF126C" w:rsidP="000B20B5">
            <w:pPr>
              <w:pStyle w:val="TableText"/>
            </w:pPr>
            <w:r w:rsidRPr="00855D1E">
              <w:t xml:space="preserve">Leadership capability uplift </w:t>
            </w:r>
            <w:r w:rsidR="00DB5F73">
              <w:t>–</w:t>
            </w:r>
            <w:r w:rsidRPr="00855D1E">
              <w:t xml:space="preserve"> workplace integrated learning panel</w:t>
            </w:r>
          </w:p>
        </w:tc>
        <w:tc>
          <w:tcPr>
            <w:tcW w:w="1134" w:type="dxa"/>
            <w:tcBorders>
              <w:top w:val="nil"/>
              <w:left w:val="nil"/>
              <w:bottom w:val="single" w:sz="4" w:space="0" w:color="auto"/>
              <w:right w:val="single" w:sz="4" w:space="0" w:color="auto"/>
            </w:tcBorders>
            <w:shd w:val="clear" w:color="000000" w:fill="FFFFFF"/>
            <w:vAlign w:val="center"/>
            <w:hideMark/>
          </w:tcPr>
          <w:p w14:paraId="5151B814" w14:textId="77777777" w:rsidR="00EF126C" w:rsidRPr="00855D1E" w:rsidRDefault="00EF126C" w:rsidP="000B20B5">
            <w:pPr>
              <w:pStyle w:val="Tablenumbers"/>
            </w:pPr>
            <w:r w:rsidRPr="00855D1E">
              <w:t>$0.6</w:t>
            </w:r>
          </w:p>
        </w:tc>
        <w:tc>
          <w:tcPr>
            <w:tcW w:w="1074" w:type="dxa"/>
            <w:tcBorders>
              <w:top w:val="nil"/>
              <w:left w:val="nil"/>
              <w:bottom w:val="single" w:sz="4" w:space="0" w:color="auto"/>
              <w:right w:val="single" w:sz="4" w:space="0" w:color="auto"/>
            </w:tcBorders>
            <w:shd w:val="clear" w:color="000000" w:fill="FFFFFF"/>
            <w:vAlign w:val="center"/>
            <w:hideMark/>
          </w:tcPr>
          <w:p w14:paraId="470FADCF" w14:textId="77777777" w:rsidR="00EF126C" w:rsidRPr="00855D1E" w:rsidRDefault="00EF126C" w:rsidP="000B20B5">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3F8BB02C"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1</w:t>
            </w:r>
          </w:p>
        </w:tc>
        <w:tc>
          <w:tcPr>
            <w:tcW w:w="1308" w:type="dxa"/>
            <w:tcBorders>
              <w:top w:val="nil"/>
              <w:left w:val="nil"/>
              <w:bottom w:val="single" w:sz="4" w:space="0" w:color="auto"/>
              <w:right w:val="single" w:sz="4" w:space="0" w:color="auto"/>
            </w:tcBorders>
            <w:shd w:val="clear" w:color="000000" w:fill="FFFFFF"/>
            <w:vAlign w:val="center"/>
            <w:hideMark/>
          </w:tcPr>
          <w:p w14:paraId="6CF256E2"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27FC0035"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09A0BE82"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76B93F1D" w14:textId="77777777" w:rsidR="00EF126C" w:rsidRPr="00855D1E" w:rsidRDefault="00EF126C" w:rsidP="000B20B5">
            <w:pPr>
              <w:pStyle w:val="Tablenumbers"/>
            </w:pPr>
            <w:r w:rsidRPr="00855D1E">
              <w:t>9</w:t>
            </w:r>
          </w:p>
        </w:tc>
      </w:tr>
      <w:tr w:rsidR="00EF126C" w:rsidRPr="00855D1E" w14:paraId="2F75AAD6" w14:textId="77777777" w:rsidTr="00633FF6">
        <w:trPr>
          <w:trHeight w:val="405"/>
        </w:trPr>
        <w:tc>
          <w:tcPr>
            <w:tcW w:w="1188" w:type="dxa"/>
            <w:vMerge/>
            <w:tcBorders>
              <w:left w:val="single" w:sz="4" w:space="0" w:color="auto"/>
              <w:right w:val="single" w:sz="4" w:space="0" w:color="auto"/>
            </w:tcBorders>
            <w:shd w:val="clear" w:color="000000" w:fill="FFFFFF"/>
            <w:noWrap/>
            <w:vAlign w:val="bottom"/>
            <w:hideMark/>
          </w:tcPr>
          <w:p w14:paraId="7FAF5113" w14:textId="671E31CA"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03C64F2D" w14:textId="4BD62155" w:rsidR="00EF126C" w:rsidRPr="00855D1E" w:rsidRDefault="00EF126C" w:rsidP="000B20B5">
            <w:pPr>
              <w:pStyle w:val="TableText"/>
            </w:pPr>
            <w:r w:rsidRPr="00855D1E">
              <w:t xml:space="preserve">Operational and </w:t>
            </w:r>
            <w:r>
              <w:t>t</w:t>
            </w:r>
            <w:r w:rsidRPr="00855D1E">
              <w:t>raining ammunition</w:t>
            </w:r>
          </w:p>
        </w:tc>
        <w:tc>
          <w:tcPr>
            <w:tcW w:w="1134" w:type="dxa"/>
            <w:tcBorders>
              <w:top w:val="nil"/>
              <w:left w:val="nil"/>
              <w:bottom w:val="single" w:sz="4" w:space="0" w:color="auto"/>
              <w:right w:val="single" w:sz="4" w:space="0" w:color="auto"/>
            </w:tcBorders>
            <w:shd w:val="clear" w:color="000000" w:fill="FFFFFF"/>
            <w:vAlign w:val="center"/>
            <w:hideMark/>
          </w:tcPr>
          <w:p w14:paraId="69D81BD4" w14:textId="77777777" w:rsidR="00EF126C" w:rsidRPr="00855D1E" w:rsidRDefault="00EF126C" w:rsidP="000B20B5">
            <w:pPr>
              <w:pStyle w:val="Tablenumbers"/>
            </w:pPr>
            <w:r w:rsidRPr="00855D1E">
              <w:t>$0.7</w:t>
            </w:r>
          </w:p>
        </w:tc>
        <w:tc>
          <w:tcPr>
            <w:tcW w:w="1074" w:type="dxa"/>
            <w:tcBorders>
              <w:top w:val="nil"/>
              <w:left w:val="nil"/>
              <w:bottom w:val="single" w:sz="4" w:space="0" w:color="auto"/>
              <w:right w:val="single" w:sz="4" w:space="0" w:color="auto"/>
            </w:tcBorders>
            <w:shd w:val="clear" w:color="000000" w:fill="FFFFFF"/>
            <w:vAlign w:val="center"/>
            <w:hideMark/>
          </w:tcPr>
          <w:p w14:paraId="22B093D8"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6B249AA9"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764E3363" w14:textId="77777777" w:rsidR="00EF126C" w:rsidRPr="00855D1E" w:rsidRDefault="00EF126C" w:rsidP="000B20B5">
            <w:pPr>
              <w:pStyle w:val="TableText"/>
            </w:pPr>
            <w:r w:rsidRPr="00855D1E">
              <w:t>Focused</w:t>
            </w:r>
          </w:p>
        </w:tc>
        <w:tc>
          <w:tcPr>
            <w:tcW w:w="975" w:type="dxa"/>
            <w:tcBorders>
              <w:top w:val="nil"/>
              <w:left w:val="nil"/>
              <w:bottom w:val="single" w:sz="4" w:space="0" w:color="auto"/>
              <w:right w:val="single" w:sz="4" w:space="0" w:color="auto"/>
            </w:tcBorders>
            <w:shd w:val="clear" w:color="000000" w:fill="FFFFFF"/>
            <w:vAlign w:val="center"/>
            <w:hideMark/>
          </w:tcPr>
          <w:p w14:paraId="31164FAE"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3FFBA3A6"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33C1DE30" w14:textId="77777777" w:rsidR="00EF126C" w:rsidRPr="00855D1E" w:rsidRDefault="00EF126C" w:rsidP="000B20B5">
            <w:pPr>
              <w:pStyle w:val="Tablenumbers"/>
            </w:pPr>
            <w:r w:rsidRPr="00855D1E">
              <w:t>1</w:t>
            </w:r>
          </w:p>
        </w:tc>
      </w:tr>
      <w:tr w:rsidR="00EF126C" w:rsidRPr="00855D1E" w14:paraId="6663CFA1" w14:textId="77777777" w:rsidTr="00633FF6">
        <w:trPr>
          <w:trHeight w:val="210"/>
        </w:trPr>
        <w:tc>
          <w:tcPr>
            <w:tcW w:w="1188" w:type="dxa"/>
            <w:vMerge/>
            <w:tcBorders>
              <w:left w:val="single" w:sz="4" w:space="0" w:color="auto"/>
              <w:right w:val="single" w:sz="4" w:space="0" w:color="auto"/>
            </w:tcBorders>
            <w:shd w:val="clear" w:color="000000" w:fill="FFFFFF"/>
            <w:noWrap/>
            <w:vAlign w:val="bottom"/>
            <w:hideMark/>
          </w:tcPr>
          <w:p w14:paraId="50278D96" w14:textId="37125E71"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186F9607" w14:textId="100B4B20" w:rsidR="00EF126C" w:rsidRPr="00855D1E" w:rsidRDefault="00EF126C" w:rsidP="000B20B5">
            <w:pPr>
              <w:pStyle w:val="TableText"/>
            </w:pPr>
            <w:r w:rsidRPr="00855D1E">
              <w:t>Supply of fresh sandwiches to the Academy and Airlie</w:t>
            </w:r>
          </w:p>
        </w:tc>
        <w:tc>
          <w:tcPr>
            <w:tcW w:w="1134" w:type="dxa"/>
            <w:tcBorders>
              <w:top w:val="nil"/>
              <w:left w:val="nil"/>
              <w:bottom w:val="single" w:sz="4" w:space="0" w:color="auto"/>
              <w:right w:val="single" w:sz="4" w:space="0" w:color="auto"/>
            </w:tcBorders>
            <w:shd w:val="clear" w:color="000000" w:fill="FFFFFF"/>
            <w:vAlign w:val="center"/>
            <w:hideMark/>
          </w:tcPr>
          <w:p w14:paraId="0BDB388D" w14:textId="77777777" w:rsidR="00EF126C" w:rsidRPr="00855D1E" w:rsidRDefault="00EF126C" w:rsidP="000B20B5">
            <w:pPr>
              <w:pStyle w:val="Tablenumbers"/>
            </w:pPr>
            <w:r w:rsidRPr="00855D1E">
              <w:t>$0.9</w:t>
            </w:r>
          </w:p>
        </w:tc>
        <w:tc>
          <w:tcPr>
            <w:tcW w:w="1074" w:type="dxa"/>
            <w:tcBorders>
              <w:top w:val="nil"/>
              <w:left w:val="nil"/>
              <w:bottom w:val="single" w:sz="4" w:space="0" w:color="auto"/>
              <w:right w:val="single" w:sz="4" w:space="0" w:color="auto"/>
            </w:tcBorders>
            <w:shd w:val="clear" w:color="000000" w:fill="FFFFFF"/>
            <w:hideMark/>
          </w:tcPr>
          <w:p w14:paraId="741540ED" w14:textId="77777777" w:rsidR="00EF126C" w:rsidRPr="00855D1E" w:rsidRDefault="00EF126C" w:rsidP="000B20B5">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6E68BDC7"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2</w:t>
            </w:r>
          </w:p>
        </w:tc>
        <w:tc>
          <w:tcPr>
            <w:tcW w:w="1308" w:type="dxa"/>
            <w:tcBorders>
              <w:top w:val="nil"/>
              <w:left w:val="nil"/>
              <w:bottom w:val="single" w:sz="4" w:space="0" w:color="auto"/>
              <w:right w:val="single" w:sz="4" w:space="0" w:color="auto"/>
            </w:tcBorders>
            <w:shd w:val="clear" w:color="000000" w:fill="FFFFFF"/>
            <w:vAlign w:val="center"/>
            <w:hideMark/>
          </w:tcPr>
          <w:p w14:paraId="43457AE5"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5B8889EB"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201FD756"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0094C55A" w14:textId="77777777" w:rsidR="00EF126C" w:rsidRPr="00855D1E" w:rsidRDefault="00EF126C" w:rsidP="000B20B5">
            <w:pPr>
              <w:pStyle w:val="Tablenumbers"/>
            </w:pPr>
            <w:r w:rsidRPr="00855D1E">
              <w:t>1</w:t>
            </w:r>
          </w:p>
        </w:tc>
      </w:tr>
      <w:tr w:rsidR="00EF126C" w:rsidRPr="00855D1E" w14:paraId="48BB8BB9" w14:textId="77777777" w:rsidTr="00633FF6">
        <w:trPr>
          <w:trHeight w:val="212"/>
        </w:trPr>
        <w:tc>
          <w:tcPr>
            <w:tcW w:w="1188" w:type="dxa"/>
            <w:vMerge/>
            <w:tcBorders>
              <w:left w:val="single" w:sz="4" w:space="0" w:color="auto"/>
              <w:right w:val="single" w:sz="4" w:space="0" w:color="auto"/>
            </w:tcBorders>
            <w:shd w:val="clear" w:color="000000" w:fill="FFFFFF"/>
            <w:noWrap/>
            <w:vAlign w:val="bottom"/>
            <w:hideMark/>
          </w:tcPr>
          <w:p w14:paraId="1E214DB3" w14:textId="15A6179A"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7EAE94C7" w14:textId="77777777" w:rsidR="00EF126C" w:rsidRPr="00855D1E" w:rsidRDefault="00EF126C" w:rsidP="000B20B5">
            <w:pPr>
              <w:pStyle w:val="TableText"/>
            </w:pPr>
            <w:r w:rsidRPr="00855D1E">
              <w:t>Enterprise security management system</w:t>
            </w:r>
          </w:p>
        </w:tc>
        <w:tc>
          <w:tcPr>
            <w:tcW w:w="1134" w:type="dxa"/>
            <w:tcBorders>
              <w:top w:val="nil"/>
              <w:left w:val="nil"/>
              <w:bottom w:val="single" w:sz="4" w:space="0" w:color="auto"/>
              <w:right w:val="single" w:sz="4" w:space="0" w:color="auto"/>
            </w:tcBorders>
            <w:shd w:val="clear" w:color="000000" w:fill="FFFFFF"/>
            <w:vAlign w:val="center"/>
            <w:hideMark/>
          </w:tcPr>
          <w:p w14:paraId="0A8EA4CF" w14:textId="77777777" w:rsidR="00EF126C" w:rsidRPr="00855D1E" w:rsidRDefault="00EF126C" w:rsidP="000B20B5">
            <w:pPr>
              <w:pStyle w:val="Tablenumbers"/>
            </w:pPr>
            <w:r w:rsidRPr="00855D1E">
              <w:t>$0.9</w:t>
            </w:r>
          </w:p>
        </w:tc>
        <w:tc>
          <w:tcPr>
            <w:tcW w:w="1074" w:type="dxa"/>
            <w:tcBorders>
              <w:top w:val="nil"/>
              <w:left w:val="nil"/>
              <w:bottom w:val="single" w:sz="4" w:space="0" w:color="auto"/>
              <w:right w:val="single" w:sz="4" w:space="0" w:color="auto"/>
            </w:tcBorders>
            <w:shd w:val="clear" w:color="000000" w:fill="FFFFFF"/>
            <w:hideMark/>
          </w:tcPr>
          <w:p w14:paraId="1D555F42" w14:textId="77777777" w:rsidR="00EF126C" w:rsidRPr="00855D1E" w:rsidRDefault="00EF126C" w:rsidP="000B20B5">
            <w:pPr>
              <w:pStyle w:val="Tablenumbers"/>
            </w:pPr>
            <w:r w:rsidRPr="00855D1E">
              <w:t>0.6</w:t>
            </w:r>
          </w:p>
        </w:tc>
        <w:tc>
          <w:tcPr>
            <w:tcW w:w="1074" w:type="dxa"/>
            <w:tcBorders>
              <w:top w:val="nil"/>
              <w:left w:val="nil"/>
              <w:bottom w:val="single" w:sz="4" w:space="0" w:color="auto"/>
              <w:right w:val="single" w:sz="4" w:space="0" w:color="auto"/>
            </w:tcBorders>
            <w:shd w:val="clear" w:color="000000" w:fill="FFFFFF"/>
            <w:vAlign w:val="center"/>
            <w:hideMark/>
          </w:tcPr>
          <w:p w14:paraId="6F343A72"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0</w:t>
            </w:r>
          </w:p>
        </w:tc>
        <w:tc>
          <w:tcPr>
            <w:tcW w:w="1308" w:type="dxa"/>
            <w:tcBorders>
              <w:top w:val="nil"/>
              <w:left w:val="nil"/>
              <w:bottom w:val="single" w:sz="4" w:space="0" w:color="auto"/>
              <w:right w:val="single" w:sz="4" w:space="0" w:color="auto"/>
            </w:tcBorders>
            <w:shd w:val="clear" w:color="000000" w:fill="FFFFFF"/>
            <w:vAlign w:val="center"/>
            <w:hideMark/>
          </w:tcPr>
          <w:p w14:paraId="41B30E97"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0D439558"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74C50651"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459037DA" w14:textId="77777777" w:rsidR="00EF126C" w:rsidRPr="00855D1E" w:rsidRDefault="00EF126C" w:rsidP="000B20B5">
            <w:pPr>
              <w:pStyle w:val="Tablenumbers"/>
            </w:pPr>
            <w:r w:rsidRPr="00855D1E">
              <w:t>2</w:t>
            </w:r>
          </w:p>
        </w:tc>
      </w:tr>
      <w:tr w:rsidR="00EF126C" w:rsidRPr="00855D1E" w14:paraId="03B5967D" w14:textId="77777777" w:rsidTr="00633FF6">
        <w:trPr>
          <w:trHeight w:val="300"/>
        </w:trPr>
        <w:tc>
          <w:tcPr>
            <w:tcW w:w="1188" w:type="dxa"/>
            <w:vMerge/>
            <w:tcBorders>
              <w:left w:val="single" w:sz="4" w:space="0" w:color="auto"/>
              <w:right w:val="single" w:sz="4" w:space="0" w:color="auto"/>
            </w:tcBorders>
            <w:shd w:val="clear" w:color="000000" w:fill="FFFFFF"/>
            <w:noWrap/>
            <w:vAlign w:val="bottom"/>
            <w:hideMark/>
          </w:tcPr>
          <w:p w14:paraId="5DEC16C4" w14:textId="12C04577"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45323FE2" w14:textId="77777777" w:rsidR="00EF126C" w:rsidRPr="00855D1E" w:rsidRDefault="00EF126C" w:rsidP="000B20B5">
            <w:pPr>
              <w:pStyle w:val="TableText"/>
            </w:pPr>
            <w:r w:rsidRPr="00855D1E">
              <w:t>Dress shoes</w:t>
            </w:r>
          </w:p>
        </w:tc>
        <w:tc>
          <w:tcPr>
            <w:tcW w:w="1134" w:type="dxa"/>
            <w:tcBorders>
              <w:top w:val="nil"/>
              <w:left w:val="nil"/>
              <w:bottom w:val="single" w:sz="4" w:space="0" w:color="auto"/>
              <w:right w:val="single" w:sz="4" w:space="0" w:color="auto"/>
            </w:tcBorders>
            <w:shd w:val="clear" w:color="000000" w:fill="FFFFFF"/>
            <w:vAlign w:val="center"/>
            <w:hideMark/>
          </w:tcPr>
          <w:p w14:paraId="33C9A369" w14:textId="77777777" w:rsidR="00EF126C" w:rsidRPr="00855D1E" w:rsidRDefault="00EF126C" w:rsidP="000B20B5">
            <w:pPr>
              <w:pStyle w:val="Tablenumbers"/>
            </w:pPr>
            <w:r w:rsidRPr="00855D1E">
              <w:t>$1.4</w:t>
            </w:r>
          </w:p>
        </w:tc>
        <w:tc>
          <w:tcPr>
            <w:tcW w:w="1074" w:type="dxa"/>
            <w:tcBorders>
              <w:top w:val="nil"/>
              <w:left w:val="nil"/>
              <w:bottom w:val="single" w:sz="4" w:space="0" w:color="auto"/>
              <w:right w:val="single" w:sz="4" w:space="0" w:color="auto"/>
            </w:tcBorders>
            <w:shd w:val="clear" w:color="000000" w:fill="FFFFFF"/>
            <w:hideMark/>
          </w:tcPr>
          <w:p w14:paraId="598EB29C"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5266DEBE"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2</w:t>
            </w:r>
          </w:p>
        </w:tc>
        <w:tc>
          <w:tcPr>
            <w:tcW w:w="1308" w:type="dxa"/>
            <w:tcBorders>
              <w:top w:val="nil"/>
              <w:left w:val="nil"/>
              <w:bottom w:val="single" w:sz="4" w:space="0" w:color="auto"/>
              <w:right w:val="single" w:sz="4" w:space="0" w:color="auto"/>
            </w:tcBorders>
            <w:shd w:val="clear" w:color="000000" w:fill="FFFFFF"/>
            <w:vAlign w:val="center"/>
            <w:hideMark/>
          </w:tcPr>
          <w:p w14:paraId="4F7BF138"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60E1D526"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52BAEA8B"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67C4CB3B" w14:textId="77777777" w:rsidR="00EF126C" w:rsidRPr="00855D1E" w:rsidRDefault="00EF126C" w:rsidP="000B20B5">
            <w:pPr>
              <w:pStyle w:val="Tablenumbers"/>
            </w:pPr>
            <w:r w:rsidRPr="00855D1E">
              <w:t>1</w:t>
            </w:r>
          </w:p>
        </w:tc>
      </w:tr>
      <w:tr w:rsidR="00EF126C" w:rsidRPr="00855D1E" w14:paraId="677C1AAD" w14:textId="77777777" w:rsidTr="00633FF6">
        <w:trPr>
          <w:trHeight w:val="297"/>
        </w:trPr>
        <w:tc>
          <w:tcPr>
            <w:tcW w:w="1188" w:type="dxa"/>
            <w:vMerge/>
            <w:tcBorders>
              <w:left w:val="single" w:sz="4" w:space="0" w:color="auto"/>
              <w:right w:val="single" w:sz="4" w:space="0" w:color="auto"/>
            </w:tcBorders>
            <w:shd w:val="clear" w:color="000000" w:fill="FFFFFF"/>
            <w:noWrap/>
            <w:vAlign w:val="bottom"/>
            <w:hideMark/>
          </w:tcPr>
          <w:p w14:paraId="685AFD25" w14:textId="1B5694EC"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05AE5614" w14:textId="77777777" w:rsidR="00EF126C" w:rsidRPr="00855D1E" w:rsidRDefault="00EF126C" w:rsidP="000B20B5">
            <w:pPr>
              <w:pStyle w:val="TableText"/>
            </w:pPr>
            <w:r w:rsidRPr="00855D1E">
              <w:t>Hand-held drug analysing devices (TruNarc)</w:t>
            </w:r>
          </w:p>
        </w:tc>
        <w:tc>
          <w:tcPr>
            <w:tcW w:w="1134" w:type="dxa"/>
            <w:tcBorders>
              <w:top w:val="nil"/>
              <w:left w:val="nil"/>
              <w:bottom w:val="single" w:sz="4" w:space="0" w:color="auto"/>
              <w:right w:val="single" w:sz="4" w:space="0" w:color="auto"/>
            </w:tcBorders>
            <w:shd w:val="clear" w:color="000000" w:fill="FFFFFF"/>
            <w:vAlign w:val="center"/>
            <w:hideMark/>
          </w:tcPr>
          <w:p w14:paraId="0C28E462" w14:textId="77777777" w:rsidR="00EF126C" w:rsidRPr="00855D1E" w:rsidRDefault="00EF126C" w:rsidP="000B20B5">
            <w:pPr>
              <w:pStyle w:val="Tablenumbers"/>
            </w:pPr>
            <w:r w:rsidRPr="00855D1E">
              <w:t>$1.5</w:t>
            </w:r>
          </w:p>
        </w:tc>
        <w:tc>
          <w:tcPr>
            <w:tcW w:w="1074" w:type="dxa"/>
            <w:tcBorders>
              <w:top w:val="nil"/>
              <w:left w:val="nil"/>
              <w:bottom w:val="single" w:sz="4" w:space="0" w:color="auto"/>
              <w:right w:val="single" w:sz="4" w:space="0" w:color="auto"/>
            </w:tcBorders>
            <w:shd w:val="clear" w:color="000000" w:fill="FFFFFF"/>
            <w:vAlign w:val="center"/>
            <w:hideMark/>
          </w:tcPr>
          <w:p w14:paraId="17CE3009"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5C159818"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4378ADDB"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07B27BEF"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65493D57"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45C31151" w14:textId="77777777" w:rsidR="00EF126C" w:rsidRPr="00855D1E" w:rsidRDefault="00EF126C" w:rsidP="000B20B5">
            <w:pPr>
              <w:pStyle w:val="Tablenumbers"/>
            </w:pPr>
            <w:r w:rsidRPr="00855D1E">
              <w:t>1</w:t>
            </w:r>
          </w:p>
        </w:tc>
      </w:tr>
      <w:tr w:rsidR="00EF126C" w:rsidRPr="00855D1E" w14:paraId="12988A31" w14:textId="77777777" w:rsidTr="00633FF6">
        <w:trPr>
          <w:trHeight w:val="304"/>
        </w:trPr>
        <w:tc>
          <w:tcPr>
            <w:tcW w:w="1188" w:type="dxa"/>
            <w:vMerge/>
            <w:tcBorders>
              <w:left w:val="single" w:sz="4" w:space="0" w:color="auto"/>
              <w:right w:val="single" w:sz="4" w:space="0" w:color="auto"/>
            </w:tcBorders>
            <w:shd w:val="clear" w:color="000000" w:fill="FFFFFF"/>
            <w:noWrap/>
            <w:vAlign w:val="bottom"/>
            <w:hideMark/>
          </w:tcPr>
          <w:p w14:paraId="1F185F47" w14:textId="580176E8"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050BE703" w14:textId="77777777" w:rsidR="00EF126C" w:rsidRPr="00855D1E" w:rsidRDefault="00EF126C" w:rsidP="000B20B5">
            <w:pPr>
              <w:pStyle w:val="TableText"/>
            </w:pPr>
            <w:r w:rsidRPr="00855D1E">
              <w:t>Toxicology and laboratory services</w:t>
            </w:r>
          </w:p>
        </w:tc>
        <w:tc>
          <w:tcPr>
            <w:tcW w:w="1134" w:type="dxa"/>
            <w:tcBorders>
              <w:top w:val="nil"/>
              <w:left w:val="nil"/>
              <w:bottom w:val="single" w:sz="4" w:space="0" w:color="auto"/>
              <w:right w:val="single" w:sz="4" w:space="0" w:color="auto"/>
            </w:tcBorders>
            <w:shd w:val="clear" w:color="000000" w:fill="FFFFFF"/>
            <w:vAlign w:val="center"/>
            <w:hideMark/>
          </w:tcPr>
          <w:p w14:paraId="34AA04C1" w14:textId="77777777" w:rsidR="00EF126C" w:rsidRPr="00855D1E" w:rsidRDefault="00EF126C" w:rsidP="000B20B5">
            <w:pPr>
              <w:pStyle w:val="Tablenumbers"/>
            </w:pPr>
            <w:r w:rsidRPr="00855D1E">
              <w:t>$1.6</w:t>
            </w:r>
          </w:p>
        </w:tc>
        <w:tc>
          <w:tcPr>
            <w:tcW w:w="1074" w:type="dxa"/>
            <w:tcBorders>
              <w:top w:val="nil"/>
              <w:left w:val="nil"/>
              <w:bottom w:val="single" w:sz="4" w:space="0" w:color="auto"/>
              <w:right w:val="single" w:sz="4" w:space="0" w:color="auto"/>
            </w:tcBorders>
            <w:shd w:val="clear" w:color="000000" w:fill="FFFFFF"/>
            <w:hideMark/>
          </w:tcPr>
          <w:p w14:paraId="79852F76"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057AA96C"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2</w:t>
            </w:r>
          </w:p>
        </w:tc>
        <w:tc>
          <w:tcPr>
            <w:tcW w:w="1308" w:type="dxa"/>
            <w:tcBorders>
              <w:top w:val="nil"/>
              <w:left w:val="nil"/>
              <w:bottom w:val="single" w:sz="4" w:space="0" w:color="auto"/>
              <w:right w:val="single" w:sz="4" w:space="0" w:color="auto"/>
            </w:tcBorders>
            <w:shd w:val="clear" w:color="000000" w:fill="FFFFFF"/>
            <w:vAlign w:val="center"/>
            <w:hideMark/>
          </w:tcPr>
          <w:p w14:paraId="4DC248E9"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3173E0B9"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4580D706"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7AC5D565" w14:textId="77777777" w:rsidR="00EF126C" w:rsidRPr="00855D1E" w:rsidRDefault="00EF126C" w:rsidP="000B20B5">
            <w:pPr>
              <w:pStyle w:val="Tablenumbers"/>
            </w:pPr>
            <w:r w:rsidRPr="00855D1E">
              <w:t>1</w:t>
            </w:r>
          </w:p>
        </w:tc>
      </w:tr>
      <w:tr w:rsidR="00EF126C" w:rsidRPr="00855D1E" w14:paraId="6ECEDA02" w14:textId="77777777" w:rsidTr="00633FF6">
        <w:trPr>
          <w:trHeight w:val="249"/>
        </w:trPr>
        <w:tc>
          <w:tcPr>
            <w:tcW w:w="1188" w:type="dxa"/>
            <w:vMerge/>
            <w:tcBorders>
              <w:left w:val="single" w:sz="4" w:space="0" w:color="auto"/>
              <w:right w:val="single" w:sz="4" w:space="0" w:color="auto"/>
            </w:tcBorders>
            <w:shd w:val="clear" w:color="000000" w:fill="FFFFFF"/>
            <w:noWrap/>
            <w:vAlign w:val="bottom"/>
            <w:hideMark/>
          </w:tcPr>
          <w:p w14:paraId="00FA2F14" w14:textId="3AFD053C"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18ECCB5D" w14:textId="77777777" w:rsidR="00EF126C" w:rsidRPr="00855D1E" w:rsidRDefault="00EF126C" w:rsidP="000B20B5">
            <w:pPr>
              <w:pStyle w:val="TableText"/>
            </w:pPr>
            <w:r w:rsidRPr="00855D1E">
              <w:t>Recycling and waste management services</w:t>
            </w:r>
          </w:p>
        </w:tc>
        <w:tc>
          <w:tcPr>
            <w:tcW w:w="1134" w:type="dxa"/>
            <w:tcBorders>
              <w:top w:val="nil"/>
              <w:left w:val="nil"/>
              <w:bottom w:val="single" w:sz="4" w:space="0" w:color="auto"/>
              <w:right w:val="single" w:sz="4" w:space="0" w:color="auto"/>
            </w:tcBorders>
            <w:shd w:val="clear" w:color="000000" w:fill="FFFFFF"/>
            <w:vAlign w:val="center"/>
            <w:hideMark/>
          </w:tcPr>
          <w:p w14:paraId="4F4271FF" w14:textId="77777777" w:rsidR="00EF126C" w:rsidRPr="00855D1E" w:rsidRDefault="00EF126C" w:rsidP="000B20B5">
            <w:pPr>
              <w:pStyle w:val="Tablenumbers"/>
            </w:pPr>
            <w:r w:rsidRPr="00855D1E">
              <w:t>$2.0</w:t>
            </w:r>
          </w:p>
        </w:tc>
        <w:tc>
          <w:tcPr>
            <w:tcW w:w="1074" w:type="dxa"/>
            <w:tcBorders>
              <w:top w:val="nil"/>
              <w:left w:val="nil"/>
              <w:bottom w:val="single" w:sz="4" w:space="0" w:color="auto"/>
              <w:right w:val="single" w:sz="4" w:space="0" w:color="auto"/>
            </w:tcBorders>
            <w:shd w:val="clear" w:color="000000" w:fill="FFFFFF"/>
            <w:hideMark/>
          </w:tcPr>
          <w:p w14:paraId="431C265B"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29F843A2"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2</w:t>
            </w:r>
          </w:p>
        </w:tc>
        <w:tc>
          <w:tcPr>
            <w:tcW w:w="1308" w:type="dxa"/>
            <w:tcBorders>
              <w:top w:val="nil"/>
              <w:left w:val="nil"/>
              <w:bottom w:val="single" w:sz="4" w:space="0" w:color="auto"/>
              <w:right w:val="single" w:sz="4" w:space="0" w:color="auto"/>
            </w:tcBorders>
            <w:shd w:val="clear" w:color="000000" w:fill="FFFFFF"/>
            <w:vAlign w:val="center"/>
            <w:hideMark/>
          </w:tcPr>
          <w:p w14:paraId="344757C6"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2FFF0A11"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6631FE6C"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26FA63AE" w14:textId="77777777" w:rsidR="00EF126C" w:rsidRPr="00855D1E" w:rsidRDefault="00EF126C" w:rsidP="000B20B5">
            <w:pPr>
              <w:pStyle w:val="Tablenumbers"/>
            </w:pPr>
            <w:r w:rsidRPr="00855D1E">
              <w:t>1</w:t>
            </w:r>
          </w:p>
        </w:tc>
      </w:tr>
      <w:tr w:rsidR="00EF126C" w:rsidRPr="00855D1E" w14:paraId="29EE1371" w14:textId="77777777" w:rsidTr="00633FF6">
        <w:trPr>
          <w:trHeight w:val="268"/>
        </w:trPr>
        <w:tc>
          <w:tcPr>
            <w:tcW w:w="1188" w:type="dxa"/>
            <w:vMerge/>
            <w:tcBorders>
              <w:left w:val="single" w:sz="4" w:space="0" w:color="auto"/>
              <w:right w:val="single" w:sz="4" w:space="0" w:color="auto"/>
            </w:tcBorders>
            <w:shd w:val="clear" w:color="000000" w:fill="FFFFFF"/>
            <w:noWrap/>
            <w:vAlign w:val="bottom"/>
            <w:hideMark/>
          </w:tcPr>
          <w:p w14:paraId="108E69BA" w14:textId="448EF542"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427AC6BB" w14:textId="77777777" w:rsidR="00EF126C" w:rsidRPr="00855D1E" w:rsidRDefault="00EF126C" w:rsidP="000B20B5">
            <w:pPr>
              <w:pStyle w:val="TableText"/>
            </w:pPr>
            <w:r w:rsidRPr="00855D1E">
              <w:t>Semi-automatic rifles and ancillary equipment</w:t>
            </w:r>
          </w:p>
        </w:tc>
        <w:tc>
          <w:tcPr>
            <w:tcW w:w="1134" w:type="dxa"/>
            <w:tcBorders>
              <w:top w:val="nil"/>
              <w:left w:val="nil"/>
              <w:bottom w:val="single" w:sz="4" w:space="0" w:color="auto"/>
              <w:right w:val="single" w:sz="4" w:space="0" w:color="auto"/>
            </w:tcBorders>
            <w:shd w:val="clear" w:color="000000" w:fill="FFFFFF"/>
            <w:vAlign w:val="center"/>
            <w:hideMark/>
          </w:tcPr>
          <w:p w14:paraId="7B26DCAE" w14:textId="77777777" w:rsidR="00EF126C" w:rsidRPr="00855D1E" w:rsidRDefault="00EF126C" w:rsidP="000B20B5">
            <w:pPr>
              <w:pStyle w:val="Tablenumbers"/>
            </w:pPr>
            <w:r w:rsidRPr="00855D1E">
              <w:t>$2.3</w:t>
            </w:r>
          </w:p>
        </w:tc>
        <w:tc>
          <w:tcPr>
            <w:tcW w:w="1074" w:type="dxa"/>
            <w:tcBorders>
              <w:top w:val="nil"/>
              <w:left w:val="nil"/>
              <w:bottom w:val="single" w:sz="4" w:space="0" w:color="auto"/>
              <w:right w:val="single" w:sz="4" w:space="0" w:color="auto"/>
            </w:tcBorders>
            <w:shd w:val="clear" w:color="000000" w:fill="FFFFFF"/>
            <w:vAlign w:val="center"/>
            <w:hideMark/>
          </w:tcPr>
          <w:p w14:paraId="1CECFCDE" w14:textId="77777777" w:rsidR="00EF126C" w:rsidRPr="00855D1E" w:rsidRDefault="00EF126C" w:rsidP="000B20B5">
            <w:pPr>
              <w:pStyle w:val="Tablenumbers"/>
            </w:pPr>
            <w:r w:rsidRPr="00855D1E">
              <w:t>0.3</w:t>
            </w:r>
          </w:p>
        </w:tc>
        <w:tc>
          <w:tcPr>
            <w:tcW w:w="1074" w:type="dxa"/>
            <w:tcBorders>
              <w:top w:val="nil"/>
              <w:left w:val="nil"/>
              <w:bottom w:val="single" w:sz="4" w:space="0" w:color="auto"/>
              <w:right w:val="single" w:sz="4" w:space="0" w:color="auto"/>
            </w:tcBorders>
            <w:shd w:val="clear" w:color="000000" w:fill="FFFFFF"/>
            <w:vAlign w:val="center"/>
            <w:hideMark/>
          </w:tcPr>
          <w:p w14:paraId="4AAD9BA7"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0</w:t>
            </w:r>
          </w:p>
        </w:tc>
        <w:tc>
          <w:tcPr>
            <w:tcW w:w="1308" w:type="dxa"/>
            <w:tcBorders>
              <w:top w:val="nil"/>
              <w:left w:val="nil"/>
              <w:bottom w:val="single" w:sz="4" w:space="0" w:color="auto"/>
              <w:right w:val="single" w:sz="4" w:space="0" w:color="auto"/>
            </w:tcBorders>
            <w:shd w:val="clear" w:color="000000" w:fill="FFFFFF"/>
            <w:vAlign w:val="center"/>
            <w:hideMark/>
          </w:tcPr>
          <w:p w14:paraId="013928B1"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08DACBAC"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4CC42FE5"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1D6E4231" w14:textId="77777777" w:rsidR="00EF126C" w:rsidRPr="00855D1E" w:rsidRDefault="00EF126C" w:rsidP="000B20B5">
            <w:pPr>
              <w:pStyle w:val="Tablenumbers"/>
            </w:pPr>
            <w:r w:rsidRPr="00855D1E">
              <w:t>1</w:t>
            </w:r>
          </w:p>
        </w:tc>
      </w:tr>
      <w:tr w:rsidR="00EF126C" w:rsidRPr="00855D1E" w14:paraId="58F7677C" w14:textId="77777777" w:rsidTr="00633FF6">
        <w:trPr>
          <w:trHeight w:val="300"/>
        </w:trPr>
        <w:tc>
          <w:tcPr>
            <w:tcW w:w="1188" w:type="dxa"/>
            <w:vMerge/>
            <w:tcBorders>
              <w:left w:val="single" w:sz="4" w:space="0" w:color="auto"/>
              <w:right w:val="single" w:sz="4" w:space="0" w:color="auto"/>
            </w:tcBorders>
            <w:shd w:val="clear" w:color="000000" w:fill="FFFFFF"/>
            <w:noWrap/>
            <w:vAlign w:val="bottom"/>
            <w:hideMark/>
          </w:tcPr>
          <w:p w14:paraId="2D6C8E06" w14:textId="736A87A5"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389149F5" w14:textId="77777777" w:rsidR="00EF126C" w:rsidRPr="00855D1E" w:rsidRDefault="00EF126C" w:rsidP="000B20B5">
            <w:pPr>
              <w:pStyle w:val="TableText"/>
            </w:pPr>
            <w:r w:rsidRPr="00855D1E">
              <w:t>DNA kits (mouth and blood)</w:t>
            </w:r>
          </w:p>
        </w:tc>
        <w:tc>
          <w:tcPr>
            <w:tcW w:w="1134" w:type="dxa"/>
            <w:tcBorders>
              <w:top w:val="nil"/>
              <w:left w:val="nil"/>
              <w:bottom w:val="single" w:sz="4" w:space="0" w:color="auto"/>
              <w:right w:val="single" w:sz="4" w:space="0" w:color="auto"/>
            </w:tcBorders>
            <w:shd w:val="clear" w:color="000000" w:fill="FFFFFF"/>
            <w:vAlign w:val="center"/>
            <w:hideMark/>
          </w:tcPr>
          <w:p w14:paraId="38CF044F" w14:textId="77777777" w:rsidR="00EF126C" w:rsidRPr="00855D1E" w:rsidRDefault="00EF126C" w:rsidP="000B20B5">
            <w:pPr>
              <w:pStyle w:val="Tablenumbers"/>
            </w:pPr>
            <w:r w:rsidRPr="00855D1E">
              <w:t>$2.3</w:t>
            </w:r>
          </w:p>
        </w:tc>
        <w:tc>
          <w:tcPr>
            <w:tcW w:w="1074" w:type="dxa"/>
            <w:tcBorders>
              <w:top w:val="nil"/>
              <w:left w:val="nil"/>
              <w:bottom w:val="single" w:sz="4" w:space="0" w:color="auto"/>
              <w:right w:val="single" w:sz="4" w:space="0" w:color="auto"/>
            </w:tcBorders>
            <w:shd w:val="clear" w:color="000000" w:fill="FFFFFF"/>
            <w:vAlign w:val="center"/>
            <w:hideMark/>
          </w:tcPr>
          <w:p w14:paraId="78E52F66"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0B58610E"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58901972"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2B2D0F92"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7ABB0FC1"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75585665" w14:textId="77777777" w:rsidR="00EF126C" w:rsidRPr="00855D1E" w:rsidRDefault="00EF126C" w:rsidP="000B20B5">
            <w:pPr>
              <w:pStyle w:val="Tablenumbers"/>
            </w:pPr>
            <w:r w:rsidRPr="00855D1E">
              <w:t>1</w:t>
            </w:r>
          </w:p>
        </w:tc>
      </w:tr>
      <w:tr w:rsidR="00EF126C" w:rsidRPr="00855D1E" w14:paraId="4708CFD7" w14:textId="77777777" w:rsidTr="00633FF6">
        <w:trPr>
          <w:trHeight w:val="333"/>
        </w:trPr>
        <w:tc>
          <w:tcPr>
            <w:tcW w:w="1188" w:type="dxa"/>
            <w:vMerge/>
            <w:tcBorders>
              <w:left w:val="single" w:sz="4" w:space="0" w:color="auto"/>
              <w:right w:val="single" w:sz="4" w:space="0" w:color="auto"/>
            </w:tcBorders>
            <w:shd w:val="clear" w:color="000000" w:fill="FFFFFF"/>
            <w:noWrap/>
            <w:vAlign w:val="bottom"/>
            <w:hideMark/>
          </w:tcPr>
          <w:p w14:paraId="2649F78F" w14:textId="52E225FC"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7EAAF7EC" w14:textId="77777777" w:rsidR="00EF126C" w:rsidRPr="00855D1E" w:rsidRDefault="00EF126C" w:rsidP="000B20B5">
            <w:pPr>
              <w:pStyle w:val="TableText"/>
            </w:pPr>
            <w:r w:rsidRPr="00855D1E">
              <w:t>National survey of community satisfaction with policing</w:t>
            </w:r>
          </w:p>
        </w:tc>
        <w:tc>
          <w:tcPr>
            <w:tcW w:w="1134" w:type="dxa"/>
            <w:tcBorders>
              <w:top w:val="nil"/>
              <w:left w:val="nil"/>
              <w:bottom w:val="single" w:sz="4" w:space="0" w:color="auto"/>
              <w:right w:val="single" w:sz="4" w:space="0" w:color="auto"/>
            </w:tcBorders>
            <w:shd w:val="clear" w:color="000000" w:fill="FFFFFF"/>
            <w:vAlign w:val="center"/>
            <w:hideMark/>
          </w:tcPr>
          <w:p w14:paraId="7FF603CE" w14:textId="77777777" w:rsidR="00EF126C" w:rsidRPr="00855D1E" w:rsidRDefault="00EF126C" w:rsidP="000B20B5">
            <w:pPr>
              <w:pStyle w:val="Tablenumbers"/>
            </w:pPr>
            <w:r w:rsidRPr="00855D1E">
              <w:t>$2.4</w:t>
            </w:r>
          </w:p>
        </w:tc>
        <w:tc>
          <w:tcPr>
            <w:tcW w:w="1074" w:type="dxa"/>
            <w:tcBorders>
              <w:top w:val="nil"/>
              <w:left w:val="nil"/>
              <w:bottom w:val="single" w:sz="4" w:space="0" w:color="auto"/>
              <w:right w:val="single" w:sz="4" w:space="0" w:color="auto"/>
            </w:tcBorders>
            <w:shd w:val="clear" w:color="000000" w:fill="FFFFFF"/>
            <w:vAlign w:val="center"/>
            <w:hideMark/>
          </w:tcPr>
          <w:p w14:paraId="1BFCE568"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4FF98C17"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338028DF"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56ACB6AC"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3AE8BF26"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0DF9E668" w14:textId="77777777" w:rsidR="00EF126C" w:rsidRPr="00855D1E" w:rsidRDefault="00EF126C" w:rsidP="000B20B5">
            <w:pPr>
              <w:pStyle w:val="Tablenumbers"/>
            </w:pPr>
            <w:r w:rsidRPr="00855D1E">
              <w:t>1</w:t>
            </w:r>
          </w:p>
        </w:tc>
      </w:tr>
      <w:tr w:rsidR="00EF126C" w:rsidRPr="00855D1E" w14:paraId="37EBCF60" w14:textId="77777777" w:rsidTr="00633FF6">
        <w:trPr>
          <w:trHeight w:val="268"/>
        </w:trPr>
        <w:tc>
          <w:tcPr>
            <w:tcW w:w="1188" w:type="dxa"/>
            <w:vMerge/>
            <w:tcBorders>
              <w:left w:val="single" w:sz="4" w:space="0" w:color="auto"/>
              <w:right w:val="single" w:sz="4" w:space="0" w:color="auto"/>
            </w:tcBorders>
            <w:shd w:val="clear" w:color="000000" w:fill="FFFFFF"/>
            <w:noWrap/>
            <w:vAlign w:val="bottom"/>
            <w:hideMark/>
          </w:tcPr>
          <w:p w14:paraId="381A3D74" w14:textId="2CD163E0"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1B45684" w14:textId="77777777" w:rsidR="00EF126C" w:rsidRPr="00855D1E" w:rsidRDefault="00EF126C" w:rsidP="000B20B5">
            <w:pPr>
              <w:pStyle w:val="TableText"/>
            </w:pPr>
            <w:r w:rsidRPr="00855D1E">
              <w:t>Investigative, review of actions (grievances) and HR services panel</w:t>
            </w:r>
          </w:p>
        </w:tc>
        <w:tc>
          <w:tcPr>
            <w:tcW w:w="1134" w:type="dxa"/>
            <w:tcBorders>
              <w:top w:val="nil"/>
              <w:left w:val="nil"/>
              <w:bottom w:val="single" w:sz="4" w:space="0" w:color="auto"/>
              <w:right w:val="single" w:sz="4" w:space="0" w:color="auto"/>
            </w:tcBorders>
            <w:shd w:val="clear" w:color="000000" w:fill="FFFFFF"/>
            <w:vAlign w:val="center"/>
            <w:hideMark/>
          </w:tcPr>
          <w:p w14:paraId="5E67FBD0" w14:textId="77777777" w:rsidR="00EF126C" w:rsidRPr="00855D1E" w:rsidRDefault="00EF126C" w:rsidP="000B20B5">
            <w:pPr>
              <w:pStyle w:val="Tablenumbers"/>
            </w:pPr>
            <w:r w:rsidRPr="00855D1E">
              <w:t>$2.5</w:t>
            </w:r>
          </w:p>
        </w:tc>
        <w:tc>
          <w:tcPr>
            <w:tcW w:w="1074" w:type="dxa"/>
            <w:tcBorders>
              <w:top w:val="nil"/>
              <w:left w:val="nil"/>
              <w:bottom w:val="single" w:sz="4" w:space="0" w:color="auto"/>
              <w:right w:val="single" w:sz="4" w:space="0" w:color="auto"/>
            </w:tcBorders>
            <w:shd w:val="clear" w:color="000000" w:fill="FFFFFF"/>
            <w:vAlign w:val="center"/>
            <w:hideMark/>
          </w:tcPr>
          <w:p w14:paraId="5634500D"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2FEFD55F"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2</w:t>
            </w:r>
          </w:p>
        </w:tc>
        <w:tc>
          <w:tcPr>
            <w:tcW w:w="1308" w:type="dxa"/>
            <w:tcBorders>
              <w:top w:val="nil"/>
              <w:left w:val="nil"/>
              <w:bottom w:val="single" w:sz="4" w:space="0" w:color="auto"/>
              <w:right w:val="single" w:sz="4" w:space="0" w:color="auto"/>
            </w:tcBorders>
            <w:shd w:val="clear" w:color="000000" w:fill="FFFFFF"/>
            <w:vAlign w:val="center"/>
            <w:hideMark/>
          </w:tcPr>
          <w:p w14:paraId="1ED95E67"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14075470" w14:textId="7DCA7F7B" w:rsidR="00EF126C" w:rsidRPr="00855D1E" w:rsidRDefault="00C757FF" w:rsidP="000B20B5">
            <w:pPr>
              <w:pStyle w:val="TableText"/>
            </w:pPr>
            <w:r>
              <w:t>RFT</w:t>
            </w:r>
          </w:p>
        </w:tc>
        <w:tc>
          <w:tcPr>
            <w:tcW w:w="808" w:type="dxa"/>
            <w:tcBorders>
              <w:top w:val="nil"/>
              <w:left w:val="nil"/>
              <w:bottom w:val="single" w:sz="4" w:space="0" w:color="auto"/>
              <w:right w:val="single" w:sz="4" w:space="0" w:color="auto"/>
            </w:tcBorders>
            <w:shd w:val="clear" w:color="000000" w:fill="FFFFFF"/>
            <w:vAlign w:val="center"/>
            <w:hideMark/>
          </w:tcPr>
          <w:p w14:paraId="783EF6F2"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22948CD7" w14:textId="77777777" w:rsidR="00EF126C" w:rsidRPr="00855D1E" w:rsidRDefault="00EF126C" w:rsidP="000B20B5">
            <w:pPr>
              <w:pStyle w:val="Tablenumbers"/>
            </w:pPr>
            <w:r w:rsidRPr="00855D1E">
              <w:t>29</w:t>
            </w:r>
          </w:p>
        </w:tc>
      </w:tr>
      <w:tr w:rsidR="00EF126C" w:rsidRPr="00855D1E" w14:paraId="19A96E93" w14:textId="77777777" w:rsidTr="00633FF6">
        <w:trPr>
          <w:trHeight w:val="300"/>
        </w:trPr>
        <w:tc>
          <w:tcPr>
            <w:tcW w:w="1188" w:type="dxa"/>
            <w:vMerge/>
            <w:tcBorders>
              <w:left w:val="single" w:sz="4" w:space="0" w:color="auto"/>
              <w:right w:val="single" w:sz="4" w:space="0" w:color="auto"/>
            </w:tcBorders>
            <w:shd w:val="clear" w:color="000000" w:fill="FFFFFF"/>
            <w:noWrap/>
            <w:vAlign w:val="bottom"/>
            <w:hideMark/>
          </w:tcPr>
          <w:p w14:paraId="6C7F6359" w14:textId="7F93E177"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E13467D" w14:textId="77777777" w:rsidR="00EF126C" w:rsidRPr="00855D1E" w:rsidRDefault="00EF126C" w:rsidP="000B20B5">
            <w:pPr>
              <w:pStyle w:val="TableText"/>
            </w:pPr>
            <w:r w:rsidRPr="00855D1E">
              <w:t>Interim supply of office shirts</w:t>
            </w:r>
          </w:p>
        </w:tc>
        <w:tc>
          <w:tcPr>
            <w:tcW w:w="1134" w:type="dxa"/>
            <w:tcBorders>
              <w:top w:val="nil"/>
              <w:left w:val="nil"/>
              <w:bottom w:val="single" w:sz="4" w:space="0" w:color="auto"/>
              <w:right w:val="single" w:sz="4" w:space="0" w:color="auto"/>
            </w:tcBorders>
            <w:shd w:val="clear" w:color="000000" w:fill="FFFFFF"/>
            <w:vAlign w:val="center"/>
            <w:hideMark/>
          </w:tcPr>
          <w:p w14:paraId="74841EAC" w14:textId="77777777" w:rsidR="00EF126C" w:rsidRPr="00855D1E" w:rsidRDefault="00EF126C" w:rsidP="000B20B5">
            <w:pPr>
              <w:pStyle w:val="Tablenumbers"/>
            </w:pPr>
            <w:r w:rsidRPr="00855D1E">
              <w:t>$3.3</w:t>
            </w:r>
          </w:p>
        </w:tc>
        <w:tc>
          <w:tcPr>
            <w:tcW w:w="1074" w:type="dxa"/>
            <w:tcBorders>
              <w:top w:val="nil"/>
              <w:left w:val="nil"/>
              <w:bottom w:val="single" w:sz="4" w:space="0" w:color="auto"/>
              <w:right w:val="single" w:sz="4" w:space="0" w:color="auto"/>
            </w:tcBorders>
            <w:shd w:val="clear" w:color="000000" w:fill="FFFFFF"/>
            <w:vAlign w:val="center"/>
            <w:hideMark/>
          </w:tcPr>
          <w:p w14:paraId="0B9990AB" w14:textId="77777777" w:rsidR="00EF126C" w:rsidRPr="00855D1E" w:rsidRDefault="00EF126C" w:rsidP="000B20B5">
            <w:pPr>
              <w:pStyle w:val="Tablenumbers"/>
            </w:pPr>
            <w:r w:rsidRPr="00855D1E">
              <w:t>1</w:t>
            </w:r>
          </w:p>
        </w:tc>
        <w:tc>
          <w:tcPr>
            <w:tcW w:w="1074" w:type="dxa"/>
            <w:tcBorders>
              <w:top w:val="nil"/>
              <w:left w:val="nil"/>
              <w:bottom w:val="single" w:sz="4" w:space="0" w:color="auto"/>
              <w:right w:val="single" w:sz="4" w:space="0" w:color="auto"/>
            </w:tcBorders>
            <w:shd w:val="clear" w:color="000000" w:fill="FFFFFF"/>
            <w:vAlign w:val="center"/>
            <w:hideMark/>
          </w:tcPr>
          <w:p w14:paraId="1D4F9E0E"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1</w:t>
            </w:r>
          </w:p>
        </w:tc>
        <w:tc>
          <w:tcPr>
            <w:tcW w:w="1308" w:type="dxa"/>
            <w:tcBorders>
              <w:top w:val="nil"/>
              <w:left w:val="nil"/>
              <w:bottom w:val="single" w:sz="4" w:space="0" w:color="auto"/>
              <w:right w:val="single" w:sz="4" w:space="0" w:color="auto"/>
            </w:tcBorders>
            <w:shd w:val="clear" w:color="000000" w:fill="FFFFFF"/>
            <w:vAlign w:val="center"/>
            <w:hideMark/>
          </w:tcPr>
          <w:p w14:paraId="126F3FD4"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50F05918"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2F96C696"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464D2C4D" w14:textId="77777777" w:rsidR="00EF126C" w:rsidRPr="00855D1E" w:rsidRDefault="00EF126C" w:rsidP="000B20B5">
            <w:pPr>
              <w:pStyle w:val="Tablenumbers"/>
            </w:pPr>
            <w:r w:rsidRPr="00855D1E">
              <w:t>1</w:t>
            </w:r>
          </w:p>
        </w:tc>
      </w:tr>
      <w:tr w:rsidR="00EF126C" w:rsidRPr="00855D1E" w14:paraId="18D2F250" w14:textId="77777777" w:rsidTr="00633FF6">
        <w:trPr>
          <w:trHeight w:val="300"/>
        </w:trPr>
        <w:tc>
          <w:tcPr>
            <w:tcW w:w="1188" w:type="dxa"/>
            <w:vMerge/>
            <w:tcBorders>
              <w:left w:val="single" w:sz="4" w:space="0" w:color="auto"/>
              <w:right w:val="single" w:sz="4" w:space="0" w:color="auto"/>
            </w:tcBorders>
            <w:shd w:val="clear" w:color="000000" w:fill="FFFFFF"/>
            <w:noWrap/>
            <w:vAlign w:val="bottom"/>
            <w:hideMark/>
          </w:tcPr>
          <w:p w14:paraId="1403C6C3" w14:textId="55D81963"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FECD3A5" w14:textId="77777777" w:rsidR="00EF126C" w:rsidRPr="00855D1E" w:rsidRDefault="00EF126C" w:rsidP="000B20B5">
            <w:pPr>
              <w:pStyle w:val="TableText"/>
            </w:pPr>
            <w:r w:rsidRPr="00855D1E">
              <w:t>7TS holsters and accessories</w:t>
            </w:r>
          </w:p>
        </w:tc>
        <w:tc>
          <w:tcPr>
            <w:tcW w:w="1134" w:type="dxa"/>
            <w:tcBorders>
              <w:top w:val="nil"/>
              <w:left w:val="nil"/>
              <w:bottom w:val="single" w:sz="4" w:space="0" w:color="auto"/>
              <w:right w:val="single" w:sz="4" w:space="0" w:color="auto"/>
            </w:tcBorders>
            <w:shd w:val="clear" w:color="000000" w:fill="FFFFFF"/>
            <w:vAlign w:val="center"/>
            <w:hideMark/>
          </w:tcPr>
          <w:p w14:paraId="6B80529B" w14:textId="77777777" w:rsidR="00EF126C" w:rsidRPr="00855D1E" w:rsidRDefault="00EF126C" w:rsidP="000B20B5">
            <w:pPr>
              <w:pStyle w:val="Tablenumbers"/>
            </w:pPr>
            <w:r w:rsidRPr="00855D1E">
              <w:t>$4.2</w:t>
            </w:r>
          </w:p>
        </w:tc>
        <w:tc>
          <w:tcPr>
            <w:tcW w:w="1074" w:type="dxa"/>
            <w:tcBorders>
              <w:top w:val="nil"/>
              <w:left w:val="nil"/>
              <w:bottom w:val="single" w:sz="4" w:space="0" w:color="auto"/>
              <w:right w:val="single" w:sz="4" w:space="0" w:color="auto"/>
            </w:tcBorders>
            <w:shd w:val="clear" w:color="000000" w:fill="FFFFFF"/>
            <w:vAlign w:val="center"/>
            <w:hideMark/>
          </w:tcPr>
          <w:p w14:paraId="34EDF347" w14:textId="77777777" w:rsidR="00EF126C" w:rsidRPr="00855D1E" w:rsidRDefault="00EF126C" w:rsidP="000B20B5">
            <w:pPr>
              <w:pStyle w:val="Tablenumbers"/>
            </w:pPr>
            <w:r w:rsidRPr="00855D1E">
              <w:t>5</w:t>
            </w:r>
          </w:p>
        </w:tc>
        <w:tc>
          <w:tcPr>
            <w:tcW w:w="1074" w:type="dxa"/>
            <w:tcBorders>
              <w:top w:val="nil"/>
              <w:left w:val="nil"/>
              <w:bottom w:val="single" w:sz="4" w:space="0" w:color="auto"/>
              <w:right w:val="single" w:sz="4" w:space="0" w:color="auto"/>
            </w:tcBorders>
            <w:shd w:val="clear" w:color="000000" w:fill="FFFFFF"/>
            <w:vAlign w:val="center"/>
            <w:hideMark/>
          </w:tcPr>
          <w:p w14:paraId="279AC515"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77878BBF" w14:textId="77777777" w:rsidR="00EF126C" w:rsidRPr="00855D1E" w:rsidRDefault="00EF126C" w:rsidP="000B20B5">
            <w:pPr>
              <w:pStyle w:val="TableText"/>
            </w:pPr>
            <w:r w:rsidRPr="00855D1E">
              <w:t>Focused</w:t>
            </w:r>
          </w:p>
        </w:tc>
        <w:tc>
          <w:tcPr>
            <w:tcW w:w="975" w:type="dxa"/>
            <w:tcBorders>
              <w:top w:val="nil"/>
              <w:left w:val="nil"/>
              <w:bottom w:val="single" w:sz="4" w:space="0" w:color="auto"/>
              <w:right w:val="single" w:sz="4" w:space="0" w:color="auto"/>
            </w:tcBorders>
            <w:shd w:val="clear" w:color="000000" w:fill="FFFFFF"/>
            <w:vAlign w:val="center"/>
            <w:hideMark/>
          </w:tcPr>
          <w:p w14:paraId="2609056A"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4321840E"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77D3F10A" w14:textId="77777777" w:rsidR="00EF126C" w:rsidRPr="00855D1E" w:rsidRDefault="00EF126C" w:rsidP="000B20B5">
            <w:pPr>
              <w:pStyle w:val="Tablenumbers"/>
            </w:pPr>
            <w:r w:rsidRPr="00855D1E">
              <w:t>1</w:t>
            </w:r>
          </w:p>
        </w:tc>
      </w:tr>
      <w:tr w:rsidR="00EF126C" w:rsidRPr="00855D1E" w14:paraId="684D68E9" w14:textId="77777777" w:rsidTr="00633FF6">
        <w:trPr>
          <w:trHeight w:val="300"/>
        </w:trPr>
        <w:tc>
          <w:tcPr>
            <w:tcW w:w="1188" w:type="dxa"/>
            <w:vMerge/>
            <w:tcBorders>
              <w:left w:val="single" w:sz="4" w:space="0" w:color="auto"/>
              <w:right w:val="single" w:sz="4" w:space="0" w:color="auto"/>
            </w:tcBorders>
            <w:shd w:val="clear" w:color="000000" w:fill="FFFFFF"/>
            <w:noWrap/>
            <w:vAlign w:val="bottom"/>
            <w:hideMark/>
          </w:tcPr>
          <w:p w14:paraId="6FA6AD45" w14:textId="706E4F3B"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68521179" w14:textId="77777777" w:rsidR="00EF126C" w:rsidRPr="00855D1E" w:rsidRDefault="00EF126C" w:rsidP="000B20B5">
            <w:pPr>
              <w:pStyle w:val="TableText"/>
            </w:pPr>
            <w:r w:rsidRPr="00855D1E">
              <w:t>Internal audit</w:t>
            </w:r>
          </w:p>
        </w:tc>
        <w:tc>
          <w:tcPr>
            <w:tcW w:w="1134" w:type="dxa"/>
            <w:tcBorders>
              <w:top w:val="nil"/>
              <w:left w:val="nil"/>
              <w:bottom w:val="single" w:sz="4" w:space="0" w:color="auto"/>
              <w:right w:val="single" w:sz="4" w:space="0" w:color="auto"/>
            </w:tcBorders>
            <w:shd w:val="clear" w:color="000000" w:fill="FFFFFF"/>
            <w:vAlign w:val="center"/>
            <w:hideMark/>
          </w:tcPr>
          <w:p w14:paraId="2F752DE4" w14:textId="77777777" w:rsidR="00EF126C" w:rsidRPr="00855D1E" w:rsidRDefault="00EF126C" w:rsidP="000B20B5">
            <w:pPr>
              <w:pStyle w:val="Tablenumbers"/>
            </w:pPr>
            <w:r w:rsidRPr="00855D1E">
              <w:t>$5.4</w:t>
            </w:r>
          </w:p>
        </w:tc>
        <w:tc>
          <w:tcPr>
            <w:tcW w:w="1074" w:type="dxa"/>
            <w:tcBorders>
              <w:top w:val="nil"/>
              <w:left w:val="nil"/>
              <w:bottom w:val="single" w:sz="4" w:space="0" w:color="auto"/>
              <w:right w:val="single" w:sz="4" w:space="0" w:color="auto"/>
            </w:tcBorders>
            <w:shd w:val="clear" w:color="000000" w:fill="FFFFFF"/>
            <w:vAlign w:val="center"/>
            <w:hideMark/>
          </w:tcPr>
          <w:p w14:paraId="3D6E62FD" w14:textId="77777777" w:rsidR="00EF126C" w:rsidRPr="00855D1E" w:rsidRDefault="00EF126C" w:rsidP="000B20B5">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4ED8519C"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3</w:t>
            </w:r>
          </w:p>
        </w:tc>
        <w:tc>
          <w:tcPr>
            <w:tcW w:w="1308" w:type="dxa"/>
            <w:tcBorders>
              <w:top w:val="nil"/>
              <w:left w:val="nil"/>
              <w:bottom w:val="single" w:sz="4" w:space="0" w:color="auto"/>
              <w:right w:val="single" w:sz="4" w:space="0" w:color="auto"/>
            </w:tcBorders>
            <w:shd w:val="clear" w:color="000000" w:fill="FFFFFF"/>
            <w:vAlign w:val="center"/>
            <w:hideMark/>
          </w:tcPr>
          <w:p w14:paraId="5BBFB55F"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649DE656"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189A4F81"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72E8CEAB" w14:textId="77777777" w:rsidR="00EF126C" w:rsidRPr="00855D1E" w:rsidRDefault="00EF126C" w:rsidP="000B20B5">
            <w:pPr>
              <w:pStyle w:val="Tablenumbers"/>
            </w:pPr>
            <w:r w:rsidRPr="00855D1E">
              <w:t>1</w:t>
            </w:r>
          </w:p>
        </w:tc>
      </w:tr>
      <w:tr w:rsidR="00EF126C" w:rsidRPr="00855D1E" w14:paraId="14CFF2CB" w14:textId="77777777" w:rsidTr="00633FF6">
        <w:trPr>
          <w:trHeight w:val="241"/>
        </w:trPr>
        <w:tc>
          <w:tcPr>
            <w:tcW w:w="1188" w:type="dxa"/>
            <w:vMerge/>
            <w:tcBorders>
              <w:left w:val="single" w:sz="4" w:space="0" w:color="auto"/>
              <w:right w:val="single" w:sz="4" w:space="0" w:color="auto"/>
            </w:tcBorders>
            <w:shd w:val="clear" w:color="000000" w:fill="FFFFFF"/>
            <w:noWrap/>
            <w:vAlign w:val="bottom"/>
            <w:hideMark/>
          </w:tcPr>
          <w:p w14:paraId="7CBE96F8" w14:textId="559153C3"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36B2B09D" w14:textId="77777777" w:rsidR="00EF126C" w:rsidRPr="00855D1E" w:rsidRDefault="00EF126C" w:rsidP="000B20B5">
            <w:pPr>
              <w:pStyle w:val="TableText"/>
            </w:pPr>
            <w:r w:rsidRPr="00855D1E">
              <w:t>Operational, training and tactical ammunition</w:t>
            </w:r>
          </w:p>
        </w:tc>
        <w:tc>
          <w:tcPr>
            <w:tcW w:w="1134" w:type="dxa"/>
            <w:tcBorders>
              <w:top w:val="nil"/>
              <w:left w:val="nil"/>
              <w:bottom w:val="single" w:sz="4" w:space="0" w:color="auto"/>
              <w:right w:val="single" w:sz="4" w:space="0" w:color="auto"/>
            </w:tcBorders>
            <w:shd w:val="clear" w:color="000000" w:fill="FFFFFF"/>
            <w:vAlign w:val="center"/>
            <w:hideMark/>
          </w:tcPr>
          <w:p w14:paraId="002E4F15" w14:textId="77777777" w:rsidR="00EF126C" w:rsidRPr="00855D1E" w:rsidRDefault="00EF126C" w:rsidP="000B20B5">
            <w:pPr>
              <w:pStyle w:val="Tablenumbers"/>
            </w:pPr>
            <w:r w:rsidRPr="00855D1E">
              <w:t>$9.0</w:t>
            </w:r>
          </w:p>
        </w:tc>
        <w:tc>
          <w:tcPr>
            <w:tcW w:w="1074" w:type="dxa"/>
            <w:tcBorders>
              <w:top w:val="nil"/>
              <w:left w:val="nil"/>
              <w:bottom w:val="single" w:sz="4" w:space="0" w:color="auto"/>
              <w:right w:val="single" w:sz="4" w:space="0" w:color="auto"/>
            </w:tcBorders>
            <w:shd w:val="clear" w:color="000000" w:fill="FFFFFF"/>
            <w:vAlign w:val="center"/>
            <w:hideMark/>
          </w:tcPr>
          <w:p w14:paraId="0B9C7627" w14:textId="77777777" w:rsidR="00EF126C" w:rsidRPr="00855D1E" w:rsidRDefault="00EF126C" w:rsidP="000B20B5">
            <w:pPr>
              <w:pStyle w:val="Tablenumbers"/>
            </w:pPr>
            <w:r w:rsidRPr="00855D1E">
              <w:t>3</w:t>
            </w:r>
          </w:p>
        </w:tc>
        <w:tc>
          <w:tcPr>
            <w:tcW w:w="1074" w:type="dxa"/>
            <w:tcBorders>
              <w:top w:val="nil"/>
              <w:left w:val="nil"/>
              <w:bottom w:val="single" w:sz="4" w:space="0" w:color="auto"/>
              <w:right w:val="single" w:sz="4" w:space="0" w:color="auto"/>
            </w:tcBorders>
            <w:shd w:val="clear" w:color="000000" w:fill="FFFFFF"/>
            <w:vAlign w:val="center"/>
            <w:hideMark/>
          </w:tcPr>
          <w:p w14:paraId="0C6D7F61"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2</w:t>
            </w:r>
          </w:p>
        </w:tc>
        <w:tc>
          <w:tcPr>
            <w:tcW w:w="1308" w:type="dxa"/>
            <w:tcBorders>
              <w:top w:val="nil"/>
              <w:left w:val="nil"/>
              <w:bottom w:val="single" w:sz="4" w:space="0" w:color="auto"/>
              <w:right w:val="single" w:sz="4" w:space="0" w:color="auto"/>
            </w:tcBorders>
            <w:shd w:val="clear" w:color="000000" w:fill="FFFFFF"/>
            <w:vAlign w:val="center"/>
            <w:hideMark/>
          </w:tcPr>
          <w:p w14:paraId="5FBC597C" w14:textId="77777777" w:rsidR="00EF126C" w:rsidRPr="00855D1E" w:rsidRDefault="00EF126C" w:rsidP="000B20B5">
            <w:pPr>
              <w:pStyle w:val="TableText"/>
            </w:pPr>
            <w:r w:rsidRPr="00855D1E">
              <w:t>Leveraged</w:t>
            </w:r>
          </w:p>
        </w:tc>
        <w:tc>
          <w:tcPr>
            <w:tcW w:w="975" w:type="dxa"/>
            <w:tcBorders>
              <w:top w:val="nil"/>
              <w:left w:val="nil"/>
              <w:bottom w:val="single" w:sz="4" w:space="0" w:color="auto"/>
              <w:right w:val="single" w:sz="4" w:space="0" w:color="auto"/>
            </w:tcBorders>
            <w:shd w:val="clear" w:color="000000" w:fill="FFFFFF"/>
            <w:vAlign w:val="center"/>
            <w:hideMark/>
          </w:tcPr>
          <w:p w14:paraId="57C1CFE7"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4151AC68"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754FE34D" w14:textId="77777777" w:rsidR="00EF126C" w:rsidRPr="00855D1E" w:rsidRDefault="00EF126C" w:rsidP="000B20B5">
            <w:pPr>
              <w:pStyle w:val="Tablenumbers"/>
            </w:pPr>
            <w:r w:rsidRPr="00855D1E">
              <w:t>1</w:t>
            </w:r>
          </w:p>
        </w:tc>
      </w:tr>
      <w:tr w:rsidR="00EF126C" w:rsidRPr="00855D1E" w14:paraId="72228896" w14:textId="77777777" w:rsidTr="00633FF6">
        <w:trPr>
          <w:trHeight w:val="300"/>
        </w:trPr>
        <w:tc>
          <w:tcPr>
            <w:tcW w:w="1188" w:type="dxa"/>
            <w:vMerge/>
            <w:tcBorders>
              <w:left w:val="single" w:sz="4" w:space="0" w:color="auto"/>
              <w:right w:val="single" w:sz="4" w:space="0" w:color="auto"/>
            </w:tcBorders>
            <w:shd w:val="clear" w:color="000000" w:fill="FFFFFF"/>
            <w:noWrap/>
            <w:vAlign w:val="bottom"/>
            <w:hideMark/>
          </w:tcPr>
          <w:p w14:paraId="08A205EE" w14:textId="10D846B0"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4ACA2712" w14:textId="77777777" w:rsidR="00EF126C" w:rsidRPr="00855D1E" w:rsidRDefault="00EF126C" w:rsidP="000B20B5">
            <w:pPr>
              <w:pStyle w:val="TableText"/>
            </w:pPr>
            <w:r w:rsidRPr="00855D1E">
              <w:t>Office furniture panel</w:t>
            </w:r>
          </w:p>
        </w:tc>
        <w:tc>
          <w:tcPr>
            <w:tcW w:w="1134" w:type="dxa"/>
            <w:tcBorders>
              <w:top w:val="nil"/>
              <w:left w:val="nil"/>
              <w:bottom w:val="single" w:sz="4" w:space="0" w:color="auto"/>
              <w:right w:val="single" w:sz="4" w:space="0" w:color="auto"/>
            </w:tcBorders>
            <w:shd w:val="clear" w:color="000000" w:fill="FFFFFF"/>
            <w:vAlign w:val="center"/>
            <w:hideMark/>
          </w:tcPr>
          <w:p w14:paraId="4849AC70" w14:textId="77777777" w:rsidR="00EF126C" w:rsidRPr="00855D1E" w:rsidRDefault="00EF126C" w:rsidP="000B20B5">
            <w:pPr>
              <w:pStyle w:val="Tablenumbers"/>
            </w:pPr>
            <w:r w:rsidRPr="00855D1E">
              <w:t>$9.5</w:t>
            </w:r>
          </w:p>
        </w:tc>
        <w:tc>
          <w:tcPr>
            <w:tcW w:w="1074" w:type="dxa"/>
            <w:tcBorders>
              <w:top w:val="nil"/>
              <w:left w:val="nil"/>
              <w:bottom w:val="single" w:sz="4" w:space="0" w:color="auto"/>
              <w:right w:val="single" w:sz="4" w:space="0" w:color="auto"/>
            </w:tcBorders>
            <w:shd w:val="clear" w:color="000000" w:fill="FFFFFF"/>
            <w:vAlign w:val="center"/>
            <w:hideMark/>
          </w:tcPr>
          <w:p w14:paraId="4D6928CB" w14:textId="77777777" w:rsidR="00EF126C" w:rsidRPr="00855D1E" w:rsidRDefault="00EF126C" w:rsidP="000B20B5">
            <w:pPr>
              <w:pStyle w:val="Tablenumbers"/>
            </w:pPr>
            <w:r w:rsidRPr="00855D1E">
              <w:t>2</w:t>
            </w:r>
          </w:p>
        </w:tc>
        <w:tc>
          <w:tcPr>
            <w:tcW w:w="1074" w:type="dxa"/>
            <w:tcBorders>
              <w:top w:val="nil"/>
              <w:left w:val="nil"/>
              <w:bottom w:val="single" w:sz="4" w:space="0" w:color="auto"/>
              <w:right w:val="single" w:sz="4" w:space="0" w:color="auto"/>
            </w:tcBorders>
            <w:shd w:val="clear" w:color="000000" w:fill="FFFFFF"/>
            <w:vAlign w:val="center"/>
            <w:hideMark/>
          </w:tcPr>
          <w:p w14:paraId="564EC0FF" w14:textId="77777777" w:rsidR="00EF126C" w:rsidRPr="00855D1E" w:rsidRDefault="00EF126C" w:rsidP="00633FF6">
            <w:pPr>
              <w:jc w:val="right"/>
              <w:rPr>
                <w:rFonts w:ascii="Calibri" w:hAnsi="Calibri" w:cs="Calibri"/>
                <w:sz w:val="20"/>
                <w:szCs w:val="20"/>
              </w:rPr>
            </w:pPr>
            <w:r w:rsidRPr="00855D1E">
              <w:rPr>
                <w:rFonts w:ascii="Calibri" w:hAnsi="Calibri" w:cs="Calibri"/>
                <w:sz w:val="20"/>
                <w:szCs w:val="20"/>
              </w:rPr>
              <w:t>3</w:t>
            </w:r>
          </w:p>
        </w:tc>
        <w:tc>
          <w:tcPr>
            <w:tcW w:w="1308" w:type="dxa"/>
            <w:tcBorders>
              <w:top w:val="nil"/>
              <w:left w:val="nil"/>
              <w:bottom w:val="single" w:sz="4" w:space="0" w:color="auto"/>
              <w:right w:val="single" w:sz="4" w:space="0" w:color="auto"/>
            </w:tcBorders>
            <w:shd w:val="clear" w:color="000000" w:fill="FFFFFF"/>
            <w:vAlign w:val="center"/>
            <w:hideMark/>
          </w:tcPr>
          <w:p w14:paraId="264EDAE5" w14:textId="77777777" w:rsidR="00EF126C" w:rsidRPr="00855D1E" w:rsidRDefault="00EF126C" w:rsidP="000B20B5">
            <w:pPr>
              <w:pStyle w:val="TableText"/>
            </w:pPr>
            <w:r w:rsidRPr="00855D1E">
              <w:t>Transactional</w:t>
            </w:r>
          </w:p>
        </w:tc>
        <w:tc>
          <w:tcPr>
            <w:tcW w:w="975" w:type="dxa"/>
            <w:tcBorders>
              <w:top w:val="nil"/>
              <w:left w:val="nil"/>
              <w:bottom w:val="single" w:sz="4" w:space="0" w:color="auto"/>
              <w:right w:val="single" w:sz="4" w:space="0" w:color="auto"/>
            </w:tcBorders>
            <w:shd w:val="clear" w:color="000000" w:fill="FFFFFF"/>
            <w:vAlign w:val="center"/>
            <w:hideMark/>
          </w:tcPr>
          <w:p w14:paraId="3A303804" w14:textId="77777777" w:rsidR="00EF126C" w:rsidRPr="00855D1E" w:rsidRDefault="00EF126C" w:rsidP="000B20B5">
            <w:pPr>
              <w:pStyle w:val="TableText"/>
            </w:pPr>
            <w:r w:rsidRPr="00855D1E">
              <w:t>RFT</w:t>
            </w:r>
          </w:p>
        </w:tc>
        <w:tc>
          <w:tcPr>
            <w:tcW w:w="808" w:type="dxa"/>
            <w:tcBorders>
              <w:top w:val="nil"/>
              <w:left w:val="nil"/>
              <w:bottom w:val="single" w:sz="4" w:space="0" w:color="auto"/>
              <w:right w:val="single" w:sz="4" w:space="0" w:color="auto"/>
            </w:tcBorders>
            <w:shd w:val="clear" w:color="000000" w:fill="FFFFFF"/>
            <w:vAlign w:val="center"/>
            <w:hideMark/>
          </w:tcPr>
          <w:p w14:paraId="66E1CD77"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vAlign w:val="center"/>
            <w:hideMark/>
          </w:tcPr>
          <w:p w14:paraId="7F942A2A" w14:textId="77777777" w:rsidR="00EF126C" w:rsidRPr="00855D1E" w:rsidRDefault="00EF126C" w:rsidP="000B20B5">
            <w:pPr>
              <w:pStyle w:val="Tablenumbers"/>
            </w:pPr>
            <w:r w:rsidRPr="00855D1E">
              <w:t>6</w:t>
            </w:r>
          </w:p>
        </w:tc>
      </w:tr>
      <w:tr w:rsidR="00EF126C" w:rsidRPr="00855D1E" w14:paraId="3D313796" w14:textId="77777777" w:rsidTr="00633FF6">
        <w:trPr>
          <w:trHeight w:val="221"/>
        </w:trPr>
        <w:tc>
          <w:tcPr>
            <w:tcW w:w="1188" w:type="dxa"/>
            <w:vMerge/>
            <w:tcBorders>
              <w:left w:val="single" w:sz="4" w:space="0" w:color="auto"/>
              <w:right w:val="single" w:sz="4" w:space="0" w:color="auto"/>
            </w:tcBorders>
            <w:shd w:val="clear" w:color="000000" w:fill="FFFFFF"/>
            <w:noWrap/>
            <w:vAlign w:val="bottom"/>
            <w:hideMark/>
          </w:tcPr>
          <w:p w14:paraId="31DEE219" w14:textId="43E2712F"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4E949972" w14:textId="1D4A8846" w:rsidR="00EF126C" w:rsidRPr="00855D1E" w:rsidRDefault="00EF126C" w:rsidP="000B20B5">
            <w:pPr>
              <w:pStyle w:val="TableText"/>
            </w:pPr>
            <w:r w:rsidRPr="00855D1E">
              <w:t xml:space="preserve">DNA profiling, equipment and instrument maintenance </w:t>
            </w:r>
            <w:r w:rsidR="00B15BF7">
              <w:t>–</w:t>
            </w:r>
            <w:r w:rsidRPr="00855D1E">
              <w:t xml:space="preserve"> POR 2</w:t>
            </w:r>
          </w:p>
        </w:tc>
        <w:tc>
          <w:tcPr>
            <w:tcW w:w="1134" w:type="dxa"/>
            <w:tcBorders>
              <w:top w:val="nil"/>
              <w:left w:val="nil"/>
              <w:bottom w:val="single" w:sz="4" w:space="0" w:color="auto"/>
              <w:right w:val="single" w:sz="4" w:space="0" w:color="auto"/>
            </w:tcBorders>
            <w:shd w:val="clear" w:color="000000" w:fill="FFFFFF"/>
            <w:vAlign w:val="center"/>
            <w:hideMark/>
          </w:tcPr>
          <w:p w14:paraId="35CF8561" w14:textId="77777777" w:rsidR="00EF126C" w:rsidRPr="00855D1E" w:rsidRDefault="00EF126C" w:rsidP="000B20B5">
            <w:pPr>
              <w:pStyle w:val="Tablenumbers"/>
            </w:pPr>
            <w:r w:rsidRPr="00855D1E">
              <w:t>$11.1</w:t>
            </w:r>
          </w:p>
        </w:tc>
        <w:tc>
          <w:tcPr>
            <w:tcW w:w="1074" w:type="dxa"/>
            <w:tcBorders>
              <w:top w:val="nil"/>
              <w:left w:val="nil"/>
              <w:bottom w:val="single" w:sz="4" w:space="0" w:color="auto"/>
              <w:right w:val="single" w:sz="4" w:space="0" w:color="auto"/>
            </w:tcBorders>
            <w:shd w:val="clear" w:color="000000" w:fill="FFFFFF"/>
            <w:hideMark/>
          </w:tcPr>
          <w:p w14:paraId="753CA158" w14:textId="77777777" w:rsidR="00EF126C" w:rsidRPr="00855D1E" w:rsidRDefault="00EF126C" w:rsidP="000B20B5">
            <w:pPr>
              <w:pStyle w:val="Tablenumbers"/>
            </w:pPr>
            <w:r w:rsidRPr="00855D1E">
              <w:t>5</w:t>
            </w:r>
          </w:p>
        </w:tc>
        <w:tc>
          <w:tcPr>
            <w:tcW w:w="1074" w:type="dxa"/>
            <w:tcBorders>
              <w:top w:val="nil"/>
              <w:left w:val="nil"/>
              <w:bottom w:val="single" w:sz="4" w:space="0" w:color="auto"/>
              <w:right w:val="single" w:sz="4" w:space="0" w:color="auto"/>
            </w:tcBorders>
            <w:shd w:val="clear" w:color="000000" w:fill="FFFFFF"/>
            <w:vAlign w:val="center"/>
            <w:hideMark/>
          </w:tcPr>
          <w:p w14:paraId="32069545"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0</w:t>
            </w:r>
          </w:p>
        </w:tc>
        <w:tc>
          <w:tcPr>
            <w:tcW w:w="1308" w:type="dxa"/>
            <w:tcBorders>
              <w:top w:val="nil"/>
              <w:left w:val="nil"/>
              <w:bottom w:val="single" w:sz="4" w:space="0" w:color="auto"/>
              <w:right w:val="single" w:sz="4" w:space="0" w:color="auto"/>
            </w:tcBorders>
            <w:shd w:val="clear" w:color="000000" w:fill="FFFFFF"/>
            <w:vAlign w:val="center"/>
            <w:hideMark/>
          </w:tcPr>
          <w:p w14:paraId="41994BE9" w14:textId="77777777" w:rsidR="00EF126C" w:rsidRPr="00855D1E" w:rsidRDefault="00EF126C" w:rsidP="000B20B5">
            <w:pPr>
              <w:pStyle w:val="TableText"/>
            </w:pPr>
            <w:r w:rsidRPr="00855D1E">
              <w:t>Leveraged</w:t>
            </w:r>
          </w:p>
        </w:tc>
        <w:tc>
          <w:tcPr>
            <w:tcW w:w="975" w:type="dxa"/>
            <w:tcBorders>
              <w:top w:val="nil"/>
              <w:left w:val="nil"/>
              <w:bottom w:val="single" w:sz="4" w:space="0" w:color="auto"/>
              <w:right w:val="single" w:sz="4" w:space="0" w:color="auto"/>
            </w:tcBorders>
            <w:shd w:val="clear" w:color="000000" w:fill="FFFFFF"/>
            <w:vAlign w:val="center"/>
            <w:hideMark/>
          </w:tcPr>
          <w:p w14:paraId="31020D4D"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36C50CC7"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408804E9" w14:textId="77777777" w:rsidR="00EF126C" w:rsidRPr="00855D1E" w:rsidRDefault="00EF126C" w:rsidP="000B20B5">
            <w:pPr>
              <w:pStyle w:val="Tablenumbers"/>
            </w:pPr>
            <w:r w:rsidRPr="00855D1E">
              <w:t>1</w:t>
            </w:r>
          </w:p>
        </w:tc>
      </w:tr>
      <w:tr w:rsidR="00EF126C" w:rsidRPr="00855D1E" w14:paraId="3FEB14C9" w14:textId="77777777" w:rsidTr="00633FF6">
        <w:trPr>
          <w:trHeight w:val="381"/>
        </w:trPr>
        <w:tc>
          <w:tcPr>
            <w:tcW w:w="1188" w:type="dxa"/>
            <w:vMerge/>
            <w:tcBorders>
              <w:left w:val="single" w:sz="4" w:space="0" w:color="auto"/>
              <w:bottom w:val="single" w:sz="4" w:space="0" w:color="auto"/>
              <w:right w:val="single" w:sz="4" w:space="0" w:color="auto"/>
            </w:tcBorders>
            <w:shd w:val="clear" w:color="000000" w:fill="FFFFFF"/>
            <w:noWrap/>
            <w:vAlign w:val="bottom"/>
            <w:hideMark/>
          </w:tcPr>
          <w:p w14:paraId="242E4046" w14:textId="4FC03A8C" w:rsidR="00EF126C" w:rsidRPr="00855D1E" w:rsidRDefault="00EF126C" w:rsidP="000B20B5">
            <w:pPr>
              <w:pStyle w:val="TableText"/>
            </w:pPr>
          </w:p>
        </w:tc>
        <w:tc>
          <w:tcPr>
            <w:tcW w:w="5474" w:type="dxa"/>
            <w:tcBorders>
              <w:top w:val="nil"/>
              <w:left w:val="nil"/>
              <w:bottom w:val="single" w:sz="4" w:space="0" w:color="auto"/>
              <w:right w:val="single" w:sz="4" w:space="0" w:color="auto"/>
            </w:tcBorders>
            <w:shd w:val="clear" w:color="000000" w:fill="FFFFFF"/>
            <w:vAlign w:val="center"/>
            <w:hideMark/>
          </w:tcPr>
          <w:p w14:paraId="1D647B8C" w14:textId="007EB6D1" w:rsidR="00EF126C" w:rsidRPr="00855D1E" w:rsidRDefault="00EF126C" w:rsidP="000B20B5">
            <w:pPr>
              <w:pStyle w:val="TableText"/>
            </w:pPr>
            <w:r w:rsidRPr="00855D1E">
              <w:t>DNA profiling, equipment and instrument maintenance</w:t>
            </w:r>
            <w:r w:rsidR="00B15BF7">
              <w:t xml:space="preserve"> –</w:t>
            </w:r>
            <w:r w:rsidRPr="00855D1E">
              <w:t xml:space="preserve"> POR 1</w:t>
            </w:r>
          </w:p>
        </w:tc>
        <w:tc>
          <w:tcPr>
            <w:tcW w:w="1134" w:type="dxa"/>
            <w:tcBorders>
              <w:top w:val="nil"/>
              <w:left w:val="nil"/>
              <w:bottom w:val="single" w:sz="4" w:space="0" w:color="auto"/>
              <w:right w:val="single" w:sz="4" w:space="0" w:color="auto"/>
            </w:tcBorders>
            <w:shd w:val="clear" w:color="000000" w:fill="FFFFFF"/>
            <w:vAlign w:val="center"/>
            <w:hideMark/>
          </w:tcPr>
          <w:p w14:paraId="32E47397" w14:textId="77777777" w:rsidR="00EF126C" w:rsidRPr="00855D1E" w:rsidRDefault="00EF126C" w:rsidP="000B20B5">
            <w:pPr>
              <w:pStyle w:val="Tablenumbers"/>
            </w:pPr>
            <w:r w:rsidRPr="00855D1E">
              <w:t>$13.3</w:t>
            </w:r>
          </w:p>
        </w:tc>
        <w:tc>
          <w:tcPr>
            <w:tcW w:w="1074" w:type="dxa"/>
            <w:tcBorders>
              <w:top w:val="nil"/>
              <w:left w:val="nil"/>
              <w:bottom w:val="single" w:sz="4" w:space="0" w:color="auto"/>
              <w:right w:val="single" w:sz="4" w:space="0" w:color="auto"/>
            </w:tcBorders>
            <w:shd w:val="clear" w:color="000000" w:fill="FFFFFF"/>
            <w:vAlign w:val="center"/>
            <w:hideMark/>
          </w:tcPr>
          <w:p w14:paraId="01333782" w14:textId="77777777" w:rsidR="00EF126C" w:rsidRPr="00855D1E" w:rsidRDefault="00EF126C" w:rsidP="000B20B5">
            <w:pPr>
              <w:pStyle w:val="Tablenumbers"/>
            </w:pPr>
            <w:r w:rsidRPr="00855D1E">
              <w:t>5</w:t>
            </w:r>
          </w:p>
        </w:tc>
        <w:tc>
          <w:tcPr>
            <w:tcW w:w="1074" w:type="dxa"/>
            <w:tcBorders>
              <w:top w:val="nil"/>
              <w:left w:val="nil"/>
              <w:bottom w:val="single" w:sz="4" w:space="0" w:color="auto"/>
              <w:right w:val="single" w:sz="4" w:space="0" w:color="auto"/>
            </w:tcBorders>
            <w:shd w:val="clear" w:color="000000" w:fill="FFFFFF"/>
            <w:vAlign w:val="center"/>
            <w:hideMark/>
          </w:tcPr>
          <w:p w14:paraId="24E52CED" w14:textId="77777777" w:rsidR="00EF126C" w:rsidRPr="00855D1E" w:rsidRDefault="00EF126C" w:rsidP="00633FF6">
            <w:pPr>
              <w:jc w:val="right"/>
              <w:rPr>
                <w:rFonts w:ascii="Calibri" w:hAnsi="Calibri" w:cs="Calibri"/>
                <w:sz w:val="18"/>
                <w:szCs w:val="18"/>
              </w:rPr>
            </w:pPr>
            <w:r w:rsidRPr="00855D1E">
              <w:rPr>
                <w:rFonts w:ascii="Calibri" w:hAnsi="Calibri" w:cs="Calibri"/>
                <w:sz w:val="18"/>
                <w:szCs w:val="18"/>
              </w:rPr>
              <w:t>0</w:t>
            </w:r>
          </w:p>
        </w:tc>
        <w:tc>
          <w:tcPr>
            <w:tcW w:w="1308" w:type="dxa"/>
            <w:tcBorders>
              <w:top w:val="nil"/>
              <w:left w:val="nil"/>
              <w:bottom w:val="single" w:sz="4" w:space="0" w:color="auto"/>
              <w:right w:val="single" w:sz="4" w:space="0" w:color="auto"/>
            </w:tcBorders>
            <w:shd w:val="clear" w:color="000000" w:fill="FFFFFF"/>
            <w:vAlign w:val="center"/>
            <w:hideMark/>
          </w:tcPr>
          <w:p w14:paraId="06F94A82" w14:textId="77777777" w:rsidR="00EF126C" w:rsidRPr="00855D1E" w:rsidRDefault="00EF126C" w:rsidP="000B20B5">
            <w:pPr>
              <w:pStyle w:val="TableText"/>
            </w:pPr>
            <w:r w:rsidRPr="00855D1E">
              <w:t>Leveraged</w:t>
            </w:r>
          </w:p>
        </w:tc>
        <w:tc>
          <w:tcPr>
            <w:tcW w:w="975" w:type="dxa"/>
            <w:tcBorders>
              <w:top w:val="nil"/>
              <w:left w:val="nil"/>
              <w:bottom w:val="single" w:sz="4" w:space="0" w:color="auto"/>
              <w:right w:val="single" w:sz="4" w:space="0" w:color="auto"/>
            </w:tcBorders>
            <w:shd w:val="clear" w:color="000000" w:fill="FFFFFF"/>
            <w:vAlign w:val="center"/>
            <w:hideMark/>
          </w:tcPr>
          <w:p w14:paraId="24AC0401" w14:textId="77777777" w:rsidR="00EF126C" w:rsidRPr="00855D1E" w:rsidRDefault="00EF126C" w:rsidP="000B20B5">
            <w:pPr>
              <w:pStyle w:val="TableText"/>
            </w:pPr>
            <w:r w:rsidRPr="00855D1E">
              <w:t>RFQ</w:t>
            </w:r>
          </w:p>
        </w:tc>
        <w:tc>
          <w:tcPr>
            <w:tcW w:w="808" w:type="dxa"/>
            <w:tcBorders>
              <w:top w:val="nil"/>
              <w:left w:val="nil"/>
              <w:bottom w:val="single" w:sz="4" w:space="0" w:color="auto"/>
              <w:right w:val="single" w:sz="4" w:space="0" w:color="auto"/>
            </w:tcBorders>
            <w:shd w:val="clear" w:color="000000" w:fill="FFFFFF"/>
            <w:vAlign w:val="center"/>
            <w:hideMark/>
          </w:tcPr>
          <w:p w14:paraId="762260FB" w14:textId="77777777" w:rsidR="00EF126C" w:rsidRPr="00855D1E" w:rsidRDefault="00EF126C" w:rsidP="000B20B5">
            <w:pPr>
              <w:pStyle w:val="TableText"/>
            </w:pPr>
            <w:r w:rsidRPr="00855D1E">
              <w:t>Closed</w:t>
            </w:r>
          </w:p>
        </w:tc>
        <w:tc>
          <w:tcPr>
            <w:tcW w:w="893" w:type="dxa"/>
            <w:tcBorders>
              <w:top w:val="nil"/>
              <w:left w:val="nil"/>
              <w:bottom w:val="single" w:sz="4" w:space="0" w:color="auto"/>
              <w:right w:val="single" w:sz="4" w:space="0" w:color="auto"/>
            </w:tcBorders>
            <w:shd w:val="clear" w:color="000000" w:fill="FFFFFF"/>
            <w:hideMark/>
          </w:tcPr>
          <w:p w14:paraId="1FEF71BD" w14:textId="77777777" w:rsidR="00EF126C" w:rsidRPr="00855D1E" w:rsidRDefault="00EF126C" w:rsidP="000B20B5">
            <w:pPr>
              <w:pStyle w:val="Tablenumbers"/>
            </w:pPr>
            <w:r w:rsidRPr="00855D1E">
              <w:t>4</w:t>
            </w:r>
          </w:p>
        </w:tc>
      </w:tr>
      <w:tr w:rsidR="00855D1E" w:rsidRPr="00855D1E" w14:paraId="4A0C4B11" w14:textId="77777777" w:rsidTr="00633FF6">
        <w:trPr>
          <w:trHeight w:val="300"/>
        </w:trPr>
        <w:tc>
          <w:tcPr>
            <w:tcW w:w="1188" w:type="dxa"/>
            <w:tcBorders>
              <w:top w:val="nil"/>
              <w:left w:val="single" w:sz="4" w:space="0" w:color="auto"/>
              <w:bottom w:val="single" w:sz="4" w:space="0" w:color="auto"/>
              <w:right w:val="single" w:sz="4" w:space="0" w:color="auto"/>
            </w:tcBorders>
            <w:shd w:val="clear" w:color="000000" w:fill="FFFFFF"/>
            <w:noWrap/>
            <w:vAlign w:val="bottom"/>
            <w:hideMark/>
          </w:tcPr>
          <w:p w14:paraId="3889348B" w14:textId="1247C00C" w:rsidR="00855D1E" w:rsidRPr="00855D1E" w:rsidRDefault="00855D1E" w:rsidP="00855D1E">
            <w:pPr>
              <w:rPr>
                <w:rFonts w:ascii="Calibri" w:hAnsi="Calibri" w:cs="Calibri"/>
                <w:b/>
                <w:bCs/>
                <w:color w:val="000000"/>
                <w:sz w:val="20"/>
                <w:szCs w:val="20"/>
              </w:rPr>
            </w:pPr>
            <w:r w:rsidRPr="00855D1E">
              <w:rPr>
                <w:rFonts w:ascii="Calibri" w:hAnsi="Calibri" w:cs="Calibri"/>
                <w:b/>
                <w:bCs/>
                <w:color w:val="000000"/>
                <w:sz w:val="20"/>
                <w:szCs w:val="20"/>
              </w:rPr>
              <w:t> Total</w:t>
            </w:r>
          </w:p>
        </w:tc>
        <w:tc>
          <w:tcPr>
            <w:tcW w:w="5474" w:type="dxa"/>
            <w:tcBorders>
              <w:top w:val="nil"/>
              <w:left w:val="nil"/>
              <w:bottom w:val="single" w:sz="4" w:space="0" w:color="auto"/>
              <w:right w:val="single" w:sz="4" w:space="0" w:color="auto"/>
            </w:tcBorders>
            <w:shd w:val="clear" w:color="000000" w:fill="FFFFFF"/>
            <w:noWrap/>
            <w:vAlign w:val="center"/>
            <w:hideMark/>
          </w:tcPr>
          <w:p w14:paraId="02B183F4" w14:textId="77777777" w:rsidR="00855D1E" w:rsidRPr="00855D1E" w:rsidRDefault="00855D1E" w:rsidP="00B15BF7">
            <w:pPr>
              <w:rPr>
                <w:rFonts w:ascii="Calibri" w:hAnsi="Calibri" w:cs="Calibri"/>
                <w:b/>
                <w:bCs/>
                <w:color w:val="000000"/>
                <w:sz w:val="22"/>
                <w:szCs w:val="22"/>
              </w:rPr>
            </w:pPr>
            <w:r w:rsidRPr="00855D1E">
              <w:rPr>
                <w:rFonts w:ascii="Calibri" w:hAnsi="Calibri" w:cs="Calibri"/>
                <w:b/>
                <w:bCs/>
                <w:color w:val="000000"/>
                <w:sz w:val="22"/>
                <w:szCs w:val="22"/>
              </w:rPr>
              <w:t> </w:t>
            </w:r>
          </w:p>
        </w:tc>
        <w:tc>
          <w:tcPr>
            <w:tcW w:w="1134" w:type="dxa"/>
            <w:tcBorders>
              <w:top w:val="nil"/>
              <w:left w:val="nil"/>
              <w:bottom w:val="single" w:sz="4" w:space="0" w:color="auto"/>
              <w:right w:val="single" w:sz="4" w:space="0" w:color="auto"/>
            </w:tcBorders>
            <w:shd w:val="clear" w:color="000000" w:fill="FFFFFF"/>
            <w:vAlign w:val="center"/>
            <w:hideMark/>
          </w:tcPr>
          <w:p w14:paraId="6F1FD7BE" w14:textId="77777777" w:rsidR="00855D1E" w:rsidRPr="00855D1E" w:rsidRDefault="00855D1E" w:rsidP="00855D1E">
            <w:pPr>
              <w:jc w:val="right"/>
              <w:rPr>
                <w:rFonts w:ascii="Calibri" w:hAnsi="Calibri" w:cs="Calibri"/>
                <w:b/>
                <w:bCs/>
                <w:sz w:val="20"/>
                <w:szCs w:val="20"/>
              </w:rPr>
            </w:pPr>
            <w:r w:rsidRPr="00855D1E">
              <w:rPr>
                <w:rFonts w:ascii="Calibri" w:hAnsi="Calibri" w:cs="Calibri"/>
                <w:b/>
                <w:bCs/>
                <w:sz w:val="20"/>
                <w:szCs w:val="20"/>
              </w:rPr>
              <w:t>$98.8</w:t>
            </w:r>
          </w:p>
        </w:tc>
        <w:tc>
          <w:tcPr>
            <w:tcW w:w="1074" w:type="dxa"/>
            <w:tcBorders>
              <w:top w:val="nil"/>
              <w:left w:val="nil"/>
              <w:bottom w:val="single" w:sz="4" w:space="0" w:color="auto"/>
              <w:right w:val="single" w:sz="4" w:space="0" w:color="auto"/>
            </w:tcBorders>
            <w:shd w:val="clear" w:color="000000" w:fill="FFFFFF"/>
            <w:noWrap/>
            <w:vAlign w:val="bottom"/>
            <w:hideMark/>
          </w:tcPr>
          <w:p w14:paraId="33A48565" w14:textId="77777777" w:rsidR="00855D1E" w:rsidRPr="00855D1E" w:rsidRDefault="00855D1E" w:rsidP="00855D1E">
            <w:pPr>
              <w:rPr>
                <w:rFonts w:ascii="Calibri" w:hAnsi="Calibri" w:cs="Calibri"/>
                <w:b/>
                <w:bCs/>
                <w:color w:val="000000"/>
                <w:sz w:val="22"/>
                <w:szCs w:val="22"/>
              </w:rPr>
            </w:pPr>
            <w:r w:rsidRPr="00855D1E">
              <w:rPr>
                <w:rFonts w:ascii="Calibri" w:hAnsi="Calibri" w:cs="Calibri"/>
                <w:b/>
                <w:bCs/>
                <w:color w:val="000000"/>
                <w:sz w:val="22"/>
                <w:szCs w:val="22"/>
              </w:rPr>
              <w:t> </w:t>
            </w:r>
          </w:p>
        </w:tc>
        <w:tc>
          <w:tcPr>
            <w:tcW w:w="1074" w:type="dxa"/>
            <w:tcBorders>
              <w:top w:val="nil"/>
              <w:left w:val="nil"/>
              <w:bottom w:val="single" w:sz="4" w:space="0" w:color="auto"/>
              <w:right w:val="single" w:sz="4" w:space="0" w:color="auto"/>
            </w:tcBorders>
            <w:shd w:val="clear" w:color="000000" w:fill="FFFFFF"/>
            <w:noWrap/>
            <w:vAlign w:val="bottom"/>
            <w:hideMark/>
          </w:tcPr>
          <w:p w14:paraId="499E375A" w14:textId="77777777" w:rsidR="00855D1E" w:rsidRPr="00855D1E" w:rsidRDefault="00855D1E" w:rsidP="00855D1E">
            <w:pPr>
              <w:rPr>
                <w:rFonts w:ascii="Calibri" w:hAnsi="Calibri" w:cs="Calibri"/>
                <w:b/>
                <w:bCs/>
                <w:color w:val="000000"/>
                <w:sz w:val="22"/>
                <w:szCs w:val="22"/>
              </w:rPr>
            </w:pPr>
            <w:r w:rsidRPr="00855D1E">
              <w:rPr>
                <w:rFonts w:ascii="Calibri" w:hAnsi="Calibri" w:cs="Calibri"/>
                <w:b/>
                <w:bCs/>
                <w:color w:val="000000"/>
                <w:sz w:val="22"/>
                <w:szCs w:val="22"/>
              </w:rPr>
              <w:t> </w:t>
            </w:r>
          </w:p>
        </w:tc>
        <w:tc>
          <w:tcPr>
            <w:tcW w:w="1308" w:type="dxa"/>
            <w:tcBorders>
              <w:top w:val="nil"/>
              <w:left w:val="nil"/>
              <w:bottom w:val="single" w:sz="4" w:space="0" w:color="auto"/>
              <w:right w:val="single" w:sz="4" w:space="0" w:color="auto"/>
            </w:tcBorders>
            <w:shd w:val="clear" w:color="000000" w:fill="FFFFFF"/>
            <w:noWrap/>
            <w:vAlign w:val="center"/>
            <w:hideMark/>
          </w:tcPr>
          <w:p w14:paraId="55BE525C" w14:textId="77777777" w:rsidR="00855D1E" w:rsidRPr="00855D1E" w:rsidRDefault="00855D1E" w:rsidP="00B15BF7">
            <w:pPr>
              <w:rPr>
                <w:rFonts w:ascii="Calibri" w:hAnsi="Calibri" w:cs="Calibri"/>
                <w:b/>
                <w:bCs/>
                <w:color w:val="000000"/>
                <w:sz w:val="22"/>
                <w:szCs w:val="22"/>
              </w:rPr>
            </w:pPr>
            <w:r w:rsidRPr="00855D1E">
              <w:rPr>
                <w:rFonts w:ascii="Calibri" w:hAnsi="Calibri" w:cs="Calibri"/>
                <w:b/>
                <w:bCs/>
                <w:color w:val="000000"/>
                <w:sz w:val="22"/>
                <w:szCs w:val="22"/>
              </w:rPr>
              <w:t> </w:t>
            </w:r>
          </w:p>
        </w:tc>
        <w:tc>
          <w:tcPr>
            <w:tcW w:w="975" w:type="dxa"/>
            <w:tcBorders>
              <w:top w:val="nil"/>
              <w:left w:val="nil"/>
              <w:bottom w:val="single" w:sz="4" w:space="0" w:color="auto"/>
              <w:right w:val="single" w:sz="4" w:space="0" w:color="auto"/>
            </w:tcBorders>
            <w:shd w:val="clear" w:color="000000" w:fill="FFFFFF"/>
            <w:noWrap/>
            <w:vAlign w:val="center"/>
            <w:hideMark/>
          </w:tcPr>
          <w:p w14:paraId="016A6506" w14:textId="77777777" w:rsidR="00855D1E" w:rsidRPr="00855D1E" w:rsidRDefault="00855D1E" w:rsidP="00B15BF7">
            <w:pPr>
              <w:rPr>
                <w:rFonts w:ascii="Calibri" w:hAnsi="Calibri" w:cs="Calibri"/>
                <w:b/>
                <w:bCs/>
                <w:color w:val="000000"/>
                <w:sz w:val="22"/>
                <w:szCs w:val="22"/>
              </w:rPr>
            </w:pPr>
            <w:r w:rsidRPr="00855D1E">
              <w:rPr>
                <w:rFonts w:ascii="Calibri" w:hAnsi="Calibri" w:cs="Calibri"/>
                <w:b/>
                <w:bCs/>
                <w:color w:val="000000"/>
                <w:sz w:val="22"/>
                <w:szCs w:val="22"/>
              </w:rPr>
              <w:t> </w:t>
            </w:r>
          </w:p>
        </w:tc>
        <w:tc>
          <w:tcPr>
            <w:tcW w:w="808" w:type="dxa"/>
            <w:tcBorders>
              <w:top w:val="nil"/>
              <w:left w:val="nil"/>
              <w:bottom w:val="single" w:sz="4" w:space="0" w:color="auto"/>
              <w:right w:val="single" w:sz="4" w:space="0" w:color="auto"/>
            </w:tcBorders>
            <w:shd w:val="clear" w:color="000000" w:fill="FFFFFF"/>
            <w:noWrap/>
            <w:vAlign w:val="center"/>
            <w:hideMark/>
          </w:tcPr>
          <w:p w14:paraId="69B2433C" w14:textId="77777777" w:rsidR="00855D1E" w:rsidRPr="00855D1E" w:rsidRDefault="00855D1E" w:rsidP="00B15BF7">
            <w:pPr>
              <w:rPr>
                <w:rFonts w:ascii="Calibri" w:hAnsi="Calibri" w:cs="Calibri"/>
                <w:b/>
                <w:bCs/>
                <w:color w:val="000000"/>
                <w:sz w:val="22"/>
                <w:szCs w:val="22"/>
              </w:rPr>
            </w:pPr>
            <w:r w:rsidRPr="00855D1E">
              <w:rPr>
                <w:rFonts w:ascii="Calibri" w:hAnsi="Calibri" w:cs="Calibri"/>
                <w:b/>
                <w:bCs/>
                <w:color w:val="000000"/>
                <w:sz w:val="22"/>
                <w:szCs w:val="22"/>
              </w:rPr>
              <w:t> </w:t>
            </w:r>
          </w:p>
        </w:tc>
        <w:tc>
          <w:tcPr>
            <w:tcW w:w="893" w:type="dxa"/>
            <w:tcBorders>
              <w:top w:val="nil"/>
              <w:left w:val="nil"/>
              <w:bottom w:val="single" w:sz="4" w:space="0" w:color="auto"/>
              <w:right w:val="single" w:sz="4" w:space="0" w:color="auto"/>
            </w:tcBorders>
            <w:shd w:val="clear" w:color="000000" w:fill="FFFFFF"/>
            <w:noWrap/>
            <w:vAlign w:val="bottom"/>
            <w:hideMark/>
          </w:tcPr>
          <w:p w14:paraId="76CA4D81" w14:textId="77777777" w:rsidR="00855D1E" w:rsidRPr="00855D1E" w:rsidRDefault="00855D1E" w:rsidP="00855D1E">
            <w:pPr>
              <w:rPr>
                <w:rFonts w:ascii="Calibri" w:hAnsi="Calibri" w:cs="Calibri"/>
                <w:b/>
                <w:bCs/>
                <w:color w:val="000000"/>
                <w:sz w:val="22"/>
                <w:szCs w:val="22"/>
              </w:rPr>
            </w:pPr>
            <w:r w:rsidRPr="00855D1E">
              <w:rPr>
                <w:rFonts w:ascii="Calibri" w:hAnsi="Calibri" w:cs="Calibri"/>
                <w:b/>
                <w:bCs/>
                <w:color w:val="000000"/>
                <w:sz w:val="22"/>
                <w:szCs w:val="22"/>
              </w:rPr>
              <w:t> </w:t>
            </w:r>
          </w:p>
        </w:tc>
      </w:tr>
    </w:tbl>
    <w:p w14:paraId="5B1AC185" w14:textId="2C7EE203" w:rsidR="00855D1E" w:rsidRDefault="00855D1E" w:rsidP="00855D1E"/>
    <w:p w14:paraId="5B2CC36F" w14:textId="77777777" w:rsidR="00505378" w:rsidRDefault="00505378" w:rsidP="00505378">
      <w:pPr>
        <w:pStyle w:val="Tablenotes"/>
        <w:sectPr w:rsidR="00505378" w:rsidSect="00160B30">
          <w:pgSz w:w="16840" w:h="11900" w:orient="landscape"/>
          <w:pgMar w:top="1134" w:right="1134" w:bottom="1134" w:left="1134" w:header="708" w:footer="708" w:gutter="0"/>
          <w:cols w:space="708"/>
          <w:docGrid w:linePitch="360"/>
        </w:sectPr>
      </w:pPr>
      <w:bookmarkStart w:id="308" w:name="_Toc366693354"/>
    </w:p>
    <w:p w14:paraId="268BB98A" w14:textId="5CBF6E93" w:rsidR="00B971DE" w:rsidRPr="00CD6245" w:rsidRDefault="00547D3A" w:rsidP="00B60ADC">
      <w:pPr>
        <w:pStyle w:val="Heading1NoNum"/>
      </w:pPr>
      <w:bookmarkStart w:id="309" w:name="_Toc52187753"/>
      <w:bookmarkEnd w:id="308"/>
      <w:r>
        <w:lastRenderedPageBreak/>
        <w:t>Acronyms</w:t>
      </w:r>
      <w:bookmarkEnd w:id="309"/>
    </w:p>
    <w:p w14:paraId="5959A00C" w14:textId="77777777" w:rsidR="009556FC" w:rsidRDefault="009556FC" w:rsidP="00E41631">
      <w:pPr>
        <w:pStyle w:val="Normal1"/>
      </w:pPr>
      <w:r>
        <w:t>AO</w:t>
      </w:r>
      <w:r>
        <w:tab/>
      </w:r>
      <w:r>
        <w:tab/>
        <w:t>Accountable officer</w:t>
      </w:r>
    </w:p>
    <w:p w14:paraId="5E5DE00C" w14:textId="56CBA0C5" w:rsidR="00804CEB" w:rsidRDefault="00804CEB" w:rsidP="00E41631">
      <w:pPr>
        <w:pStyle w:val="Normal1"/>
      </w:pPr>
      <w:r w:rsidRPr="00CD6245">
        <w:t>ASR</w:t>
      </w:r>
      <w:r w:rsidRPr="00CD6245">
        <w:tab/>
      </w:r>
      <w:r w:rsidRPr="00CD6245">
        <w:tab/>
        <w:t>Annual supply report</w:t>
      </w:r>
    </w:p>
    <w:p w14:paraId="22B79B1F" w14:textId="77777777" w:rsidR="00011CC4" w:rsidRDefault="00011CC4" w:rsidP="00011CC4">
      <w:pPr>
        <w:pStyle w:val="Normal1"/>
      </w:pPr>
      <w:r>
        <w:t>CIPS</w:t>
      </w:r>
      <w:r>
        <w:tab/>
      </w:r>
      <w:r>
        <w:tab/>
        <w:t>Chartered Institute of Purchasing and Supply</w:t>
      </w:r>
    </w:p>
    <w:p w14:paraId="52691795" w14:textId="77777777" w:rsidR="00B971DE" w:rsidRDefault="00B971DE" w:rsidP="00E41631">
      <w:pPr>
        <w:pStyle w:val="Normal1"/>
      </w:pPr>
      <w:r w:rsidRPr="00CD6245">
        <w:t>CPO</w:t>
      </w:r>
      <w:r w:rsidRPr="00CD6245">
        <w:tab/>
      </w:r>
      <w:r w:rsidRPr="00CD6245">
        <w:tab/>
        <w:t>Chief procurement officer</w:t>
      </w:r>
    </w:p>
    <w:p w14:paraId="22BB088E" w14:textId="77777777" w:rsidR="00926274" w:rsidRPr="00CD6245" w:rsidRDefault="00926274" w:rsidP="00E41631">
      <w:pPr>
        <w:pStyle w:val="Normal1"/>
      </w:pPr>
      <w:r w:rsidRPr="00CD6245">
        <w:t>DELWP</w:t>
      </w:r>
      <w:r w:rsidRPr="00CD6245">
        <w:tab/>
      </w:r>
      <w:r w:rsidRPr="00CD6245">
        <w:tab/>
        <w:t>Department of Environment, Land, Water and Planning</w:t>
      </w:r>
    </w:p>
    <w:p w14:paraId="7C43E1A2" w14:textId="77777777" w:rsidR="008F1E38" w:rsidRPr="00CD6245" w:rsidRDefault="008F1E38" w:rsidP="00E41631">
      <w:pPr>
        <w:pStyle w:val="Normal1"/>
      </w:pPr>
      <w:r w:rsidRPr="00CD6245">
        <w:t>DET</w:t>
      </w:r>
      <w:r w:rsidRPr="00CD6245">
        <w:tab/>
      </w:r>
      <w:r w:rsidRPr="00CD6245">
        <w:tab/>
        <w:t>Department of Education and Training</w:t>
      </w:r>
    </w:p>
    <w:p w14:paraId="533410F1" w14:textId="77777777" w:rsidR="00926274" w:rsidRPr="00CD6245" w:rsidRDefault="00926274" w:rsidP="00E41631">
      <w:pPr>
        <w:pStyle w:val="Normal1"/>
      </w:pPr>
      <w:r w:rsidRPr="00CD6245">
        <w:t>DHHS</w:t>
      </w:r>
      <w:r w:rsidRPr="00CD6245">
        <w:tab/>
      </w:r>
      <w:r w:rsidRPr="00CD6245">
        <w:tab/>
        <w:t>Department of Health and Human Services</w:t>
      </w:r>
    </w:p>
    <w:p w14:paraId="0F7AC898" w14:textId="77777777" w:rsidR="006C6D3B" w:rsidRPr="00CD6245" w:rsidRDefault="006C6D3B" w:rsidP="006C6D3B">
      <w:pPr>
        <w:pStyle w:val="Normal1"/>
      </w:pPr>
      <w:r w:rsidRPr="00CD6245">
        <w:t>DJ</w:t>
      </w:r>
      <w:r>
        <w:t>CS</w:t>
      </w:r>
      <w:r w:rsidRPr="00CD6245">
        <w:tab/>
      </w:r>
      <w:r w:rsidRPr="00CD6245">
        <w:tab/>
        <w:t xml:space="preserve">Department of Justice and </w:t>
      </w:r>
      <w:r>
        <w:t>Community Safety</w:t>
      </w:r>
    </w:p>
    <w:p w14:paraId="746E16EE" w14:textId="77777777" w:rsidR="00B2036D" w:rsidRDefault="00B2036D" w:rsidP="00E41631">
      <w:pPr>
        <w:pStyle w:val="Normal1"/>
      </w:pPr>
      <w:r>
        <w:t>DJPR</w:t>
      </w:r>
      <w:r>
        <w:tab/>
      </w:r>
      <w:r>
        <w:tab/>
        <w:t>Department of Jobs, Precincts and Regions</w:t>
      </w:r>
    </w:p>
    <w:p w14:paraId="3E728CA4" w14:textId="77777777" w:rsidR="00926274" w:rsidRDefault="00926274" w:rsidP="00E41631">
      <w:pPr>
        <w:pStyle w:val="Normal1"/>
      </w:pPr>
      <w:r w:rsidRPr="00CD6245">
        <w:t>DPC</w:t>
      </w:r>
      <w:r w:rsidRPr="00CD6245">
        <w:tab/>
      </w:r>
      <w:r w:rsidRPr="00CD6245">
        <w:tab/>
        <w:t>Department of Premier and Cabinet</w:t>
      </w:r>
    </w:p>
    <w:p w14:paraId="4B8A43DF" w14:textId="77777777" w:rsidR="006C6D3B" w:rsidRPr="00CD6245" w:rsidRDefault="006C6D3B" w:rsidP="00E41631">
      <w:pPr>
        <w:pStyle w:val="Normal1"/>
      </w:pPr>
      <w:r>
        <w:t>DoT</w:t>
      </w:r>
      <w:r>
        <w:tab/>
      </w:r>
      <w:r>
        <w:tab/>
        <w:t>Department of Transport</w:t>
      </w:r>
    </w:p>
    <w:p w14:paraId="125AA91E" w14:textId="77777777" w:rsidR="00926274" w:rsidRDefault="00926274" w:rsidP="00E41631">
      <w:pPr>
        <w:pStyle w:val="Normal1"/>
      </w:pPr>
      <w:r w:rsidRPr="00CD6245">
        <w:t>DTF</w:t>
      </w:r>
      <w:r w:rsidRPr="00CD6245">
        <w:tab/>
      </w:r>
      <w:r w:rsidRPr="00CD6245">
        <w:tab/>
        <w:t>Department of Treasury and Finance</w:t>
      </w:r>
    </w:p>
    <w:p w14:paraId="3B1694FA" w14:textId="77777777" w:rsidR="003B398F" w:rsidRDefault="003B398F" w:rsidP="00E41631">
      <w:pPr>
        <w:pStyle w:val="Normal1"/>
      </w:pPr>
      <w:r w:rsidRPr="00CD6245">
        <w:t>GST</w:t>
      </w:r>
      <w:r w:rsidRPr="00CD6245">
        <w:tab/>
      </w:r>
      <w:r w:rsidRPr="00CD6245">
        <w:tab/>
        <w:t>Goods and services tax</w:t>
      </w:r>
    </w:p>
    <w:p w14:paraId="6C5E13AF" w14:textId="77777777" w:rsidR="003B398F" w:rsidRPr="00CD6245" w:rsidRDefault="003B398F" w:rsidP="00E41631">
      <w:pPr>
        <w:pStyle w:val="Normal1"/>
      </w:pPr>
      <w:r w:rsidRPr="00474E7B">
        <w:t>ICT</w:t>
      </w:r>
      <w:r w:rsidRPr="00474E7B">
        <w:tab/>
      </w:r>
      <w:r w:rsidRPr="00474E7B">
        <w:tab/>
        <w:t>Information and communications technology</w:t>
      </w:r>
    </w:p>
    <w:p w14:paraId="70260ABF" w14:textId="77777777" w:rsidR="00B971DE" w:rsidRDefault="002C5E39" w:rsidP="00E41631">
      <w:pPr>
        <w:pStyle w:val="Normal1"/>
      </w:pPr>
      <w:r w:rsidRPr="00CD6245">
        <w:t>IPU</w:t>
      </w:r>
      <w:r w:rsidRPr="00CD6245">
        <w:tab/>
      </w:r>
      <w:r w:rsidRPr="00CD6245">
        <w:tab/>
      </w:r>
      <w:r w:rsidR="00B971DE" w:rsidRPr="00CD6245">
        <w:t>Internal procurement unit</w:t>
      </w:r>
    </w:p>
    <w:p w14:paraId="7E772A0F" w14:textId="77777777" w:rsidR="00547D3A" w:rsidRPr="00547D3A" w:rsidRDefault="00547D3A" w:rsidP="00547D3A">
      <w:pPr>
        <w:pStyle w:val="Normal1"/>
        <w:rPr>
          <w:lang w:val="en-US"/>
        </w:rPr>
      </w:pPr>
      <w:r w:rsidRPr="00547D3A">
        <w:rPr>
          <w:lang w:val="en-US"/>
        </w:rPr>
        <w:t>IT</w:t>
      </w:r>
      <w:r w:rsidRPr="00547D3A">
        <w:rPr>
          <w:lang w:val="en-US"/>
        </w:rPr>
        <w:tab/>
      </w:r>
      <w:r w:rsidRPr="00547D3A">
        <w:rPr>
          <w:lang w:val="en-US"/>
        </w:rPr>
        <w:tab/>
        <w:t>Information technology</w:t>
      </w:r>
    </w:p>
    <w:p w14:paraId="3C957836" w14:textId="77777777" w:rsidR="000B12BA" w:rsidRDefault="000E4201" w:rsidP="00E41631">
      <w:pPr>
        <w:pStyle w:val="Normal1"/>
      </w:pPr>
      <w:r>
        <w:t>MTI</w:t>
      </w:r>
      <w:r w:rsidR="006C6D3B">
        <w:t>A</w:t>
      </w:r>
      <w:r>
        <w:tab/>
      </w:r>
      <w:r>
        <w:tab/>
      </w:r>
      <w:r w:rsidRPr="000E4201">
        <w:t xml:space="preserve">Major Transport Infrastructure </w:t>
      </w:r>
      <w:r w:rsidR="006C6D3B">
        <w:t>Authority</w:t>
      </w:r>
    </w:p>
    <w:p w14:paraId="4D3185B6" w14:textId="77777777" w:rsidR="0007325F" w:rsidRDefault="0007325F" w:rsidP="00E41631">
      <w:pPr>
        <w:pStyle w:val="Normal1"/>
      </w:pPr>
      <w:r>
        <w:t>PPE</w:t>
      </w:r>
      <w:r>
        <w:tab/>
      </w:r>
      <w:r>
        <w:tab/>
      </w:r>
      <w:r w:rsidR="002D246A">
        <w:t>P</w:t>
      </w:r>
      <w:r w:rsidR="002D246A" w:rsidRPr="0007325F">
        <w:t>ersonal protective equipmen</w:t>
      </w:r>
      <w:r w:rsidRPr="0007325F">
        <w:t>t</w:t>
      </w:r>
    </w:p>
    <w:p w14:paraId="51BF2C34" w14:textId="77777777" w:rsidR="00F8620D" w:rsidRPr="00CD6245" w:rsidRDefault="00F8620D" w:rsidP="00E41631">
      <w:pPr>
        <w:pStyle w:val="Normal1"/>
      </w:pPr>
      <w:r>
        <w:t>RFQ</w:t>
      </w:r>
      <w:r>
        <w:tab/>
      </w:r>
      <w:r>
        <w:tab/>
        <w:t>Request for quotation</w:t>
      </w:r>
    </w:p>
    <w:p w14:paraId="2E0FA8D3" w14:textId="77777777" w:rsidR="00817F5B" w:rsidRPr="00CD6245" w:rsidRDefault="00817F5B" w:rsidP="00E41631">
      <w:pPr>
        <w:pStyle w:val="Normal1"/>
      </w:pPr>
      <w:r w:rsidRPr="00CD6245">
        <w:t>RFT</w:t>
      </w:r>
      <w:r w:rsidRPr="00CD6245">
        <w:tab/>
      </w:r>
      <w:r w:rsidRPr="00CD6245">
        <w:tab/>
        <w:t>Request for tender</w:t>
      </w:r>
    </w:p>
    <w:p w14:paraId="29CC69A4" w14:textId="77777777" w:rsidR="00B971DE" w:rsidRPr="00CD6245" w:rsidRDefault="00B971DE" w:rsidP="00E41631">
      <w:pPr>
        <w:pStyle w:val="Normal1"/>
      </w:pPr>
      <w:r w:rsidRPr="00CD6245">
        <w:t>SEPC</w:t>
      </w:r>
      <w:r w:rsidRPr="00CD6245">
        <w:tab/>
      </w:r>
      <w:r w:rsidRPr="00CD6245">
        <w:tab/>
        <w:t>Sole entity purchase contract</w:t>
      </w:r>
    </w:p>
    <w:p w14:paraId="21FD7AE4" w14:textId="77777777" w:rsidR="00B971DE" w:rsidRDefault="00B971DE" w:rsidP="00E41631">
      <w:pPr>
        <w:pStyle w:val="Normal1"/>
      </w:pPr>
      <w:r w:rsidRPr="00CD6245">
        <w:t>SPC</w:t>
      </w:r>
      <w:r w:rsidRPr="00CD6245">
        <w:tab/>
      </w:r>
      <w:r w:rsidRPr="00CD6245">
        <w:tab/>
        <w:t>State purchase contract</w:t>
      </w:r>
    </w:p>
    <w:p w14:paraId="14604D27" w14:textId="77777777" w:rsidR="00B971DE" w:rsidRPr="00CD6245" w:rsidRDefault="00B971DE" w:rsidP="00E41631">
      <w:pPr>
        <w:pStyle w:val="Normal1"/>
      </w:pPr>
      <w:r w:rsidRPr="00CD6245">
        <w:t>VGPB</w:t>
      </w:r>
      <w:r w:rsidRPr="00CD6245">
        <w:tab/>
      </w:r>
      <w:r w:rsidRPr="00CD6245">
        <w:tab/>
        <w:t>Victorian Government Purchasing Board</w:t>
      </w:r>
    </w:p>
    <w:p w14:paraId="4D7CA038" w14:textId="62AED129" w:rsidR="00042E3B" w:rsidRDefault="00042E3B" w:rsidP="00042E3B">
      <w:pPr>
        <w:pStyle w:val="Normal1"/>
      </w:pPr>
      <w:r>
        <w:t>WoVG</w:t>
      </w:r>
      <w:r w:rsidR="00560F17">
        <w:tab/>
      </w:r>
      <w:r w:rsidR="00560F17">
        <w:tab/>
        <w:t>Whole of Victorian Government</w:t>
      </w:r>
    </w:p>
    <w:p w14:paraId="14D80EE6" w14:textId="77777777" w:rsidR="00F521E5" w:rsidRDefault="00F521E5" w:rsidP="00F521E5">
      <w:pPr>
        <w:pStyle w:val="Normal1"/>
      </w:pPr>
    </w:p>
    <w:p w14:paraId="4FD9BB30" w14:textId="2473C642" w:rsidR="006951E8" w:rsidRDefault="006951E8" w:rsidP="00E41631">
      <w:pPr>
        <w:pStyle w:val="Normal1"/>
        <w:rPr>
          <w:rStyle w:val="Hyperlink"/>
        </w:rPr>
      </w:pPr>
      <w:r w:rsidRPr="00FA3581">
        <w:t xml:space="preserve">For a full glossary of terms, refer to </w:t>
      </w:r>
      <w:hyperlink r:id="rId45" w:history="1">
        <w:r w:rsidR="00F521E5">
          <w:rPr>
            <w:rStyle w:val="Hyperlink"/>
          </w:rPr>
          <w:t>buyingfor.vic.gov.au/glossary-goods-and-services</w:t>
        </w:r>
      </w:hyperlink>
    </w:p>
    <w:p w14:paraId="18EE0ECD" w14:textId="77777777" w:rsidR="00011CC4" w:rsidRDefault="00011CC4" w:rsidP="00011CC4">
      <w:pPr>
        <w:pStyle w:val="Normal1"/>
      </w:pPr>
    </w:p>
    <w:p w14:paraId="3134D7A8" w14:textId="77777777" w:rsidR="00011CC4" w:rsidRDefault="00011CC4" w:rsidP="00011CC4">
      <w:pPr>
        <w:pStyle w:val="Normal1"/>
      </w:pPr>
    </w:p>
    <w:p w14:paraId="2E1A6019" w14:textId="77777777" w:rsidR="00011CC4" w:rsidRDefault="00011CC4" w:rsidP="00011CC4">
      <w:pPr>
        <w:pStyle w:val="Normal1"/>
      </w:pPr>
    </w:p>
    <w:p w14:paraId="62B09432" w14:textId="77777777" w:rsidR="000B12BA" w:rsidRDefault="000B12BA" w:rsidP="00E41631">
      <w:pPr>
        <w:pStyle w:val="Normal1"/>
      </w:pPr>
    </w:p>
    <w:sectPr w:rsidR="000B12BA" w:rsidSect="00554B10">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6A441" w14:textId="77777777" w:rsidR="00BE0754" w:rsidRDefault="00BE0754" w:rsidP="009F4D80">
      <w:r>
        <w:separator/>
      </w:r>
    </w:p>
  </w:endnote>
  <w:endnote w:type="continuationSeparator" w:id="0">
    <w:p w14:paraId="2E26EA9C" w14:textId="77777777" w:rsidR="00BE0754" w:rsidRDefault="00BE0754" w:rsidP="009F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radeGothic-CondEighteen">
    <w:altName w:val="Cambria"/>
    <w:panose1 w:val="00000000000000000000"/>
    <w:charset w:val="4D"/>
    <w:family w:val="auto"/>
    <w:notTrueType/>
    <w:pitch w:val="default"/>
    <w:sig w:usb0="00000003" w:usb1="00000000" w:usb2="00000000" w:usb3="00000000" w:csb0="00000001" w:csb1="00000000"/>
  </w:font>
  <w:font w:name="TradeGothic-BoldCondTwenty">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eGothic-Light">
    <w:altName w:val="Times New Roman"/>
    <w:charset w:val="00"/>
    <w:family w:val="roman"/>
    <w:pitch w:val="default"/>
  </w:font>
  <w:font w:name="VIC-SemiBold">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1F39" w14:textId="77777777" w:rsidR="00064484" w:rsidRDefault="00064484" w:rsidP="00CD0E46">
    <w:pPr>
      <w:pStyle w:val="Footer"/>
      <w:rPr>
        <w:rFonts w:cs="Arial"/>
        <w:b/>
        <w:color w:val="3F3F3F"/>
        <w:sz w:val="20"/>
      </w:rPr>
    </w:pPr>
    <w:bookmarkStart w:id="299" w:name="aliashNonProtectiveMarki1FooterEvenPages"/>
    <w:r>
      <w:rPr>
        <w:rFonts w:cs="Arial"/>
        <w:b/>
        <w:color w:val="3F3F3F"/>
        <w:sz w:val="20"/>
      </w:rPr>
      <w:t>Public</w:t>
    </w:r>
  </w:p>
  <w:bookmarkEnd w:id="299"/>
  <w:p w14:paraId="393EC72B" w14:textId="77777777" w:rsidR="00064484" w:rsidRDefault="00064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03A9" w14:textId="57C2B69A" w:rsidR="00064484" w:rsidRPr="006A737D" w:rsidRDefault="00BE0754" w:rsidP="00B3755D">
    <w:pPr>
      <w:pStyle w:val="Footer"/>
      <w:jc w:val="right"/>
      <w:rPr>
        <w:sz w:val="18"/>
        <w:szCs w:val="18"/>
      </w:rPr>
    </w:pPr>
    <w:sdt>
      <w:sdtPr>
        <w:id w:val="-187287880"/>
        <w:docPartObj>
          <w:docPartGallery w:val="Page Numbers (Bottom of Page)"/>
          <w:docPartUnique/>
        </w:docPartObj>
      </w:sdtPr>
      <w:sdtEndPr>
        <w:rPr>
          <w:sz w:val="18"/>
          <w:szCs w:val="18"/>
        </w:rPr>
      </w:sdtEndPr>
      <w:sdtContent>
        <w:r w:rsidR="00064484" w:rsidRPr="006A737D">
          <w:rPr>
            <w:sz w:val="18"/>
            <w:szCs w:val="18"/>
          </w:rPr>
          <w:fldChar w:fldCharType="begin"/>
        </w:r>
        <w:r w:rsidR="00064484" w:rsidRPr="006A737D">
          <w:rPr>
            <w:sz w:val="18"/>
            <w:szCs w:val="18"/>
          </w:rPr>
          <w:instrText xml:space="preserve"> PAGE   \* MERGEFORMAT </w:instrText>
        </w:r>
        <w:r w:rsidR="00064484" w:rsidRPr="006A737D">
          <w:rPr>
            <w:sz w:val="18"/>
            <w:szCs w:val="18"/>
          </w:rPr>
          <w:fldChar w:fldCharType="separate"/>
        </w:r>
        <w:r w:rsidR="00064484" w:rsidRPr="006A737D">
          <w:rPr>
            <w:noProof/>
            <w:sz w:val="18"/>
            <w:szCs w:val="18"/>
          </w:rPr>
          <w:t>42</w:t>
        </w:r>
        <w:r w:rsidR="00064484" w:rsidRPr="006A737D">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771B6" w14:textId="4529DE92" w:rsidR="00064484" w:rsidRDefault="00064484">
    <w:pPr>
      <w:pStyle w:val="Footer"/>
    </w:pPr>
    <w:r>
      <w:rPr>
        <w:noProof/>
      </w:rPr>
      <mc:AlternateContent>
        <mc:Choice Requires="wps">
          <w:drawing>
            <wp:anchor distT="0" distB="0" distL="114300" distR="114300" simplePos="0" relativeHeight="251664384" behindDoc="0" locked="0" layoutInCell="0" allowOverlap="1" wp14:anchorId="724C5017" wp14:editId="79D1A42E">
              <wp:simplePos x="0" y="0"/>
              <wp:positionH relativeFrom="page">
                <wp:align>left</wp:align>
              </wp:positionH>
              <wp:positionV relativeFrom="page">
                <wp:align>bottom</wp:align>
              </wp:positionV>
              <wp:extent cx="7772400" cy="266700"/>
              <wp:effectExtent l="0" t="0" r="0" b="0"/>
              <wp:wrapNone/>
              <wp:docPr id="5" name="MSIPCMf5964206920899a2af6c9d7b"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5132D" w14:textId="57ACC918" w:rsidR="00064484" w:rsidRPr="00B33A5C" w:rsidRDefault="00064484" w:rsidP="00B33A5C">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4C5017" id="_x0000_t202" coordsize="21600,21600" o:spt="202" path="m,l,21600r21600,l21600,xe">
              <v:stroke joinstyle="miter"/>
              <v:path gradientshapeok="t" o:connecttype="rect"/>
            </v:shapetype>
            <v:shape id="MSIPCMf5964206920899a2af6c9d7b" o:spid="_x0000_s1060" type="#_x0000_t202" alt="{&quot;HashCode&quot;:-1267603503,&quot;Height&quot;:9999999.0,&quot;Width&quot;:9999999.0,&quot;Placement&quot;:&quot;Footer&quot;,&quot;Index&quot;:&quot;FirstPage&quot;,&quot;Section&quot;:1,&quot;Top&quot;:0.0,&quot;Left&quot;:0.0}" style="position:absolute;margin-left:0;margin-top:0;width:612pt;height:21pt;z-index:25166438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DhWXfOrwIAAFIFAAAOAAAAAAAA&#10;AAAAAAAAAC4CAABkcnMvZTJvRG9jLnhtbFBLAQItABQABgAIAAAAIQBbIsUh2wAAAAUBAAAPAAAA&#10;AAAAAAAAAAAAAAkFAABkcnMvZG93bnJldi54bWxQSwUGAAAAAAQABADzAAAAEQYAAAAA&#10;" o:allowincell="f" filled="f" stroked="f" strokeweight=".5pt">
              <v:textbox inset="20pt,0,,0">
                <w:txbxContent>
                  <w:p w14:paraId="2695132D" w14:textId="57ACC918" w:rsidR="00064484" w:rsidRPr="00B33A5C" w:rsidRDefault="00064484" w:rsidP="00B33A5C">
                    <w:pPr>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ECFD6" w14:textId="77777777" w:rsidR="00BE0754" w:rsidRDefault="00BE0754" w:rsidP="009F4D80">
      <w:r>
        <w:separator/>
      </w:r>
    </w:p>
  </w:footnote>
  <w:footnote w:type="continuationSeparator" w:id="0">
    <w:p w14:paraId="06FD7275" w14:textId="77777777" w:rsidR="00BE0754" w:rsidRDefault="00BE0754" w:rsidP="009F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0F90" w14:textId="5F061506" w:rsidR="00064484" w:rsidRPr="002E75B9" w:rsidRDefault="00064484" w:rsidP="002E75B9">
    <w:pPr>
      <w:pStyle w:val="Footer"/>
      <w:jc w:val="right"/>
      <w:rPr>
        <w:rFonts w:cs="Arial"/>
        <w:color w:val="3F3F3F"/>
        <w:sz w:val="20"/>
        <w:szCs w:val="20"/>
      </w:rPr>
    </w:pPr>
    <w:r w:rsidRPr="002E75B9">
      <w:rPr>
        <w:rFonts w:cs="Arial"/>
        <w:color w:val="3F3F3F"/>
        <w:sz w:val="20"/>
        <w:szCs w:val="20"/>
      </w:rPr>
      <w:t xml:space="preserve">VGPB Annual Report </w:t>
    </w:r>
    <w:r>
      <w:rPr>
        <w:rFonts w:cs="Arial"/>
        <w:color w:val="3F3F3F"/>
        <w:sz w:val="20"/>
        <w:szCs w:val="20"/>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356"/>
    <w:multiLevelType w:val="hybridMultilevel"/>
    <w:tmpl w:val="E5C0AD8C"/>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 w15:restartNumberingAfterBreak="0">
    <w:nsid w:val="05856D76"/>
    <w:multiLevelType w:val="hybridMultilevel"/>
    <w:tmpl w:val="2BE0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F1632"/>
    <w:multiLevelType w:val="hybridMultilevel"/>
    <w:tmpl w:val="534E484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CB53E5C"/>
    <w:multiLevelType w:val="hybridMultilevel"/>
    <w:tmpl w:val="3294A7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D01A1F"/>
    <w:multiLevelType w:val="hybridMultilevel"/>
    <w:tmpl w:val="9272A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6"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lvlText w:val="%2)"/>
      <w:lvlJc w:val="left"/>
      <w:pPr>
        <w:tabs>
          <w:tab w:val="num" w:pos="1361"/>
        </w:tabs>
        <w:ind w:left="1361" w:hanging="284"/>
      </w:pPr>
      <w:rPr>
        <w:rFonts w:ascii="Calibri" w:hAnsi="Calibri"/>
        <w:b w:val="0"/>
        <w:i w:val="0"/>
        <w:sz w:val="22"/>
      </w:rPr>
    </w:lvl>
    <w:lvl w:ilvl="2">
      <w:start w:val="1"/>
      <w:numFmt w:val="lowerRoman"/>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7" w15:restartNumberingAfterBreak="0">
    <w:nsid w:val="234D0BCF"/>
    <w:multiLevelType w:val="hybridMultilevel"/>
    <w:tmpl w:val="9BB8902A"/>
    <w:lvl w:ilvl="0" w:tplc="0F4897FE">
      <w:start w:val="1"/>
      <w:numFmt w:val="bullet"/>
      <w:pStyle w:val="bullets"/>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275771CF"/>
    <w:multiLevelType w:val="hybridMultilevel"/>
    <w:tmpl w:val="BC5A7484"/>
    <w:lvl w:ilvl="0" w:tplc="6EB0B96A">
      <w:start w:val="1"/>
      <w:numFmt w:val="bullet"/>
      <w:lvlText w:val=""/>
      <w:lvlJc w:val="left"/>
      <w:pPr>
        <w:tabs>
          <w:tab w:val="num" w:pos="720"/>
        </w:tabs>
        <w:ind w:left="720" w:hanging="360"/>
      </w:pPr>
      <w:rPr>
        <w:rFonts w:ascii="Symbol" w:hAnsi="Symbol" w:hint="default"/>
      </w:rPr>
    </w:lvl>
    <w:lvl w:ilvl="1" w:tplc="94E0E5E8" w:tentative="1">
      <w:start w:val="1"/>
      <w:numFmt w:val="bullet"/>
      <w:lvlText w:val=""/>
      <w:lvlJc w:val="left"/>
      <w:pPr>
        <w:tabs>
          <w:tab w:val="num" w:pos="1440"/>
        </w:tabs>
        <w:ind w:left="1440" w:hanging="360"/>
      </w:pPr>
      <w:rPr>
        <w:rFonts w:ascii="Symbol" w:hAnsi="Symbol" w:hint="default"/>
      </w:rPr>
    </w:lvl>
    <w:lvl w:ilvl="2" w:tplc="98A46248" w:tentative="1">
      <w:start w:val="1"/>
      <w:numFmt w:val="bullet"/>
      <w:lvlText w:val=""/>
      <w:lvlJc w:val="left"/>
      <w:pPr>
        <w:tabs>
          <w:tab w:val="num" w:pos="2160"/>
        </w:tabs>
        <w:ind w:left="2160" w:hanging="360"/>
      </w:pPr>
      <w:rPr>
        <w:rFonts w:ascii="Symbol" w:hAnsi="Symbol" w:hint="default"/>
      </w:rPr>
    </w:lvl>
    <w:lvl w:ilvl="3" w:tplc="C23603B6" w:tentative="1">
      <w:start w:val="1"/>
      <w:numFmt w:val="bullet"/>
      <w:lvlText w:val=""/>
      <w:lvlJc w:val="left"/>
      <w:pPr>
        <w:tabs>
          <w:tab w:val="num" w:pos="2880"/>
        </w:tabs>
        <w:ind w:left="2880" w:hanging="360"/>
      </w:pPr>
      <w:rPr>
        <w:rFonts w:ascii="Symbol" w:hAnsi="Symbol" w:hint="default"/>
      </w:rPr>
    </w:lvl>
    <w:lvl w:ilvl="4" w:tplc="9E9671D0" w:tentative="1">
      <w:start w:val="1"/>
      <w:numFmt w:val="bullet"/>
      <w:lvlText w:val=""/>
      <w:lvlJc w:val="left"/>
      <w:pPr>
        <w:tabs>
          <w:tab w:val="num" w:pos="3600"/>
        </w:tabs>
        <w:ind w:left="3600" w:hanging="360"/>
      </w:pPr>
      <w:rPr>
        <w:rFonts w:ascii="Symbol" w:hAnsi="Symbol" w:hint="default"/>
      </w:rPr>
    </w:lvl>
    <w:lvl w:ilvl="5" w:tplc="9DA8D964" w:tentative="1">
      <w:start w:val="1"/>
      <w:numFmt w:val="bullet"/>
      <w:lvlText w:val=""/>
      <w:lvlJc w:val="left"/>
      <w:pPr>
        <w:tabs>
          <w:tab w:val="num" w:pos="4320"/>
        </w:tabs>
        <w:ind w:left="4320" w:hanging="360"/>
      </w:pPr>
      <w:rPr>
        <w:rFonts w:ascii="Symbol" w:hAnsi="Symbol" w:hint="default"/>
      </w:rPr>
    </w:lvl>
    <w:lvl w:ilvl="6" w:tplc="57748AF0" w:tentative="1">
      <w:start w:val="1"/>
      <w:numFmt w:val="bullet"/>
      <w:lvlText w:val=""/>
      <w:lvlJc w:val="left"/>
      <w:pPr>
        <w:tabs>
          <w:tab w:val="num" w:pos="5040"/>
        </w:tabs>
        <w:ind w:left="5040" w:hanging="360"/>
      </w:pPr>
      <w:rPr>
        <w:rFonts w:ascii="Symbol" w:hAnsi="Symbol" w:hint="default"/>
      </w:rPr>
    </w:lvl>
    <w:lvl w:ilvl="7" w:tplc="8A625358" w:tentative="1">
      <w:start w:val="1"/>
      <w:numFmt w:val="bullet"/>
      <w:lvlText w:val=""/>
      <w:lvlJc w:val="left"/>
      <w:pPr>
        <w:tabs>
          <w:tab w:val="num" w:pos="5760"/>
        </w:tabs>
        <w:ind w:left="5760" w:hanging="360"/>
      </w:pPr>
      <w:rPr>
        <w:rFonts w:ascii="Symbol" w:hAnsi="Symbol" w:hint="default"/>
      </w:rPr>
    </w:lvl>
    <w:lvl w:ilvl="8" w:tplc="E20A386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Lucida Grande" w:hint="default"/>
        <w:b w:val="0"/>
        <w:i w:val="0"/>
        <w:color w:val="404040"/>
        <w:sz w:val="40"/>
      </w:rPr>
    </w:lvl>
    <w:lvl w:ilvl="1">
      <w:start w:val="1"/>
      <w:numFmt w:val="decimal"/>
      <w:lvlText w:val="%1.%2"/>
      <w:lvlJc w:val="left"/>
      <w:pPr>
        <w:tabs>
          <w:tab w:val="num" w:pos="794"/>
        </w:tabs>
        <w:ind w:left="794" w:hanging="794"/>
      </w:pPr>
      <w:rPr>
        <w:rFonts w:ascii="Arial" w:hAnsi="Arial" w:cs="Lucida Grande" w:hint="default"/>
        <w:b w:val="0"/>
        <w:i w:val="0"/>
        <w:color w:val="87746A"/>
        <w:sz w:val="24"/>
      </w:rPr>
    </w:lvl>
    <w:lvl w:ilvl="2">
      <w:start w:val="1"/>
      <w:numFmt w:val="decimal"/>
      <w:lvlText w:val="%1.%2.%3"/>
      <w:lvlJc w:val="left"/>
      <w:pPr>
        <w:tabs>
          <w:tab w:val="num" w:pos="794"/>
        </w:tabs>
        <w:ind w:left="794" w:hanging="794"/>
      </w:pPr>
      <w:rPr>
        <w:rFonts w:ascii="Arial" w:hAnsi="Arial" w:cs="Lucida Grande" w:hint="default"/>
        <w:b w:val="0"/>
        <w:i w:val="0"/>
        <w:color w:val="B20838"/>
        <w:sz w:val="22"/>
      </w:rPr>
    </w:lvl>
    <w:lvl w:ilvl="3">
      <w:start w:val="1"/>
      <w:numFmt w:val="decimal"/>
      <w:lvlText w:val="%1.%2.%3.%4"/>
      <w:lvlJc w:val="left"/>
      <w:pPr>
        <w:tabs>
          <w:tab w:val="num" w:pos="794"/>
        </w:tabs>
        <w:ind w:left="794" w:hanging="794"/>
      </w:pPr>
      <w:rPr>
        <w:rFonts w:ascii="Arial" w:hAnsi="Arial" w:cs="Lucida Grande" w:hint="default"/>
        <w:b/>
        <w:i w:val="0"/>
        <w:color w:val="093A80"/>
        <w:sz w:val="20"/>
      </w:rPr>
    </w:lvl>
    <w:lvl w:ilvl="4">
      <w:start w:val="1"/>
      <w:numFmt w:val="decimal"/>
      <w:lvlText w:val="%1.%2.%3.%4.%5"/>
      <w:lvlJc w:val="left"/>
      <w:pPr>
        <w:tabs>
          <w:tab w:val="num" w:pos="794"/>
        </w:tabs>
        <w:ind w:left="794" w:hanging="794"/>
      </w:pPr>
      <w:rPr>
        <w:rFonts w:ascii="Arial" w:hAnsi="Arial" w:cs="Lucida Grande" w:hint="default"/>
        <w:b w:val="0"/>
        <w:i w:val="0"/>
        <w:color w:val="093A80"/>
        <w:sz w:val="20"/>
      </w:rPr>
    </w:lvl>
    <w:lvl w:ilvl="5">
      <w:start w:val="1"/>
      <w:numFmt w:val="decimal"/>
      <w:lvlText w:val="%1.%2.%3.%4.%5.%6"/>
      <w:lvlJc w:val="left"/>
      <w:pPr>
        <w:tabs>
          <w:tab w:val="num" w:pos="794"/>
        </w:tabs>
        <w:ind w:left="794" w:hanging="794"/>
      </w:pPr>
      <w:rPr>
        <w:rFonts w:ascii="Arial" w:hAnsi="Arial" w:cs="Lucida Grande" w:hint="default"/>
        <w:b w:val="0"/>
        <w:i w:val="0"/>
        <w:color w:val="093A80"/>
        <w:sz w:val="20"/>
      </w:rPr>
    </w:lvl>
    <w:lvl w:ilvl="6">
      <w:start w:val="1"/>
      <w:numFmt w:val="decimal"/>
      <w:lvlText w:val="%1.%2.%3.%4.%5.%6.%7"/>
      <w:lvlJc w:val="left"/>
      <w:pPr>
        <w:tabs>
          <w:tab w:val="num" w:pos="794"/>
        </w:tabs>
        <w:ind w:left="794" w:hanging="794"/>
      </w:pPr>
      <w:rPr>
        <w:rFonts w:ascii="Arial" w:hAnsi="Arial" w:cs="Lucida Grande" w:hint="default"/>
        <w:b w:val="0"/>
        <w:i w:val="0"/>
        <w:color w:val="093A80"/>
        <w:sz w:val="20"/>
      </w:rPr>
    </w:lvl>
    <w:lvl w:ilvl="7">
      <w:start w:val="1"/>
      <w:numFmt w:val="decimal"/>
      <w:lvlText w:val="%1.%2.%3.%4.%5.%6.%7.%8"/>
      <w:lvlJc w:val="left"/>
      <w:pPr>
        <w:tabs>
          <w:tab w:val="num" w:pos="794"/>
        </w:tabs>
        <w:ind w:left="794" w:hanging="794"/>
      </w:pPr>
      <w:rPr>
        <w:rFonts w:ascii="Arial" w:hAnsi="Arial" w:cs="Lucida Grande" w:hint="default"/>
        <w:b w:val="0"/>
        <w:i w:val="0"/>
        <w:color w:val="093A80"/>
        <w:sz w:val="20"/>
      </w:rPr>
    </w:lvl>
    <w:lvl w:ilvl="8">
      <w:start w:val="1"/>
      <w:numFmt w:val="decimal"/>
      <w:lvlText w:val="%1.%2.%3.%4.%5.%6.%7.%8.%9"/>
      <w:lvlJc w:val="left"/>
      <w:pPr>
        <w:tabs>
          <w:tab w:val="num" w:pos="794"/>
        </w:tabs>
        <w:ind w:left="794" w:hanging="794"/>
      </w:pPr>
      <w:rPr>
        <w:rFonts w:ascii="Arial" w:hAnsi="Arial" w:cs="Lucida Grande" w:hint="default"/>
        <w:b w:val="0"/>
        <w:i w:val="0"/>
        <w:color w:val="093A80"/>
        <w:sz w:val="20"/>
      </w:rPr>
    </w:lvl>
  </w:abstractNum>
  <w:abstractNum w:abstractNumId="10" w15:restartNumberingAfterBreak="0">
    <w:nsid w:val="27A236E6"/>
    <w:multiLevelType w:val="hybridMultilevel"/>
    <w:tmpl w:val="A60A64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D70CCF"/>
    <w:multiLevelType w:val="hybridMultilevel"/>
    <w:tmpl w:val="C3D8E09A"/>
    <w:lvl w:ilvl="0" w:tplc="FDFEA42E">
      <w:start w:val="1"/>
      <w:numFmt w:val="decimal"/>
      <w:pStyle w:val="DHHSNumberText"/>
      <w:lvlText w:val="%1."/>
      <w:lvlJc w:val="left"/>
      <w:pPr>
        <w:ind w:left="397" w:hanging="39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1C30910"/>
    <w:multiLevelType w:val="hybridMultilevel"/>
    <w:tmpl w:val="2282496E"/>
    <w:lvl w:ilvl="0" w:tplc="61882890">
      <w:start w:val="1"/>
      <w:numFmt w:val="bullet"/>
      <w:pStyle w:val="tas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6D3A6A"/>
    <w:multiLevelType w:val="multilevel"/>
    <w:tmpl w:val="2376E282"/>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lvlText w:val="–"/>
      <w:lvlJc w:val="left"/>
      <w:pPr>
        <w:tabs>
          <w:tab w:val="num" w:pos="1361"/>
        </w:tabs>
        <w:ind w:left="1361" w:hanging="284"/>
      </w:pPr>
      <w:rPr>
        <w:rFonts w:ascii="Calibri" w:hAnsi="Calibri" w:hint="default"/>
        <w:b w:val="0"/>
        <w:i w:val="0"/>
        <w:vanish w:val="0"/>
        <w:color w:val="auto"/>
        <w:sz w:val="22"/>
      </w:rPr>
    </w:lvl>
    <w:lvl w:ilvl="2">
      <w:start w:val="1"/>
      <w:numFmt w:val="bullet"/>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755426E"/>
    <w:multiLevelType w:val="multilevel"/>
    <w:tmpl w:val="0B0658D0"/>
    <w:lvl w:ilvl="0">
      <w:start w:val="1"/>
      <w:numFmt w:val="decimal"/>
      <w:lvlText w:val="%1"/>
      <w:lvlJc w:val="left"/>
      <w:pPr>
        <w:ind w:left="0" w:hanging="1134"/>
      </w:pPr>
      <w:rPr>
        <w:rFonts w:ascii="Corbel" w:hAnsi="Corbel" w:hint="default"/>
        <w:b/>
        <w:sz w:val="18"/>
      </w:rPr>
    </w:lvl>
    <w:lvl w:ilvl="1">
      <w:start w:val="1"/>
      <w:numFmt w:val="decimal"/>
      <w:lvlText w:val="%1.%2"/>
      <w:lvlJc w:val="left"/>
      <w:pPr>
        <w:ind w:left="0" w:hanging="1134"/>
      </w:pPr>
      <w:rPr>
        <w:rFonts w:hint="default"/>
      </w:rPr>
    </w:lvl>
    <w:lvl w:ilvl="2">
      <w:start w:val="1"/>
      <w:numFmt w:val="decimal"/>
      <w:lvlText w:val="%1.%2.%3"/>
      <w:lvlJc w:val="left"/>
      <w:pPr>
        <w:ind w:left="0" w:hanging="1134"/>
      </w:pPr>
      <w:rPr>
        <w:rFonts w:hint="default"/>
      </w:rPr>
    </w:lvl>
    <w:lvl w:ilvl="3">
      <w:start w:val="1"/>
      <w:numFmt w:val="decimal"/>
      <w:pStyle w:val="FigureHeading"/>
      <w:lvlText w:val="%1.%2.%3.%4"/>
      <w:lvlJc w:val="left"/>
      <w:pPr>
        <w:ind w:left="0" w:hanging="1134"/>
      </w:pPr>
      <w:rPr>
        <w:rFonts w:hint="default"/>
      </w:rPr>
    </w:lvl>
    <w:lvl w:ilvl="4">
      <w:start w:val="1"/>
      <w:numFmt w:val="decimal"/>
      <w:lvlText w:val="%1.%2.%3.%4.%5."/>
      <w:lvlJc w:val="left"/>
      <w:pPr>
        <w:ind w:left="0" w:hanging="1134"/>
      </w:pPr>
      <w:rPr>
        <w:rFonts w:hint="default"/>
      </w:rPr>
    </w:lvl>
    <w:lvl w:ilvl="5">
      <w:start w:val="1"/>
      <w:numFmt w:val="decimal"/>
      <w:lvlText w:val="%1.%2.%3.%4.%5.%6."/>
      <w:lvlJc w:val="left"/>
      <w:pPr>
        <w:ind w:left="0" w:hanging="1134"/>
      </w:pPr>
      <w:rPr>
        <w:rFonts w:hint="default"/>
      </w:rPr>
    </w:lvl>
    <w:lvl w:ilvl="6">
      <w:start w:val="1"/>
      <w:numFmt w:val="decimal"/>
      <w:lvlText w:val="%1.%2.%3.%4.%5.%6.%7."/>
      <w:lvlJc w:val="left"/>
      <w:pPr>
        <w:ind w:left="0" w:hanging="1134"/>
      </w:pPr>
      <w:rPr>
        <w:rFonts w:hint="default"/>
      </w:rPr>
    </w:lvl>
    <w:lvl w:ilvl="7">
      <w:start w:val="1"/>
      <w:numFmt w:val="decimal"/>
      <w:lvlText w:val="%1.%2.%3.%4.%5.%6.%7.%8."/>
      <w:lvlJc w:val="left"/>
      <w:pPr>
        <w:ind w:left="0" w:hanging="1134"/>
      </w:pPr>
      <w:rPr>
        <w:rFonts w:hint="default"/>
      </w:rPr>
    </w:lvl>
    <w:lvl w:ilvl="8">
      <w:start w:val="1"/>
      <w:numFmt w:val="decimal"/>
      <w:lvlText w:val="%1.%2.%3.%4.%5.%6.%7.%8.%9."/>
      <w:lvlJc w:val="left"/>
      <w:pPr>
        <w:ind w:left="0" w:hanging="1134"/>
      </w:pPr>
      <w:rPr>
        <w:rFonts w:hint="default"/>
      </w:rPr>
    </w:lvl>
  </w:abstractNum>
  <w:abstractNum w:abstractNumId="15" w15:restartNumberingAfterBreak="0">
    <w:nsid w:val="4C047E5E"/>
    <w:multiLevelType w:val="hybridMultilevel"/>
    <w:tmpl w:val="7D7C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14ED9"/>
    <w:multiLevelType w:val="hybridMultilevel"/>
    <w:tmpl w:val="63F2BFE8"/>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17"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Lucida Grande" w:hint="default"/>
        <w:b w:val="0"/>
        <w:i w:val="0"/>
        <w:sz w:val="18"/>
      </w:rPr>
    </w:lvl>
    <w:lvl w:ilvl="1">
      <w:start w:val="1"/>
      <w:numFmt w:val="bullet"/>
      <w:lvlText w:val="–"/>
      <w:lvlJc w:val="left"/>
      <w:pPr>
        <w:tabs>
          <w:tab w:val="num" w:pos="454"/>
        </w:tabs>
        <w:ind w:left="454" w:hanging="227"/>
      </w:pPr>
      <w:rPr>
        <w:rFonts w:ascii="Calibri" w:hAnsi="Calibri" w:cs="Lucida Grande" w:hint="default"/>
        <w:b w:val="0"/>
        <w:i w:val="0"/>
        <w:sz w:val="18"/>
      </w:rPr>
    </w:lvl>
    <w:lvl w:ilvl="2">
      <w:start w:val="1"/>
      <w:numFmt w:val="bullet"/>
      <w:lvlText w:val=""/>
      <w:lvlJc w:val="left"/>
      <w:pPr>
        <w:tabs>
          <w:tab w:val="num" w:pos="680"/>
        </w:tabs>
        <w:ind w:left="680" w:hanging="226"/>
      </w:pPr>
      <w:rPr>
        <w:rFonts w:ascii="Symbol" w:hAnsi="Symbol" w:cs="Lucida Grande" w:hint="default"/>
        <w:b w:val="0"/>
        <w:i w:val="0"/>
        <w:sz w:val="18"/>
      </w:rPr>
    </w:lvl>
    <w:lvl w:ilvl="3">
      <w:start w:val="1"/>
      <w:numFmt w:val="bullet"/>
      <w:lvlText w:val=""/>
      <w:lvlJc w:val="left"/>
      <w:pPr>
        <w:tabs>
          <w:tab w:val="num" w:pos="907"/>
        </w:tabs>
        <w:ind w:left="907" w:hanging="227"/>
      </w:pPr>
      <w:rPr>
        <w:rFonts w:ascii="Symbol" w:hAnsi="Symbol" w:cs="Lucida Grande" w:hint="default"/>
        <w:b w:val="0"/>
        <w:i w:val="0"/>
        <w:sz w:val="18"/>
      </w:rPr>
    </w:lvl>
    <w:lvl w:ilvl="4">
      <w:start w:val="1"/>
      <w:numFmt w:val="bullet"/>
      <w:lvlText w:val=""/>
      <w:lvlJc w:val="left"/>
      <w:pPr>
        <w:tabs>
          <w:tab w:val="num" w:pos="1134"/>
        </w:tabs>
        <w:ind w:left="1134" w:hanging="227"/>
      </w:pPr>
      <w:rPr>
        <w:rFonts w:ascii="Symbol" w:hAnsi="Symbol" w:cs="Lucida Grande" w:hint="default"/>
        <w:b w:val="0"/>
        <w:i w:val="0"/>
        <w:sz w:val="18"/>
      </w:rPr>
    </w:lvl>
    <w:lvl w:ilvl="5">
      <w:start w:val="1"/>
      <w:numFmt w:val="bullet"/>
      <w:lvlText w:val=""/>
      <w:lvlJc w:val="left"/>
      <w:pPr>
        <w:tabs>
          <w:tab w:val="num" w:pos="1361"/>
        </w:tabs>
        <w:ind w:left="1361" w:hanging="227"/>
      </w:pPr>
      <w:rPr>
        <w:rFonts w:ascii="Symbol" w:hAnsi="Symbol" w:cs="Lucida Grande" w:hint="default"/>
        <w:b w:val="0"/>
        <w:i w:val="0"/>
        <w:sz w:val="18"/>
      </w:rPr>
    </w:lvl>
    <w:lvl w:ilvl="6">
      <w:start w:val="1"/>
      <w:numFmt w:val="bullet"/>
      <w:lvlText w:val=""/>
      <w:lvlJc w:val="left"/>
      <w:pPr>
        <w:tabs>
          <w:tab w:val="num" w:pos="1587"/>
        </w:tabs>
        <w:ind w:left="1587" w:hanging="226"/>
      </w:pPr>
      <w:rPr>
        <w:rFonts w:ascii="Symbol" w:hAnsi="Symbol" w:cs="Lucida Grande" w:hint="default"/>
        <w:b w:val="0"/>
        <w:i w:val="0"/>
        <w:sz w:val="18"/>
      </w:rPr>
    </w:lvl>
    <w:lvl w:ilvl="7">
      <w:start w:val="1"/>
      <w:numFmt w:val="bullet"/>
      <w:lvlText w:val=""/>
      <w:lvlJc w:val="left"/>
      <w:pPr>
        <w:tabs>
          <w:tab w:val="num" w:pos="1814"/>
        </w:tabs>
        <w:ind w:left="1814" w:hanging="227"/>
      </w:pPr>
      <w:rPr>
        <w:rFonts w:ascii="Symbol" w:hAnsi="Symbol" w:cs="Lucida Grande" w:hint="default"/>
        <w:b w:val="0"/>
        <w:i w:val="0"/>
        <w:sz w:val="18"/>
      </w:rPr>
    </w:lvl>
    <w:lvl w:ilvl="8">
      <w:start w:val="1"/>
      <w:numFmt w:val="bullet"/>
      <w:lvlText w:val=""/>
      <w:lvlJc w:val="left"/>
      <w:pPr>
        <w:tabs>
          <w:tab w:val="num" w:pos="2041"/>
        </w:tabs>
        <w:ind w:left="2041" w:hanging="227"/>
      </w:pPr>
      <w:rPr>
        <w:rFonts w:ascii="Symbol" w:hAnsi="Symbol" w:cs="Lucida Grande" w:hint="default"/>
        <w:b w:val="0"/>
        <w:i w:val="0"/>
        <w:sz w:val="18"/>
      </w:rPr>
    </w:lvl>
  </w:abstractNum>
  <w:abstractNum w:abstractNumId="18" w15:restartNumberingAfterBreak="0">
    <w:nsid w:val="746B7DC4"/>
    <w:multiLevelType w:val="hybridMultilevel"/>
    <w:tmpl w:val="1968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D73E7"/>
    <w:multiLevelType w:val="hybridMultilevel"/>
    <w:tmpl w:val="060A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44514"/>
    <w:multiLevelType w:val="multilevel"/>
    <w:tmpl w:val="C68C7B46"/>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08"/>
        </w:tabs>
        <w:ind w:left="1008" w:hanging="504"/>
      </w:pPr>
      <w:rPr>
        <w:rFonts w:hint="default"/>
      </w:rPr>
    </w:lvl>
    <w:lvl w:ilvl="2">
      <w:start w:val="1"/>
      <w:numFmt w:val="lowerRoman"/>
      <w:pStyle w:val="Listnum3"/>
      <w:lvlText w:val="(%3)"/>
      <w:lvlJc w:val="left"/>
      <w:pPr>
        <w:tabs>
          <w:tab w:val="num" w:pos="1512"/>
        </w:tabs>
        <w:ind w:left="1512" w:hanging="504"/>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5"/>
  </w:num>
  <w:num w:numId="2">
    <w:abstractNumId w:val="6"/>
  </w:num>
  <w:num w:numId="3">
    <w:abstractNumId w:val="13"/>
  </w:num>
  <w:num w:numId="4">
    <w:abstractNumId w:val="17"/>
  </w:num>
  <w:num w:numId="5">
    <w:abstractNumId w:val="9"/>
  </w:num>
  <w:num w:numId="6">
    <w:abstractNumId w:val="11"/>
  </w:num>
  <w:num w:numId="7">
    <w:abstractNumId w:val="12"/>
  </w:num>
  <w:num w:numId="8">
    <w:abstractNumId w:val="14"/>
  </w:num>
  <w:num w:numId="9">
    <w:abstractNumId w:val="1"/>
  </w:num>
  <w:num w:numId="10">
    <w:abstractNumId w:val="8"/>
  </w:num>
  <w:num w:numId="11">
    <w:abstractNumId w:val="2"/>
  </w:num>
  <w:num w:numId="12">
    <w:abstractNumId w:val="18"/>
  </w:num>
  <w:num w:numId="13">
    <w:abstractNumId w:val="19"/>
  </w:num>
  <w:num w:numId="14">
    <w:abstractNumId w:val="15"/>
  </w:num>
  <w:num w:numId="15">
    <w:abstractNumId w:val="20"/>
  </w:num>
  <w:num w:numId="16">
    <w:abstractNumId w:val="16"/>
  </w:num>
  <w:num w:numId="17">
    <w:abstractNumId w:val="7"/>
  </w:num>
  <w:num w:numId="18">
    <w:abstractNumId w:val="3"/>
  </w:num>
  <w:num w:numId="19">
    <w:abstractNumId w:val="10"/>
  </w:num>
  <w:num w:numId="20">
    <w:abstractNumId w:val="4"/>
  </w:num>
  <w:num w:numId="21">
    <w:abstractNumId w:val="0"/>
  </w:num>
  <w:num w:numId="22">
    <w:abstractNumId w:val="13"/>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DE"/>
    <w:rsid w:val="0000017A"/>
    <w:rsid w:val="00000A6A"/>
    <w:rsid w:val="00001360"/>
    <w:rsid w:val="000019EF"/>
    <w:rsid w:val="000025CD"/>
    <w:rsid w:val="00002D19"/>
    <w:rsid w:val="00003088"/>
    <w:rsid w:val="0000363D"/>
    <w:rsid w:val="000045C9"/>
    <w:rsid w:val="00004A6C"/>
    <w:rsid w:val="00005698"/>
    <w:rsid w:val="00005B90"/>
    <w:rsid w:val="000069D2"/>
    <w:rsid w:val="00006A5F"/>
    <w:rsid w:val="00006C4A"/>
    <w:rsid w:val="00006CE6"/>
    <w:rsid w:val="00006ED0"/>
    <w:rsid w:val="00007D90"/>
    <w:rsid w:val="00007EED"/>
    <w:rsid w:val="00010822"/>
    <w:rsid w:val="00010B21"/>
    <w:rsid w:val="00010BB3"/>
    <w:rsid w:val="00011197"/>
    <w:rsid w:val="00011CC4"/>
    <w:rsid w:val="00011FFC"/>
    <w:rsid w:val="00012F2B"/>
    <w:rsid w:val="00013225"/>
    <w:rsid w:val="0001397B"/>
    <w:rsid w:val="00013E63"/>
    <w:rsid w:val="00013E74"/>
    <w:rsid w:val="00015871"/>
    <w:rsid w:val="00016550"/>
    <w:rsid w:val="00016AAD"/>
    <w:rsid w:val="00016B8D"/>
    <w:rsid w:val="00016F0C"/>
    <w:rsid w:val="00017228"/>
    <w:rsid w:val="000178E4"/>
    <w:rsid w:val="00017DE8"/>
    <w:rsid w:val="00020351"/>
    <w:rsid w:val="00020629"/>
    <w:rsid w:val="000208DC"/>
    <w:rsid w:val="000212DF"/>
    <w:rsid w:val="0002298F"/>
    <w:rsid w:val="00023133"/>
    <w:rsid w:val="00023C07"/>
    <w:rsid w:val="00023FBD"/>
    <w:rsid w:val="00024AAF"/>
    <w:rsid w:val="00024C2B"/>
    <w:rsid w:val="000255C1"/>
    <w:rsid w:val="00025FAB"/>
    <w:rsid w:val="000262DC"/>
    <w:rsid w:val="000300BD"/>
    <w:rsid w:val="0003010A"/>
    <w:rsid w:val="00030257"/>
    <w:rsid w:val="00031365"/>
    <w:rsid w:val="00031678"/>
    <w:rsid w:val="00031A72"/>
    <w:rsid w:val="00031B6E"/>
    <w:rsid w:val="00032630"/>
    <w:rsid w:val="0003274B"/>
    <w:rsid w:val="0003409C"/>
    <w:rsid w:val="000341C5"/>
    <w:rsid w:val="00034B02"/>
    <w:rsid w:val="00035107"/>
    <w:rsid w:val="00035570"/>
    <w:rsid w:val="00035999"/>
    <w:rsid w:val="00035E3E"/>
    <w:rsid w:val="00036E78"/>
    <w:rsid w:val="000371D3"/>
    <w:rsid w:val="000376FB"/>
    <w:rsid w:val="00037701"/>
    <w:rsid w:val="0003786E"/>
    <w:rsid w:val="00040737"/>
    <w:rsid w:val="000429C0"/>
    <w:rsid w:val="00042D41"/>
    <w:rsid w:val="00042E3B"/>
    <w:rsid w:val="00042FEA"/>
    <w:rsid w:val="0004330C"/>
    <w:rsid w:val="000436C0"/>
    <w:rsid w:val="00043C3A"/>
    <w:rsid w:val="00044BA0"/>
    <w:rsid w:val="00045024"/>
    <w:rsid w:val="000461A0"/>
    <w:rsid w:val="00046488"/>
    <w:rsid w:val="00046F98"/>
    <w:rsid w:val="00047782"/>
    <w:rsid w:val="00047796"/>
    <w:rsid w:val="000506EC"/>
    <w:rsid w:val="00050DB5"/>
    <w:rsid w:val="00052635"/>
    <w:rsid w:val="00052729"/>
    <w:rsid w:val="0005337B"/>
    <w:rsid w:val="000534AF"/>
    <w:rsid w:val="00053802"/>
    <w:rsid w:val="00054232"/>
    <w:rsid w:val="000549F7"/>
    <w:rsid w:val="00056270"/>
    <w:rsid w:val="0005720B"/>
    <w:rsid w:val="0005722E"/>
    <w:rsid w:val="00057C51"/>
    <w:rsid w:val="00061364"/>
    <w:rsid w:val="00063082"/>
    <w:rsid w:val="00063341"/>
    <w:rsid w:val="00063B1B"/>
    <w:rsid w:val="00063F56"/>
    <w:rsid w:val="00064484"/>
    <w:rsid w:val="00064492"/>
    <w:rsid w:val="000660DA"/>
    <w:rsid w:val="000669A4"/>
    <w:rsid w:val="00066BD2"/>
    <w:rsid w:val="00067653"/>
    <w:rsid w:val="00067BEC"/>
    <w:rsid w:val="00070037"/>
    <w:rsid w:val="00070156"/>
    <w:rsid w:val="00070D6E"/>
    <w:rsid w:val="00072D05"/>
    <w:rsid w:val="00072E02"/>
    <w:rsid w:val="000730A2"/>
    <w:rsid w:val="0007325F"/>
    <w:rsid w:val="00073458"/>
    <w:rsid w:val="00074995"/>
    <w:rsid w:val="000749FD"/>
    <w:rsid w:val="00074AD5"/>
    <w:rsid w:val="00074B7B"/>
    <w:rsid w:val="000766BF"/>
    <w:rsid w:val="00076DC5"/>
    <w:rsid w:val="00077E2C"/>
    <w:rsid w:val="00081854"/>
    <w:rsid w:val="00081E62"/>
    <w:rsid w:val="000854BB"/>
    <w:rsid w:val="0008597E"/>
    <w:rsid w:val="000868C9"/>
    <w:rsid w:val="00087E6D"/>
    <w:rsid w:val="00087FE6"/>
    <w:rsid w:val="0009023A"/>
    <w:rsid w:val="00091087"/>
    <w:rsid w:val="00092056"/>
    <w:rsid w:val="00092526"/>
    <w:rsid w:val="00093156"/>
    <w:rsid w:val="00093EA5"/>
    <w:rsid w:val="00094A7E"/>
    <w:rsid w:val="00094E39"/>
    <w:rsid w:val="0009536F"/>
    <w:rsid w:val="00095505"/>
    <w:rsid w:val="00097647"/>
    <w:rsid w:val="000A0621"/>
    <w:rsid w:val="000A1498"/>
    <w:rsid w:val="000A1AB1"/>
    <w:rsid w:val="000A22CD"/>
    <w:rsid w:val="000A2698"/>
    <w:rsid w:val="000A26CE"/>
    <w:rsid w:val="000A2781"/>
    <w:rsid w:val="000A27D9"/>
    <w:rsid w:val="000A2809"/>
    <w:rsid w:val="000A2DD9"/>
    <w:rsid w:val="000A3CB7"/>
    <w:rsid w:val="000A3E8A"/>
    <w:rsid w:val="000A45F9"/>
    <w:rsid w:val="000A4A12"/>
    <w:rsid w:val="000A4CD4"/>
    <w:rsid w:val="000A5509"/>
    <w:rsid w:val="000A5B3B"/>
    <w:rsid w:val="000A5F10"/>
    <w:rsid w:val="000A60A0"/>
    <w:rsid w:val="000A6E59"/>
    <w:rsid w:val="000A75BE"/>
    <w:rsid w:val="000A7D04"/>
    <w:rsid w:val="000A7DCB"/>
    <w:rsid w:val="000B02F4"/>
    <w:rsid w:val="000B048B"/>
    <w:rsid w:val="000B12BA"/>
    <w:rsid w:val="000B186F"/>
    <w:rsid w:val="000B20B5"/>
    <w:rsid w:val="000B2CA5"/>
    <w:rsid w:val="000B36ED"/>
    <w:rsid w:val="000B374F"/>
    <w:rsid w:val="000B4416"/>
    <w:rsid w:val="000B4482"/>
    <w:rsid w:val="000B4F14"/>
    <w:rsid w:val="000B5827"/>
    <w:rsid w:val="000B585B"/>
    <w:rsid w:val="000B5911"/>
    <w:rsid w:val="000B5AEA"/>
    <w:rsid w:val="000B5BEE"/>
    <w:rsid w:val="000B5D29"/>
    <w:rsid w:val="000B5F2A"/>
    <w:rsid w:val="000B5F61"/>
    <w:rsid w:val="000B61E3"/>
    <w:rsid w:val="000B79CF"/>
    <w:rsid w:val="000B7AF6"/>
    <w:rsid w:val="000B7B4C"/>
    <w:rsid w:val="000B7BF5"/>
    <w:rsid w:val="000C0E1A"/>
    <w:rsid w:val="000C18E4"/>
    <w:rsid w:val="000C1B7A"/>
    <w:rsid w:val="000C1D88"/>
    <w:rsid w:val="000C2899"/>
    <w:rsid w:val="000C3B64"/>
    <w:rsid w:val="000C3C6C"/>
    <w:rsid w:val="000C4B58"/>
    <w:rsid w:val="000C5BC5"/>
    <w:rsid w:val="000C5F19"/>
    <w:rsid w:val="000C73AC"/>
    <w:rsid w:val="000D048F"/>
    <w:rsid w:val="000D0631"/>
    <w:rsid w:val="000D1A94"/>
    <w:rsid w:val="000D1ACC"/>
    <w:rsid w:val="000D25E2"/>
    <w:rsid w:val="000D2AE1"/>
    <w:rsid w:val="000D2C84"/>
    <w:rsid w:val="000D3F1D"/>
    <w:rsid w:val="000D43F1"/>
    <w:rsid w:val="000D453D"/>
    <w:rsid w:val="000D58DD"/>
    <w:rsid w:val="000D593F"/>
    <w:rsid w:val="000D5DA6"/>
    <w:rsid w:val="000D5E4B"/>
    <w:rsid w:val="000D686F"/>
    <w:rsid w:val="000D687E"/>
    <w:rsid w:val="000D7385"/>
    <w:rsid w:val="000D7AB4"/>
    <w:rsid w:val="000E0068"/>
    <w:rsid w:val="000E04DC"/>
    <w:rsid w:val="000E050D"/>
    <w:rsid w:val="000E0EA3"/>
    <w:rsid w:val="000E11D2"/>
    <w:rsid w:val="000E2012"/>
    <w:rsid w:val="000E3C4D"/>
    <w:rsid w:val="000E3F05"/>
    <w:rsid w:val="000E4201"/>
    <w:rsid w:val="000E55C0"/>
    <w:rsid w:val="000E567F"/>
    <w:rsid w:val="000E6DCE"/>
    <w:rsid w:val="000F0D6B"/>
    <w:rsid w:val="000F13EB"/>
    <w:rsid w:val="000F22DC"/>
    <w:rsid w:val="000F25F9"/>
    <w:rsid w:val="000F286E"/>
    <w:rsid w:val="000F302F"/>
    <w:rsid w:val="000F40A9"/>
    <w:rsid w:val="000F441A"/>
    <w:rsid w:val="000F5B7A"/>
    <w:rsid w:val="000F61E6"/>
    <w:rsid w:val="000F62B4"/>
    <w:rsid w:val="000F72AB"/>
    <w:rsid w:val="00100AA9"/>
    <w:rsid w:val="001012C5"/>
    <w:rsid w:val="0010133B"/>
    <w:rsid w:val="00101420"/>
    <w:rsid w:val="00102B0F"/>
    <w:rsid w:val="00102E1D"/>
    <w:rsid w:val="001033F5"/>
    <w:rsid w:val="00103C14"/>
    <w:rsid w:val="00104E55"/>
    <w:rsid w:val="00105E1D"/>
    <w:rsid w:val="00105FDC"/>
    <w:rsid w:val="00106956"/>
    <w:rsid w:val="00106A0B"/>
    <w:rsid w:val="00106C2B"/>
    <w:rsid w:val="00107126"/>
    <w:rsid w:val="0011104D"/>
    <w:rsid w:val="0011150D"/>
    <w:rsid w:val="00112393"/>
    <w:rsid w:val="001124F8"/>
    <w:rsid w:val="001125AD"/>
    <w:rsid w:val="00112715"/>
    <w:rsid w:val="001131D4"/>
    <w:rsid w:val="00113259"/>
    <w:rsid w:val="001134D5"/>
    <w:rsid w:val="00113C3C"/>
    <w:rsid w:val="00114002"/>
    <w:rsid w:val="00114286"/>
    <w:rsid w:val="00115057"/>
    <w:rsid w:val="00115146"/>
    <w:rsid w:val="0011550A"/>
    <w:rsid w:val="00115E70"/>
    <w:rsid w:val="00115F14"/>
    <w:rsid w:val="001162C0"/>
    <w:rsid w:val="00116A1B"/>
    <w:rsid w:val="001173EC"/>
    <w:rsid w:val="00120577"/>
    <w:rsid w:val="001206E5"/>
    <w:rsid w:val="001207F9"/>
    <w:rsid w:val="00120FC3"/>
    <w:rsid w:val="00121FF5"/>
    <w:rsid w:val="00122537"/>
    <w:rsid w:val="00122AEE"/>
    <w:rsid w:val="00123F52"/>
    <w:rsid w:val="00124971"/>
    <w:rsid w:val="00124B4A"/>
    <w:rsid w:val="00125F74"/>
    <w:rsid w:val="00125FA5"/>
    <w:rsid w:val="00127C76"/>
    <w:rsid w:val="00130506"/>
    <w:rsid w:val="001316BA"/>
    <w:rsid w:val="00132EB6"/>
    <w:rsid w:val="00135A2C"/>
    <w:rsid w:val="00136FFF"/>
    <w:rsid w:val="00137139"/>
    <w:rsid w:val="00137244"/>
    <w:rsid w:val="001373C2"/>
    <w:rsid w:val="00137613"/>
    <w:rsid w:val="00137DA4"/>
    <w:rsid w:val="001402EB"/>
    <w:rsid w:val="00140396"/>
    <w:rsid w:val="00140D1B"/>
    <w:rsid w:val="001416D8"/>
    <w:rsid w:val="00141959"/>
    <w:rsid w:val="00141BF9"/>
    <w:rsid w:val="001422C8"/>
    <w:rsid w:val="001434E8"/>
    <w:rsid w:val="001436C7"/>
    <w:rsid w:val="00143F89"/>
    <w:rsid w:val="00145486"/>
    <w:rsid w:val="00145649"/>
    <w:rsid w:val="00145ED9"/>
    <w:rsid w:val="00146183"/>
    <w:rsid w:val="00146CF3"/>
    <w:rsid w:val="00147990"/>
    <w:rsid w:val="00147F8D"/>
    <w:rsid w:val="00150A21"/>
    <w:rsid w:val="00150B0A"/>
    <w:rsid w:val="0015104F"/>
    <w:rsid w:val="00151053"/>
    <w:rsid w:val="00151B7F"/>
    <w:rsid w:val="00151E3D"/>
    <w:rsid w:val="00152B74"/>
    <w:rsid w:val="001534E4"/>
    <w:rsid w:val="00153BB1"/>
    <w:rsid w:val="00154021"/>
    <w:rsid w:val="00154320"/>
    <w:rsid w:val="0015462A"/>
    <w:rsid w:val="00154FA2"/>
    <w:rsid w:val="00155479"/>
    <w:rsid w:val="00155722"/>
    <w:rsid w:val="00156DA0"/>
    <w:rsid w:val="001570E5"/>
    <w:rsid w:val="0015715A"/>
    <w:rsid w:val="001578DC"/>
    <w:rsid w:val="001604D5"/>
    <w:rsid w:val="00160614"/>
    <w:rsid w:val="0016077B"/>
    <w:rsid w:val="00160855"/>
    <w:rsid w:val="00160B30"/>
    <w:rsid w:val="00161298"/>
    <w:rsid w:val="00161E2C"/>
    <w:rsid w:val="00162DE9"/>
    <w:rsid w:val="00163421"/>
    <w:rsid w:val="001637BA"/>
    <w:rsid w:val="00164C63"/>
    <w:rsid w:val="00164CBC"/>
    <w:rsid w:val="001660DC"/>
    <w:rsid w:val="0016773A"/>
    <w:rsid w:val="00167DD4"/>
    <w:rsid w:val="00171CDB"/>
    <w:rsid w:val="00172A2F"/>
    <w:rsid w:val="00172C78"/>
    <w:rsid w:val="00173231"/>
    <w:rsid w:val="00173961"/>
    <w:rsid w:val="00173ECE"/>
    <w:rsid w:val="0017575A"/>
    <w:rsid w:val="0017669D"/>
    <w:rsid w:val="00176726"/>
    <w:rsid w:val="00177615"/>
    <w:rsid w:val="00177ABA"/>
    <w:rsid w:val="00180365"/>
    <w:rsid w:val="001823E8"/>
    <w:rsid w:val="0018280C"/>
    <w:rsid w:val="00182E0D"/>
    <w:rsid w:val="00183AD8"/>
    <w:rsid w:val="00183F03"/>
    <w:rsid w:val="001859F2"/>
    <w:rsid w:val="001863C8"/>
    <w:rsid w:val="001869C0"/>
    <w:rsid w:val="00187424"/>
    <w:rsid w:val="00190152"/>
    <w:rsid w:val="00190558"/>
    <w:rsid w:val="00190BC9"/>
    <w:rsid w:val="00190D60"/>
    <w:rsid w:val="00190E27"/>
    <w:rsid w:val="001911E4"/>
    <w:rsid w:val="00191AC5"/>
    <w:rsid w:val="00191FB9"/>
    <w:rsid w:val="00192412"/>
    <w:rsid w:val="001933C9"/>
    <w:rsid w:val="00193C14"/>
    <w:rsid w:val="001949FA"/>
    <w:rsid w:val="0019519E"/>
    <w:rsid w:val="001957A9"/>
    <w:rsid w:val="001961EE"/>
    <w:rsid w:val="001972FC"/>
    <w:rsid w:val="00197CBE"/>
    <w:rsid w:val="001A03B6"/>
    <w:rsid w:val="001A0910"/>
    <w:rsid w:val="001A126C"/>
    <w:rsid w:val="001A257C"/>
    <w:rsid w:val="001A25CA"/>
    <w:rsid w:val="001A3505"/>
    <w:rsid w:val="001A35BC"/>
    <w:rsid w:val="001A3AC6"/>
    <w:rsid w:val="001A3EF9"/>
    <w:rsid w:val="001A4935"/>
    <w:rsid w:val="001A496F"/>
    <w:rsid w:val="001A55DB"/>
    <w:rsid w:val="001A5606"/>
    <w:rsid w:val="001A5C6E"/>
    <w:rsid w:val="001A613C"/>
    <w:rsid w:val="001A7320"/>
    <w:rsid w:val="001A77CE"/>
    <w:rsid w:val="001B063C"/>
    <w:rsid w:val="001B1167"/>
    <w:rsid w:val="001B1806"/>
    <w:rsid w:val="001B2405"/>
    <w:rsid w:val="001B29B3"/>
    <w:rsid w:val="001B3596"/>
    <w:rsid w:val="001B4D67"/>
    <w:rsid w:val="001B5365"/>
    <w:rsid w:val="001B58F0"/>
    <w:rsid w:val="001B60B9"/>
    <w:rsid w:val="001B6329"/>
    <w:rsid w:val="001B73C0"/>
    <w:rsid w:val="001B793D"/>
    <w:rsid w:val="001B7A9F"/>
    <w:rsid w:val="001C052D"/>
    <w:rsid w:val="001C074B"/>
    <w:rsid w:val="001C0C41"/>
    <w:rsid w:val="001C0CF5"/>
    <w:rsid w:val="001C1034"/>
    <w:rsid w:val="001C109A"/>
    <w:rsid w:val="001C1181"/>
    <w:rsid w:val="001C1470"/>
    <w:rsid w:val="001C19C5"/>
    <w:rsid w:val="001C2369"/>
    <w:rsid w:val="001C2A45"/>
    <w:rsid w:val="001C3A21"/>
    <w:rsid w:val="001C507A"/>
    <w:rsid w:val="001C5A80"/>
    <w:rsid w:val="001C64D5"/>
    <w:rsid w:val="001C758F"/>
    <w:rsid w:val="001C779D"/>
    <w:rsid w:val="001D024B"/>
    <w:rsid w:val="001D1766"/>
    <w:rsid w:val="001D1E07"/>
    <w:rsid w:val="001D28F0"/>
    <w:rsid w:val="001D2ACD"/>
    <w:rsid w:val="001D3BA2"/>
    <w:rsid w:val="001D44CB"/>
    <w:rsid w:val="001D541F"/>
    <w:rsid w:val="001D56A3"/>
    <w:rsid w:val="001D6393"/>
    <w:rsid w:val="001D7037"/>
    <w:rsid w:val="001D73F0"/>
    <w:rsid w:val="001D77CA"/>
    <w:rsid w:val="001D7822"/>
    <w:rsid w:val="001E332D"/>
    <w:rsid w:val="001E3C4B"/>
    <w:rsid w:val="001E3C8E"/>
    <w:rsid w:val="001E4801"/>
    <w:rsid w:val="001E4CF8"/>
    <w:rsid w:val="001E56A8"/>
    <w:rsid w:val="001E6D0C"/>
    <w:rsid w:val="001E6DE9"/>
    <w:rsid w:val="001E6FC2"/>
    <w:rsid w:val="001E76A1"/>
    <w:rsid w:val="001F0178"/>
    <w:rsid w:val="001F0AD3"/>
    <w:rsid w:val="001F0BFD"/>
    <w:rsid w:val="001F16D1"/>
    <w:rsid w:val="001F2593"/>
    <w:rsid w:val="001F3681"/>
    <w:rsid w:val="001F40A6"/>
    <w:rsid w:val="001F4192"/>
    <w:rsid w:val="001F41FC"/>
    <w:rsid w:val="001F53EE"/>
    <w:rsid w:val="001F5F02"/>
    <w:rsid w:val="001F600E"/>
    <w:rsid w:val="001F67BF"/>
    <w:rsid w:val="001F7D73"/>
    <w:rsid w:val="002003CC"/>
    <w:rsid w:val="00200850"/>
    <w:rsid w:val="00200BCC"/>
    <w:rsid w:val="00200DDB"/>
    <w:rsid w:val="002027D1"/>
    <w:rsid w:val="00202D9A"/>
    <w:rsid w:val="0020340A"/>
    <w:rsid w:val="00203598"/>
    <w:rsid w:val="00204B00"/>
    <w:rsid w:val="002053B6"/>
    <w:rsid w:val="002058F6"/>
    <w:rsid w:val="00206559"/>
    <w:rsid w:val="002100B9"/>
    <w:rsid w:val="00211206"/>
    <w:rsid w:val="002117DC"/>
    <w:rsid w:val="00211A1E"/>
    <w:rsid w:val="00211A82"/>
    <w:rsid w:val="00211FE8"/>
    <w:rsid w:val="00212191"/>
    <w:rsid w:val="002124BC"/>
    <w:rsid w:val="00213994"/>
    <w:rsid w:val="00213A2B"/>
    <w:rsid w:val="0021487B"/>
    <w:rsid w:val="00215B30"/>
    <w:rsid w:val="002177DF"/>
    <w:rsid w:val="00217810"/>
    <w:rsid w:val="00217BF5"/>
    <w:rsid w:val="0022026B"/>
    <w:rsid w:val="002213CF"/>
    <w:rsid w:val="0022161B"/>
    <w:rsid w:val="00221A3F"/>
    <w:rsid w:val="00221F6F"/>
    <w:rsid w:val="002228A2"/>
    <w:rsid w:val="00222ECA"/>
    <w:rsid w:val="002232C2"/>
    <w:rsid w:val="002262CB"/>
    <w:rsid w:val="00226479"/>
    <w:rsid w:val="00226A70"/>
    <w:rsid w:val="00226D9A"/>
    <w:rsid w:val="0022702A"/>
    <w:rsid w:val="0022778A"/>
    <w:rsid w:val="00227994"/>
    <w:rsid w:val="002309D2"/>
    <w:rsid w:val="0023128E"/>
    <w:rsid w:val="0023188C"/>
    <w:rsid w:val="00231C0B"/>
    <w:rsid w:val="00231EFF"/>
    <w:rsid w:val="00233DB7"/>
    <w:rsid w:val="00233FDE"/>
    <w:rsid w:val="002342A0"/>
    <w:rsid w:val="002342AD"/>
    <w:rsid w:val="00234C08"/>
    <w:rsid w:val="00235CA3"/>
    <w:rsid w:val="00235E8C"/>
    <w:rsid w:val="00235F70"/>
    <w:rsid w:val="00236672"/>
    <w:rsid w:val="00236CFB"/>
    <w:rsid w:val="002377E4"/>
    <w:rsid w:val="002377F0"/>
    <w:rsid w:val="0024020B"/>
    <w:rsid w:val="0024067C"/>
    <w:rsid w:val="002407F7"/>
    <w:rsid w:val="00240A63"/>
    <w:rsid w:val="00241D6D"/>
    <w:rsid w:val="002424E4"/>
    <w:rsid w:val="002427E3"/>
    <w:rsid w:val="00242BAE"/>
    <w:rsid w:val="0024487A"/>
    <w:rsid w:val="00244ECE"/>
    <w:rsid w:val="00245868"/>
    <w:rsid w:val="00245BEA"/>
    <w:rsid w:val="00245E10"/>
    <w:rsid w:val="00246151"/>
    <w:rsid w:val="00246564"/>
    <w:rsid w:val="00246C8F"/>
    <w:rsid w:val="00247516"/>
    <w:rsid w:val="00247D97"/>
    <w:rsid w:val="0025012A"/>
    <w:rsid w:val="00250EDB"/>
    <w:rsid w:val="002513A4"/>
    <w:rsid w:val="00251ACE"/>
    <w:rsid w:val="00252F65"/>
    <w:rsid w:val="00252FCC"/>
    <w:rsid w:val="002530A5"/>
    <w:rsid w:val="0025378F"/>
    <w:rsid w:val="00253C5E"/>
    <w:rsid w:val="00254AD7"/>
    <w:rsid w:val="00254D5C"/>
    <w:rsid w:val="00255210"/>
    <w:rsid w:val="00256861"/>
    <w:rsid w:val="002568A4"/>
    <w:rsid w:val="002568F4"/>
    <w:rsid w:val="00256B8D"/>
    <w:rsid w:val="00257D32"/>
    <w:rsid w:val="002607DC"/>
    <w:rsid w:val="002608E3"/>
    <w:rsid w:val="002614C0"/>
    <w:rsid w:val="0026182E"/>
    <w:rsid w:val="002624C4"/>
    <w:rsid w:val="00262716"/>
    <w:rsid w:val="00262ECB"/>
    <w:rsid w:val="002631D2"/>
    <w:rsid w:val="002637D5"/>
    <w:rsid w:val="00264138"/>
    <w:rsid w:val="00265112"/>
    <w:rsid w:val="00265535"/>
    <w:rsid w:val="00266AA2"/>
    <w:rsid w:val="0026758C"/>
    <w:rsid w:val="00267C15"/>
    <w:rsid w:val="002705E0"/>
    <w:rsid w:val="00270BC7"/>
    <w:rsid w:val="00270EEA"/>
    <w:rsid w:val="002714B2"/>
    <w:rsid w:val="00271BDC"/>
    <w:rsid w:val="00272264"/>
    <w:rsid w:val="002726C4"/>
    <w:rsid w:val="00275318"/>
    <w:rsid w:val="0027567D"/>
    <w:rsid w:val="00276448"/>
    <w:rsid w:val="00276979"/>
    <w:rsid w:val="002772D4"/>
    <w:rsid w:val="00277B96"/>
    <w:rsid w:val="00280262"/>
    <w:rsid w:val="0028162F"/>
    <w:rsid w:val="00282044"/>
    <w:rsid w:val="00282836"/>
    <w:rsid w:val="00282E2E"/>
    <w:rsid w:val="0028446E"/>
    <w:rsid w:val="002849CF"/>
    <w:rsid w:val="00284B26"/>
    <w:rsid w:val="00284E8F"/>
    <w:rsid w:val="002855A8"/>
    <w:rsid w:val="00285E7A"/>
    <w:rsid w:val="00286425"/>
    <w:rsid w:val="002865DF"/>
    <w:rsid w:val="00286D1B"/>
    <w:rsid w:val="00290B74"/>
    <w:rsid w:val="00290F5B"/>
    <w:rsid w:val="002911CF"/>
    <w:rsid w:val="002923BC"/>
    <w:rsid w:val="00292677"/>
    <w:rsid w:val="00293BBA"/>
    <w:rsid w:val="002941EE"/>
    <w:rsid w:val="0029589C"/>
    <w:rsid w:val="00295D8D"/>
    <w:rsid w:val="00296818"/>
    <w:rsid w:val="00296AD8"/>
    <w:rsid w:val="00297207"/>
    <w:rsid w:val="0029758F"/>
    <w:rsid w:val="002975F0"/>
    <w:rsid w:val="00297C11"/>
    <w:rsid w:val="00297E77"/>
    <w:rsid w:val="002A099C"/>
    <w:rsid w:val="002A12F9"/>
    <w:rsid w:val="002A1D21"/>
    <w:rsid w:val="002A23D6"/>
    <w:rsid w:val="002A2A95"/>
    <w:rsid w:val="002A2CCA"/>
    <w:rsid w:val="002A39AE"/>
    <w:rsid w:val="002A3F51"/>
    <w:rsid w:val="002A43B8"/>
    <w:rsid w:val="002A4EB4"/>
    <w:rsid w:val="002A5334"/>
    <w:rsid w:val="002A54DB"/>
    <w:rsid w:val="002A5677"/>
    <w:rsid w:val="002A5DE1"/>
    <w:rsid w:val="002A7E78"/>
    <w:rsid w:val="002B07C2"/>
    <w:rsid w:val="002B112D"/>
    <w:rsid w:val="002B1289"/>
    <w:rsid w:val="002B134E"/>
    <w:rsid w:val="002B1DA4"/>
    <w:rsid w:val="002B208A"/>
    <w:rsid w:val="002B2325"/>
    <w:rsid w:val="002B244D"/>
    <w:rsid w:val="002B293A"/>
    <w:rsid w:val="002B2C83"/>
    <w:rsid w:val="002B31CB"/>
    <w:rsid w:val="002B5638"/>
    <w:rsid w:val="002B5FD8"/>
    <w:rsid w:val="002B7009"/>
    <w:rsid w:val="002C0AFF"/>
    <w:rsid w:val="002C178B"/>
    <w:rsid w:val="002C2366"/>
    <w:rsid w:val="002C2F69"/>
    <w:rsid w:val="002C30A7"/>
    <w:rsid w:val="002C38F2"/>
    <w:rsid w:val="002C4429"/>
    <w:rsid w:val="002C4604"/>
    <w:rsid w:val="002C464B"/>
    <w:rsid w:val="002C4DAD"/>
    <w:rsid w:val="002C5331"/>
    <w:rsid w:val="002C5A30"/>
    <w:rsid w:val="002C5E39"/>
    <w:rsid w:val="002C6801"/>
    <w:rsid w:val="002C697B"/>
    <w:rsid w:val="002D0F11"/>
    <w:rsid w:val="002D181A"/>
    <w:rsid w:val="002D246A"/>
    <w:rsid w:val="002D2C7D"/>
    <w:rsid w:val="002D34D4"/>
    <w:rsid w:val="002D34E2"/>
    <w:rsid w:val="002D364F"/>
    <w:rsid w:val="002D4306"/>
    <w:rsid w:val="002D5205"/>
    <w:rsid w:val="002D6451"/>
    <w:rsid w:val="002D6E9D"/>
    <w:rsid w:val="002D7FBF"/>
    <w:rsid w:val="002E00E9"/>
    <w:rsid w:val="002E04F7"/>
    <w:rsid w:val="002E1070"/>
    <w:rsid w:val="002E16AA"/>
    <w:rsid w:val="002E26A1"/>
    <w:rsid w:val="002E2E5E"/>
    <w:rsid w:val="002E30C6"/>
    <w:rsid w:val="002E30F9"/>
    <w:rsid w:val="002E384A"/>
    <w:rsid w:val="002E398B"/>
    <w:rsid w:val="002E4537"/>
    <w:rsid w:val="002E4B82"/>
    <w:rsid w:val="002E5AC7"/>
    <w:rsid w:val="002E6066"/>
    <w:rsid w:val="002E61F9"/>
    <w:rsid w:val="002E671D"/>
    <w:rsid w:val="002E69DF"/>
    <w:rsid w:val="002E7423"/>
    <w:rsid w:val="002E75B9"/>
    <w:rsid w:val="002E7920"/>
    <w:rsid w:val="002F188F"/>
    <w:rsid w:val="002F2506"/>
    <w:rsid w:val="002F2507"/>
    <w:rsid w:val="002F2825"/>
    <w:rsid w:val="002F3F68"/>
    <w:rsid w:val="002F5E6E"/>
    <w:rsid w:val="002F6683"/>
    <w:rsid w:val="002F76FC"/>
    <w:rsid w:val="002F7CF6"/>
    <w:rsid w:val="002F7FB7"/>
    <w:rsid w:val="00300D51"/>
    <w:rsid w:val="0030105D"/>
    <w:rsid w:val="00301161"/>
    <w:rsid w:val="00302208"/>
    <w:rsid w:val="00302A6A"/>
    <w:rsid w:val="00303B8F"/>
    <w:rsid w:val="00303EDA"/>
    <w:rsid w:val="00303F9C"/>
    <w:rsid w:val="00305626"/>
    <w:rsid w:val="00305821"/>
    <w:rsid w:val="003058E0"/>
    <w:rsid w:val="00305B63"/>
    <w:rsid w:val="003061D0"/>
    <w:rsid w:val="00306356"/>
    <w:rsid w:val="003069BD"/>
    <w:rsid w:val="00306F02"/>
    <w:rsid w:val="003075AA"/>
    <w:rsid w:val="0030792A"/>
    <w:rsid w:val="00307B34"/>
    <w:rsid w:val="00307B69"/>
    <w:rsid w:val="00307E37"/>
    <w:rsid w:val="00310989"/>
    <w:rsid w:val="00311A12"/>
    <w:rsid w:val="00311F6A"/>
    <w:rsid w:val="00312054"/>
    <w:rsid w:val="00313B78"/>
    <w:rsid w:val="00314A08"/>
    <w:rsid w:val="00314D50"/>
    <w:rsid w:val="003150ED"/>
    <w:rsid w:val="00315AA1"/>
    <w:rsid w:val="00315F04"/>
    <w:rsid w:val="003165DA"/>
    <w:rsid w:val="003205D7"/>
    <w:rsid w:val="00320D7B"/>
    <w:rsid w:val="00320E12"/>
    <w:rsid w:val="00321731"/>
    <w:rsid w:val="00321A38"/>
    <w:rsid w:val="00321BD0"/>
    <w:rsid w:val="0032262B"/>
    <w:rsid w:val="0032290F"/>
    <w:rsid w:val="00322ECF"/>
    <w:rsid w:val="0032353F"/>
    <w:rsid w:val="00323EEF"/>
    <w:rsid w:val="003244EC"/>
    <w:rsid w:val="003251CF"/>
    <w:rsid w:val="0033028B"/>
    <w:rsid w:val="00330473"/>
    <w:rsid w:val="0033073D"/>
    <w:rsid w:val="00331868"/>
    <w:rsid w:val="00331C68"/>
    <w:rsid w:val="00332130"/>
    <w:rsid w:val="00332D0E"/>
    <w:rsid w:val="00333B4F"/>
    <w:rsid w:val="0033420A"/>
    <w:rsid w:val="0033443F"/>
    <w:rsid w:val="00334AAF"/>
    <w:rsid w:val="00334C96"/>
    <w:rsid w:val="003352E3"/>
    <w:rsid w:val="00335F2E"/>
    <w:rsid w:val="00337392"/>
    <w:rsid w:val="0033770E"/>
    <w:rsid w:val="003378AB"/>
    <w:rsid w:val="003405D2"/>
    <w:rsid w:val="0034087F"/>
    <w:rsid w:val="00340D2B"/>
    <w:rsid w:val="00341C35"/>
    <w:rsid w:val="0034244F"/>
    <w:rsid w:val="00342CD1"/>
    <w:rsid w:val="00343445"/>
    <w:rsid w:val="00343540"/>
    <w:rsid w:val="003436D7"/>
    <w:rsid w:val="00343B56"/>
    <w:rsid w:val="00343B80"/>
    <w:rsid w:val="00343CA4"/>
    <w:rsid w:val="00343FFE"/>
    <w:rsid w:val="00344410"/>
    <w:rsid w:val="0034445F"/>
    <w:rsid w:val="00344686"/>
    <w:rsid w:val="00344B66"/>
    <w:rsid w:val="00344D86"/>
    <w:rsid w:val="0034536C"/>
    <w:rsid w:val="0034559D"/>
    <w:rsid w:val="0034594F"/>
    <w:rsid w:val="00345B70"/>
    <w:rsid w:val="00347122"/>
    <w:rsid w:val="00347222"/>
    <w:rsid w:val="003475B6"/>
    <w:rsid w:val="00347FC4"/>
    <w:rsid w:val="003503FE"/>
    <w:rsid w:val="0035104D"/>
    <w:rsid w:val="00351265"/>
    <w:rsid w:val="00351EF8"/>
    <w:rsid w:val="003534E5"/>
    <w:rsid w:val="003542D7"/>
    <w:rsid w:val="003543CF"/>
    <w:rsid w:val="00355BB9"/>
    <w:rsid w:val="003560F4"/>
    <w:rsid w:val="00356746"/>
    <w:rsid w:val="003576AE"/>
    <w:rsid w:val="00357C5A"/>
    <w:rsid w:val="00360299"/>
    <w:rsid w:val="00360875"/>
    <w:rsid w:val="00360EF0"/>
    <w:rsid w:val="00361440"/>
    <w:rsid w:val="00361896"/>
    <w:rsid w:val="003618D4"/>
    <w:rsid w:val="00362076"/>
    <w:rsid w:val="003621C3"/>
    <w:rsid w:val="003630D4"/>
    <w:rsid w:val="003653F3"/>
    <w:rsid w:val="00367DF3"/>
    <w:rsid w:val="00370C8F"/>
    <w:rsid w:val="0037160F"/>
    <w:rsid w:val="003718D8"/>
    <w:rsid w:val="00371C3D"/>
    <w:rsid w:val="00371FD3"/>
    <w:rsid w:val="0037283A"/>
    <w:rsid w:val="003729B0"/>
    <w:rsid w:val="00372BDE"/>
    <w:rsid w:val="00372F79"/>
    <w:rsid w:val="00373128"/>
    <w:rsid w:val="00373AAD"/>
    <w:rsid w:val="00373AE2"/>
    <w:rsid w:val="00373DBD"/>
    <w:rsid w:val="0037484A"/>
    <w:rsid w:val="00374975"/>
    <w:rsid w:val="00374C6F"/>
    <w:rsid w:val="00375F69"/>
    <w:rsid w:val="00375F6C"/>
    <w:rsid w:val="0037664D"/>
    <w:rsid w:val="00377104"/>
    <w:rsid w:val="003804BC"/>
    <w:rsid w:val="003805E8"/>
    <w:rsid w:val="003808BB"/>
    <w:rsid w:val="0038101A"/>
    <w:rsid w:val="003811F0"/>
    <w:rsid w:val="00381601"/>
    <w:rsid w:val="003816CC"/>
    <w:rsid w:val="003816EB"/>
    <w:rsid w:val="00381BB6"/>
    <w:rsid w:val="003831C5"/>
    <w:rsid w:val="0038456D"/>
    <w:rsid w:val="003849A9"/>
    <w:rsid w:val="00384D8E"/>
    <w:rsid w:val="003850BC"/>
    <w:rsid w:val="00386F65"/>
    <w:rsid w:val="00387269"/>
    <w:rsid w:val="00387C16"/>
    <w:rsid w:val="00387F38"/>
    <w:rsid w:val="0039023A"/>
    <w:rsid w:val="00390581"/>
    <w:rsid w:val="003908D5"/>
    <w:rsid w:val="00391E63"/>
    <w:rsid w:val="00391FB7"/>
    <w:rsid w:val="00392DBB"/>
    <w:rsid w:val="00393793"/>
    <w:rsid w:val="00393CE2"/>
    <w:rsid w:val="00393EE1"/>
    <w:rsid w:val="003942A9"/>
    <w:rsid w:val="003949F6"/>
    <w:rsid w:val="00394FA6"/>
    <w:rsid w:val="003966C1"/>
    <w:rsid w:val="00397BDF"/>
    <w:rsid w:val="003A18AB"/>
    <w:rsid w:val="003A18E6"/>
    <w:rsid w:val="003A28C4"/>
    <w:rsid w:val="003A2BBE"/>
    <w:rsid w:val="003A2C38"/>
    <w:rsid w:val="003A2CE3"/>
    <w:rsid w:val="003A39A0"/>
    <w:rsid w:val="003A3EB2"/>
    <w:rsid w:val="003A46AB"/>
    <w:rsid w:val="003A4EBE"/>
    <w:rsid w:val="003A63F2"/>
    <w:rsid w:val="003A716B"/>
    <w:rsid w:val="003A75A9"/>
    <w:rsid w:val="003A7DC3"/>
    <w:rsid w:val="003B0168"/>
    <w:rsid w:val="003B0515"/>
    <w:rsid w:val="003B05B0"/>
    <w:rsid w:val="003B09FE"/>
    <w:rsid w:val="003B0A9B"/>
    <w:rsid w:val="003B0BF4"/>
    <w:rsid w:val="003B11D9"/>
    <w:rsid w:val="003B1A9E"/>
    <w:rsid w:val="003B1BA3"/>
    <w:rsid w:val="003B24EB"/>
    <w:rsid w:val="003B27ED"/>
    <w:rsid w:val="003B2C61"/>
    <w:rsid w:val="003B37CA"/>
    <w:rsid w:val="003B398F"/>
    <w:rsid w:val="003B3AE3"/>
    <w:rsid w:val="003B42B9"/>
    <w:rsid w:val="003B42E2"/>
    <w:rsid w:val="003B4988"/>
    <w:rsid w:val="003B4BF2"/>
    <w:rsid w:val="003B5F42"/>
    <w:rsid w:val="003B70AE"/>
    <w:rsid w:val="003B7202"/>
    <w:rsid w:val="003C0EE1"/>
    <w:rsid w:val="003C1016"/>
    <w:rsid w:val="003C10A7"/>
    <w:rsid w:val="003C1334"/>
    <w:rsid w:val="003C179A"/>
    <w:rsid w:val="003C283E"/>
    <w:rsid w:val="003C34A7"/>
    <w:rsid w:val="003C353B"/>
    <w:rsid w:val="003C36FA"/>
    <w:rsid w:val="003C3B61"/>
    <w:rsid w:val="003C4145"/>
    <w:rsid w:val="003C52D1"/>
    <w:rsid w:val="003C5525"/>
    <w:rsid w:val="003C6609"/>
    <w:rsid w:val="003C6FEE"/>
    <w:rsid w:val="003C742D"/>
    <w:rsid w:val="003D01D8"/>
    <w:rsid w:val="003D0665"/>
    <w:rsid w:val="003D0D1B"/>
    <w:rsid w:val="003D13D2"/>
    <w:rsid w:val="003D151D"/>
    <w:rsid w:val="003D1B2B"/>
    <w:rsid w:val="003D22E1"/>
    <w:rsid w:val="003D31F5"/>
    <w:rsid w:val="003D326E"/>
    <w:rsid w:val="003D5654"/>
    <w:rsid w:val="003D5D85"/>
    <w:rsid w:val="003D6D8C"/>
    <w:rsid w:val="003D70E2"/>
    <w:rsid w:val="003E0090"/>
    <w:rsid w:val="003E0702"/>
    <w:rsid w:val="003E0CE6"/>
    <w:rsid w:val="003E0D66"/>
    <w:rsid w:val="003E1E62"/>
    <w:rsid w:val="003E25E2"/>
    <w:rsid w:val="003E3CC6"/>
    <w:rsid w:val="003E4708"/>
    <w:rsid w:val="003E48DA"/>
    <w:rsid w:val="003E4965"/>
    <w:rsid w:val="003E4B87"/>
    <w:rsid w:val="003E60B5"/>
    <w:rsid w:val="003E659F"/>
    <w:rsid w:val="003E71D2"/>
    <w:rsid w:val="003E7730"/>
    <w:rsid w:val="003F0957"/>
    <w:rsid w:val="003F0EB8"/>
    <w:rsid w:val="003F177F"/>
    <w:rsid w:val="003F1D5C"/>
    <w:rsid w:val="003F21E2"/>
    <w:rsid w:val="003F293F"/>
    <w:rsid w:val="003F2C91"/>
    <w:rsid w:val="003F414F"/>
    <w:rsid w:val="003F4293"/>
    <w:rsid w:val="003F67FB"/>
    <w:rsid w:val="003F680A"/>
    <w:rsid w:val="003F68D4"/>
    <w:rsid w:val="003F6EC5"/>
    <w:rsid w:val="003F788C"/>
    <w:rsid w:val="003F7D07"/>
    <w:rsid w:val="00400673"/>
    <w:rsid w:val="00401028"/>
    <w:rsid w:val="0040259C"/>
    <w:rsid w:val="00404CE7"/>
    <w:rsid w:val="00404E35"/>
    <w:rsid w:val="00406E3D"/>
    <w:rsid w:val="00407F54"/>
    <w:rsid w:val="004110E7"/>
    <w:rsid w:val="00413B85"/>
    <w:rsid w:val="004140AD"/>
    <w:rsid w:val="00414436"/>
    <w:rsid w:val="004144EE"/>
    <w:rsid w:val="00414AE0"/>
    <w:rsid w:val="00414E57"/>
    <w:rsid w:val="00415A9F"/>
    <w:rsid w:val="00416592"/>
    <w:rsid w:val="00417588"/>
    <w:rsid w:val="00417780"/>
    <w:rsid w:val="00417937"/>
    <w:rsid w:val="00417DBC"/>
    <w:rsid w:val="00420659"/>
    <w:rsid w:val="0042066B"/>
    <w:rsid w:val="004208F3"/>
    <w:rsid w:val="00420AF3"/>
    <w:rsid w:val="00420FEC"/>
    <w:rsid w:val="004214A3"/>
    <w:rsid w:val="004216B6"/>
    <w:rsid w:val="00421AC9"/>
    <w:rsid w:val="00421BF9"/>
    <w:rsid w:val="004233AC"/>
    <w:rsid w:val="0042340A"/>
    <w:rsid w:val="004239E7"/>
    <w:rsid w:val="00425661"/>
    <w:rsid w:val="00426242"/>
    <w:rsid w:val="0042695F"/>
    <w:rsid w:val="00426CDA"/>
    <w:rsid w:val="00427183"/>
    <w:rsid w:val="00427580"/>
    <w:rsid w:val="00427A14"/>
    <w:rsid w:val="00430574"/>
    <w:rsid w:val="00430E0B"/>
    <w:rsid w:val="00433559"/>
    <w:rsid w:val="0043428B"/>
    <w:rsid w:val="00434984"/>
    <w:rsid w:val="00434B3D"/>
    <w:rsid w:val="00435554"/>
    <w:rsid w:val="004361C7"/>
    <w:rsid w:val="00436483"/>
    <w:rsid w:val="0043686D"/>
    <w:rsid w:val="00436BFB"/>
    <w:rsid w:val="0044088C"/>
    <w:rsid w:val="004409BD"/>
    <w:rsid w:val="004411F3"/>
    <w:rsid w:val="004412D4"/>
    <w:rsid w:val="004417E1"/>
    <w:rsid w:val="00441A0F"/>
    <w:rsid w:val="00442BED"/>
    <w:rsid w:val="00442D45"/>
    <w:rsid w:val="00443069"/>
    <w:rsid w:val="0044382D"/>
    <w:rsid w:val="00443A35"/>
    <w:rsid w:val="00443A4D"/>
    <w:rsid w:val="00443B67"/>
    <w:rsid w:val="004443E4"/>
    <w:rsid w:val="004453D8"/>
    <w:rsid w:val="004462AE"/>
    <w:rsid w:val="00446F4D"/>
    <w:rsid w:val="00447C46"/>
    <w:rsid w:val="0045051C"/>
    <w:rsid w:val="00450A27"/>
    <w:rsid w:val="00450D9D"/>
    <w:rsid w:val="00452442"/>
    <w:rsid w:val="004527ED"/>
    <w:rsid w:val="004528FB"/>
    <w:rsid w:val="00453AFC"/>
    <w:rsid w:val="00453FCC"/>
    <w:rsid w:val="0045449E"/>
    <w:rsid w:val="00455EC6"/>
    <w:rsid w:val="00456198"/>
    <w:rsid w:val="004561BF"/>
    <w:rsid w:val="0045666D"/>
    <w:rsid w:val="004569B2"/>
    <w:rsid w:val="00457B7F"/>
    <w:rsid w:val="00457C80"/>
    <w:rsid w:val="00461325"/>
    <w:rsid w:val="0046207B"/>
    <w:rsid w:val="00462182"/>
    <w:rsid w:val="004628E3"/>
    <w:rsid w:val="00462C18"/>
    <w:rsid w:val="00463264"/>
    <w:rsid w:val="004637AA"/>
    <w:rsid w:val="004643AF"/>
    <w:rsid w:val="004645DA"/>
    <w:rsid w:val="0046461A"/>
    <w:rsid w:val="004649CC"/>
    <w:rsid w:val="00465026"/>
    <w:rsid w:val="0046531B"/>
    <w:rsid w:val="00465430"/>
    <w:rsid w:val="00465B55"/>
    <w:rsid w:val="00466DD3"/>
    <w:rsid w:val="004675D3"/>
    <w:rsid w:val="00467B2A"/>
    <w:rsid w:val="00467DA7"/>
    <w:rsid w:val="004703ED"/>
    <w:rsid w:val="00471887"/>
    <w:rsid w:val="00471F8D"/>
    <w:rsid w:val="00472232"/>
    <w:rsid w:val="004726B3"/>
    <w:rsid w:val="00472D2D"/>
    <w:rsid w:val="00472EAC"/>
    <w:rsid w:val="00473191"/>
    <w:rsid w:val="00473375"/>
    <w:rsid w:val="004734CC"/>
    <w:rsid w:val="004735BA"/>
    <w:rsid w:val="0047371A"/>
    <w:rsid w:val="0047394D"/>
    <w:rsid w:val="00474E7B"/>
    <w:rsid w:val="0047585D"/>
    <w:rsid w:val="00475919"/>
    <w:rsid w:val="004759CB"/>
    <w:rsid w:val="00475C3F"/>
    <w:rsid w:val="00475D38"/>
    <w:rsid w:val="00476B73"/>
    <w:rsid w:val="00476F87"/>
    <w:rsid w:val="0047768B"/>
    <w:rsid w:val="00477B20"/>
    <w:rsid w:val="00477C7D"/>
    <w:rsid w:val="00480887"/>
    <w:rsid w:val="004823CC"/>
    <w:rsid w:val="004827DF"/>
    <w:rsid w:val="00482E4F"/>
    <w:rsid w:val="00483783"/>
    <w:rsid w:val="00483F7E"/>
    <w:rsid w:val="004841D6"/>
    <w:rsid w:val="0048439E"/>
    <w:rsid w:val="0048457B"/>
    <w:rsid w:val="00484FC0"/>
    <w:rsid w:val="004855DD"/>
    <w:rsid w:val="00486027"/>
    <w:rsid w:val="0048798B"/>
    <w:rsid w:val="004900E7"/>
    <w:rsid w:val="00490AA9"/>
    <w:rsid w:val="0049132E"/>
    <w:rsid w:val="004918C1"/>
    <w:rsid w:val="00491EC4"/>
    <w:rsid w:val="00491F27"/>
    <w:rsid w:val="00492E8A"/>
    <w:rsid w:val="00493350"/>
    <w:rsid w:val="0049357F"/>
    <w:rsid w:val="00494F38"/>
    <w:rsid w:val="00496115"/>
    <w:rsid w:val="0049627A"/>
    <w:rsid w:val="00497220"/>
    <w:rsid w:val="0049765E"/>
    <w:rsid w:val="004A053E"/>
    <w:rsid w:val="004A0C4C"/>
    <w:rsid w:val="004A0C8F"/>
    <w:rsid w:val="004A1520"/>
    <w:rsid w:val="004A2888"/>
    <w:rsid w:val="004A34F9"/>
    <w:rsid w:val="004A39A2"/>
    <w:rsid w:val="004A6A11"/>
    <w:rsid w:val="004A6F71"/>
    <w:rsid w:val="004A72F3"/>
    <w:rsid w:val="004A75CF"/>
    <w:rsid w:val="004A7A50"/>
    <w:rsid w:val="004B0063"/>
    <w:rsid w:val="004B074E"/>
    <w:rsid w:val="004B0FBE"/>
    <w:rsid w:val="004B1393"/>
    <w:rsid w:val="004B1827"/>
    <w:rsid w:val="004B236C"/>
    <w:rsid w:val="004B258D"/>
    <w:rsid w:val="004B33DC"/>
    <w:rsid w:val="004B3C5E"/>
    <w:rsid w:val="004B5A4E"/>
    <w:rsid w:val="004B5DD6"/>
    <w:rsid w:val="004B5F2B"/>
    <w:rsid w:val="004B6766"/>
    <w:rsid w:val="004B693D"/>
    <w:rsid w:val="004B6EA3"/>
    <w:rsid w:val="004B7B3B"/>
    <w:rsid w:val="004B7D03"/>
    <w:rsid w:val="004B7DDB"/>
    <w:rsid w:val="004B7E92"/>
    <w:rsid w:val="004C18A5"/>
    <w:rsid w:val="004C18E5"/>
    <w:rsid w:val="004C19D9"/>
    <w:rsid w:val="004C1A49"/>
    <w:rsid w:val="004C1F77"/>
    <w:rsid w:val="004C4535"/>
    <w:rsid w:val="004C4BB2"/>
    <w:rsid w:val="004C5033"/>
    <w:rsid w:val="004C5EAD"/>
    <w:rsid w:val="004C6846"/>
    <w:rsid w:val="004C74EF"/>
    <w:rsid w:val="004C7894"/>
    <w:rsid w:val="004D01A0"/>
    <w:rsid w:val="004D0C90"/>
    <w:rsid w:val="004D12C0"/>
    <w:rsid w:val="004D2268"/>
    <w:rsid w:val="004D26E3"/>
    <w:rsid w:val="004D2853"/>
    <w:rsid w:val="004D2DC7"/>
    <w:rsid w:val="004D42B4"/>
    <w:rsid w:val="004D47A1"/>
    <w:rsid w:val="004D4B7C"/>
    <w:rsid w:val="004D4EA6"/>
    <w:rsid w:val="004D5114"/>
    <w:rsid w:val="004D52FD"/>
    <w:rsid w:val="004D576C"/>
    <w:rsid w:val="004D6764"/>
    <w:rsid w:val="004D7232"/>
    <w:rsid w:val="004D7BF6"/>
    <w:rsid w:val="004E03D8"/>
    <w:rsid w:val="004E0B35"/>
    <w:rsid w:val="004E479C"/>
    <w:rsid w:val="004E4A6B"/>
    <w:rsid w:val="004E5D42"/>
    <w:rsid w:val="004E6031"/>
    <w:rsid w:val="004E657B"/>
    <w:rsid w:val="004E6C02"/>
    <w:rsid w:val="004E6E3F"/>
    <w:rsid w:val="004E72C6"/>
    <w:rsid w:val="004E7CDE"/>
    <w:rsid w:val="004F0A7E"/>
    <w:rsid w:val="004F1995"/>
    <w:rsid w:val="004F24A9"/>
    <w:rsid w:val="004F3134"/>
    <w:rsid w:val="004F34A0"/>
    <w:rsid w:val="004F457F"/>
    <w:rsid w:val="004F4C6F"/>
    <w:rsid w:val="004F5118"/>
    <w:rsid w:val="004F58AB"/>
    <w:rsid w:val="004F5A13"/>
    <w:rsid w:val="004F5AC8"/>
    <w:rsid w:val="004F69CD"/>
    <w:rsid w:val="004F6B9B"/>
    <w:rsid w:val="004F73D4"/>
    <w:rsid w:val="004F7DF7"/>
    <w:rsid w:val="00502462"/>
    <w:rsid w:val="00503206"/>
    <w:rsid w:val="00503761"/>
    <w:rsid w:val="00503E9E"/>
    <w:rsid w:val="00504687"/>
    <w:rsid w:val="00504DD0"/>
    <w:rsid w:val="00504EFA"/>
    <w:rsid w:val="00505378"/>
    <w:rsid w:val="00506326"/>
    <w:rsid w:val="00506969"/>
    <w:rsid w:val="00507378"/>
    <w:rsid w:val="005102BC"/>
    <w:rsid w:val="00511ABC"/>
    <w:rsid w:val="00512C7F"/>
    <w:rsid w:val="00512D61"/>
    <w:rsid w:val="00512D8B"/>
    <w:rsid w:val="00512FBB"/>
    <w:rsid w:val="00514D8D"/>
    <w:rsid w:val="00515002"/>
    <w:rsid w:val="00516C66"/>
    <w:rsid w:val="00517145"/>
    <w:rsid w:val="00517B52"/>
    <w:rsid w:val="00521454"/>
    <w:rsid w:val="00522D34"/>
    <w:rsid w:val="005233D1"/>
    <w:rsid w:val="00523F3C"/>
    <w:rsid w:val="0052438F"/>
    <w:rsid w:val="0052455E"/>
    <w:rsid w:val="0052525D"/>
    <w:rsid w:val="00525A5B"/>
    <w:rsid w:val="00525C71"/>
    <w:rsid w:val="00525CD6"/>
    <w:rsid w:val="00525D22"/>
    <w:rsid w:val="005269A0"/>
    <w:rsid w:val="005301C5"/>
    <w:rsid w:val="005303DF"/>
    <w:rsid w:val="005309D9"/>
    <w:rsid w:val="005319F2"/>
    <w:rsid w:val="00532102"/>
    <w:rsid w:val="00532740"/>
    <w:rsid w:val="00532E71"/>
    <w:rsid w:val="0053478D"/>
    <w:rsid w:val="00534790"/>
    <w:rsid w:val="005351D5"/>
    <w:rsid w:val="00536705"/>
    <w:rsid w:val="00537289"/>
    <w:rsid w:val="00537562"/>
    <w:rsid w:val="00537FBE"/>
    <w:rsid w:val="00540605"/>
    <w:rsid w:val="00542EBA"/>
    <w:rsid w:val="0054359F"/>
    <w:rsid w:val="005437F9"/>
    <w:rsid w:val="00544AEE"/>
    <w:rsid w:val="00544B40"/>
    <w:rsid w:val="00544F05"/>
    <w:rsid w:val="00545703"/>
    <w:rsid w:val="00545789"/>
    <w:rsid w:val="005457D0"/>
    <w:rsid w:val="0054602B"/>
    <w:rsid w:val="00546135"/>
    <w:rsid w:val="00546DF9"/>
    <w:rsid w:val="00546FB0"/>
    <w:rsid w:val="005476F1"/>
    <w:rsid w:val="00547D3A"/>
    <w:rsid w:val="0055021E"/>
    <w:rsid w:val="00550348"/>
    <w:rsid w:val="0055071F"/>
    <w:rsid w:val="00550A3B"/>
    <w:rsid w:val="00550AE5"/>
    <w:rsid w:val="0055107C"/>
    <w:rsid w:val="0055120B"/>
    <w:rsid w:val="0055294D"/>
    <w:rsid w:val="00553A4A"/>
    <w:rsid w:val="005541ED"/>
    <w:rsid w:val="0055461E"/>
    <w:rsid w:val="00554B10"/>
    <w:rsid w:val="00555E77"/>
    <w:rsid w:val="0055634A"/>
    <w:rsid w:val="00556A8F"/>
    <w:rsid w:val="0056055C"/>
    <w:rsid w:val="00560F17"/>
    <w:rsid w:val="00561FC2"/>
    <w:rsid w:val="00562551"/>
    <w:rsid w:val="00562AFE"/>
    <w:rsid w:val="005632EC"/>
    <w:rsid w:val="0056341F"/>
    <w:rsid w:val="00563E2A"/>
    <w:rsid w:val="005645CF"/>
    <w:rsid w:val="005647B9"/>
    <w:rsid w:val="005649A4"/>
    <w:rsid w:val="005650FF"/>
    <w:rsid w:val="00565C19"/>
    <w:rsid w:val="00565E79"/>
    <w:rsid w:val="00566AEB"/>
    <w:rsid w:val="005672F9"/>
    <w:rsid w:val="00567B7A"/>
    <w:rsid w:val="00570687"/>
    <w:rsid w:val="005710D2"/>
    <w:rsid w:val="00571152"/>
    <w:rsid w:val="00571304"/>
    <w:rsid w:val="00571365"/>
    <w:rsid w:val="0057165A"/>
    <w:rsid w:val="005719B5"/>
    <w:rsid w:val="00572653"/>
    <w:rsid w:val="0057294A"/>
    <w:rsid w:val="0057332D"/>
    <w:rsid w:val="00573CA6"/>
    <w:rsid w:val="00574481"/>
    <w:rsid w:val="00574E9E"/>
    <w:rsid w:val="00574FB8"/>
    <w:rsid w:val="00576389"/>
    <w:rsid w:val="0057654F"/>
    <w:rsid w:val="00576660"/>
    <w:rsid w:val="005768D5"/>
    <w:rsid w:val="00577043"/>
    <w:rsid w:val="00577B29"/>
    <w:rsid w:val="00580389"/>
    <w:rsid w:val="0058058C"/>
    <w:rsid w:val="005808F9"/>
    <w:rsid w:val="00580A5A"/>
    <w:rsid w:val="00581031"/>
    <w:rsid w:val="00581855"/>
    <w:rsid w:val="00581E27"/>
    <w:rsid w:val="0058255A"/>
    <w:rsid w:val="00582862"/>
    <w:rsid w:val="0058333E"/>
    <w:rsid w:val="0058492C"/>
    <w:rsid w:val="00584EC9"/>
    <w:rsid w:val="00585648"/>
    <w:rsid w:val="00585AF0"/>
    <w:rsid w:val="00586132"/>
    <w:rsid w:val="005862F8"/>
    <w:rsid w:val="00586631"/>
    <w:rsid w:val="005868C8"/>
    <w:rsid w:val="00586B47"/>
    <w:rsid w:val="00586BD3"/>
    <w:rsid w:val="00586DD6"/>
    <w:rsid w:val="00587601"/>
    <w:rsid w:val="00587ED2"/>
    <w:rsid w:val="005905CD"/>
    <w:rsid w:val="00591810"/>
    <w:rsid w:val="00591CA0"/>
    <w:rsid w:val="00594851"/>
    <w:rsid w:val="00595198"/>
    <w:rsid w:val="005960A7"/>
    <w:rsid w:val="00597120"/>
    <w:rsid w:val="00597498"/>
    <w:rsid w:val="00597548"/>
    <w:rsid w:val="005A0ECB"/>
    <w:rsid w:val="005A159D"/>
    <w:rsid w:val="005A253C"/>
    <w:rsid w:val="005A2938"/>
    <w:rsid w:val="005A30DA"/>
    <w:rsid w:val="005A5729"/>
    <w:rsid w:val="005B0986"/>
    <w:rsid w:val="005B0EDD"/>
    <w:rsid w:val="005B10C8"/>
    <w:rsid w:val="005B127E"/>
    <w:rsid w:val="005B14F8"/>
    <w:rsid w:val="005B1830"/>
    <w:rsid w:val="005B294A"/>
    <w:rsid w:val="005B2E7F"/>
    <w:rsid w:val="005B2F15"/>
    <w:rsid w:val="005B34D0"/>
    <w:rsid w:val="005B3E78"/>
    <w:rsid w:val="005B4F0E"/>
    <w:rsid w:val="005B598F"/>
    <w:rsid w:val="005B6A6E"/>
    <w:rsid w:val="005B75B7"/>
    <w:rsid w:val="005B7B0C"/>
    <w:rsid w:val="005C0022"/>
    <w:rsid w:val="005C04D8"/>
    <w:rsid w:val="005C0F5B"/>
    <w:rsid w:val="005C100C"/>
    <w:rsid w:val="005C12CE"/>
    <w:rsid w:val="005C1500"/>
    <w:rsid w:val="005C1D18"/>
    <w:rsid w:val="005C1D71"/>
    <w:rsid w:val="005C31C6"/>
    <w:rsid w:val="005C3239"/>
    <w:rsid w:val="005C3D24"/>
    <w:rsid w:val="005C41E5"/>
    <w:rsid w:val="005C4600"/>
    <w:rsid w:val="005C4998"/>
    <w:rsid w:val="005C4F4A"/>
    <w:rsid w:val="005C50F7"/>
    <w:rsid w:val="005C5241"/>
    <w:rsid w:val="005C5930"/>
    <w:rsid w:val="005C5C0C"/>
    <w:rsid w:val="005C5FE3"/>
    <w:rsid w:val="005C655B"/>
    <w:rsid w:val="005C6BD3"/>
    <w:rsid w:val="005C7211"/>
    <w:rsid w:val="005C742A"/>
    <w:rsid w:val="005C7570"/>
    <w:rsid w:val="005D07E4"/>
    <w:rsid w:val="005D0B5D"/>
    <w:rsid w:val="005D0DB0"/>
    <w:rsid w:val="005D1174"/>
    <w:rsid w:val="005D2530"/>
    <w:rsid w:val="005D2672"/>
    <w:rsid w:val="005D2A51"/>
    <w:rsid w:val="005D2E5E"/>
    <w:rsid w:val="005D3363"/>
    <w:rsid w:val="005D3D28"/>
    <w:rsid w:val="005D51FF"/>
    <w:rsid w:val="005D5A96"/>
    <w:rsid w:val="005D5F3C"/>
    <w:rsid w:val="005D5FB8"/>
    <w:rsid w:val="005D5FF4"/>
    <w:rsid w:val="005D67FE"/>
    <w:rsid w:val="005E0656"/>
    <w:rsid w:val="005E136A"/>
    <w:rsid w:val="005E18A2"/>
    <w:rsid w:val="005E1930"/>
    <w:rsid w:val="005E1B11"/>
    <w:rsid w:val="005E1C24"/>
    <w:rsid w:val="005E249F"/>
    <w:rsid w:val="005E34E0"/>
    <w:rsid w:val="005E48D3"/>
    <w:rsid w:val="005E4AF7"/>
    <w:rsid w:val="005E4AFF"/>
    <w:rsid w:val="005E5585"/>
    <w:rsid w:val="005E5BBD"/>
    <w:rsid w:val="005E7313"/>
    <w:rsid w:val="005F038B"/>
    <w:rsid w:val="005F18C0"/>
    <w:rsid w:val="005F2A38"/>
    <w:rsid w:val="005F2D1F"/>
    <w:rsid w:val="005F40F2"/>
    <w:rsid w:val="005F4D4D"/>
    <w:rsid w:val="005F548E"/>
    <w:rsid w:val="005F7435"/>
    <w:rsid w:val="005F7BF9"/>
    <w:rsid w:val="00600068"/>
    <w:rsid w:val="00600277"/>
    <w:rsid w:val="006003A6"/>
    <w:rsid w:val="00601270"/>
    <w:rsid w:val="00601390"/>
    <w:rsid w:val="00601868"/>
    <w:rsid w:val="00602030"/>
    <w:rsid w:val="00602199"/>
    <w:rsid w:val="00602434"/>
    <w:rsid w:val="00602DB7"/>
    <w:rsid w:val="00603B14"/>
    <w:rsid w:val="00603BC0"/>
    <w:rsid w:val="006041F2"/>
    <w:rsid w:val="00604B15"/>
    <w:rsid w:val="00605197"/>
    <w:rsid w:val="0060519C"/>
    <w:rsid w:val="006055A4"/>
    <w:rsid w:val="00605B4E"/>
    <w:rsid w:val="00605CA8"/>
    <w:rsid w:val="006073BC"/>
    <w:rsid w:val="006103E6"/>
    <w:rsid w:val="006109AD"/>
    <w:rsid w:val="006113B3"/>
    <w:rsid w:val="0061174D"/>
    <w:rsid w:val="006129E6"/>
    <w:rsid w:val="00613FD5"/>
    <w:rsid w:val="00614067"/>
    <w:rsid w:val="006157A5"/>
    <w:rsid w:val="006158AB"/>
    <w:rsid w:val="006160BA"/>
    <w:rsid w:val="00616445"/>
    <w:rsid w:val="00616513"/>
    <w:rsid w:val="00617325"/>
    <w:rsid w:val="00617404"/>
    <w:rsid w:val="006179C9"/>
    <w:rsid w:val="00617FF9"/>
    <w:rsid w:val="00620BA4"/>
    <w:rsid w:val="00620EE5"/>
    <w:rsid w:val="006211B5"/>
    <w:rsid w:val="00622691"/>
    <w:rsid w:val="006226A6"/>
    <w:rsid w:val="006245EA"/>
    <w:rsid w:val="00624D86"/>
    <w:rsid w:val="0062677F"/>
    <w:rsid w:val="00626F36"/>
    <w:rsid w:val="00627976"/>
    <w:rsid w:val="00627A3F"/>
    <w:rsid w:val="00630117"/>
    <w:rsid w:val="006302F7"/>
    <w:rsid w:val="00632088"/>
    <w:rsid w:val="006321F0"/>
    <w:rsid w:val="00632849"/>
    <w:rsid w:val="00633FF6"/>
    <w:rsid w:val="00633FFC"/>
    <w:rsid w:val="006349EE"/>
    <w:rsid w:val="00634B20"/>
    <w:rsid w:val="00634C04"/>
    <w:rsid w:val="006350CA"/>
    <w:rsid w:val="00635301"/>
    <w:rsid w:val="00636B98"/>
    <w:rsid w:val="00637074"/>
    <w:rsid w:val="00640574"/>
    <w:rsid w:val="00640A41"/>
    <w:rsid w:val="006410C4"/>
    <w:rsid w:val="00641D93"/>
    <w:rsid w:val="00642E86"/>
    <w:rsid w:val="00642F59"/>
    <w:rsid w:val="00643EEA"/>
    <w:rsid w:val="00644D61"/>
    <w:rsid w:val="0064654E"/>
    <w:rsid w:val="0064672C"/>
    <w:rsid w:val="00646F39"/>
    <w:rsid w:val="006474D8"/>
    <w:rsid w:val="00651EBA"/>
    <w:rsid w:val="0065243A"/>
    <w:rsid w:val="00652FA8"/>
    <w:rsid w:val="0065323C"/>
    <w:rsid w:val="00653691"/>
    <w:rsid w:val="006537D2"/>
    <w:rsid w:val="00653FCC"/>
    <w:rsid w:val="00654426"/>
    <w:rsid w:val="00654F4D"/>
    <w:rsid w:val="006558FB"/>
    <w:rsid w:val="00655B1E"/>
    <w:rsid w:val="006578F7"/>
    <w:rsid w:val="00660129"/>
    <w:rsid w:val="00660CD5"/>
    <w:rsid w:val="00661244"/>
    <w:rsid w:val="006619FA"/>
    <w:rsid w:val="0066267A"/>
    <w:rsid w:val="006628E6"/>
    <w:rsid w:val="00662B68"/>
    <w:rsid w:val="00664558"/>
    <w:rsid w:val="006646F6"/>
    <w:rsid w:val="00664791"/>
    <w:rsid w:val="006647D0"/>
    <w:rsid w:val="00664B31"/>
    <w:rsid w:val="006654CE"/>
    <w:rsid w:val="00665C55"/>
    <w:rsid w:val="00665F94"/>
    <w:rsid w:val="00665FBA"/>
    <w:rsid w:val="006661B0"/>
    <w:rsid w:val="00666B32"/>
    <w:rsid w:val="00666F89"/>
    <w:rsid w:val="00670242"/>
    <w:rsid w:val="00671834"/>
    <w:rsid w:val="00672CBB"/>
    <w:rsid w:val="00673909"/>
    <w:rsid w:val="00673D82"/>
    <w:rsid w:val="006747B5"/>
    <w:rsid w:val="006754A5"/>
    <w:rsid w:val="006758A7"/>
    <w:rsid w:val="00676483"/>
    <w:rsid w:val="00676645"/>
    <w:rsid w:val="00676BCF"/>
    <w:rsid w:val="00676E65"/>
    <w:rsid w:val="00676F6A"/>
    <w:rsid w:val="00680311"/>
    <w:rsid w:val="0068065D"/>
    <w:rsid w:val="00681807"/>
    <w:rsid w:val="00682395"/>
    <w:rsid w:val="00682A8E"/>
    <w:rsid w:val="006841E8"/>
    <w:rsid w:val="00684472"/>
    <w:rsid w:val="0068462F"/>
    <w:rsid w:val="006849DB"/>
    <w:rsid w:val="00684E74"/>
    <w:rsid w:val="00685889"/>
    <w:rsid w:val="00685B4B"/>
    <w:rsid w:val="00685CDE"/>
    <w:rsid w:val="00685F44"/>
    <w:rsid w:val="00685FEB"/>
    <w:rsid w:val="00686733"/>
    <w:rsid w:val="00686FF6"/>
    <w:rsid w:val="0069009B"/>
    <w:rsid w:val="00690245"/>
    <w:rsid w:val="00690F4E"/>
    <w:rsid w:val="006916B0"/>
    <w:rsid w:val="00691985"/>
    <w:rsid w:val="006919A6"/>
    <w:rsid w:val="00691AB2"/>
    <w:rsid w:val="006922F4"/>
    <w:rsid w:val="0069235A"/>
    <w:rsid w:val="0069295E"/>
    <w:rsid w:val="00693D4F"/>
    <w:rsid w:val="006943A2"/>
    <w:rsid w:val="006951E8"/>
    <w:rsid w:val="00695265"/>
    <w:rsid w:val="0069535F"/>
    <w:rsid w:val="00695D3F"/>
    <w:rsid w:val="0069656E"/>
    <w:rsid w:val="00697BA0"/>
    <w:rsid w:val="006A1436"/>
    <w:rsid w:val="006A1895"/>
    <w:rsid w:val="006A2826"/>
    <w:rsid w:val="006A298A"/>
    <w:rsid w:val="006A2D52"/>
    <w:rsid w:val="006A2DCE"/>
    <w:rsid w:val="006A3147"/>
    <w:rsid w:val="006A31EC"/>
    <w:rsid w:val="006A337C"/>
    <w:rsid w:val="006A3D64"/>
    <w:rsid w:val="006A3E27"/>
    <w:rsid w:val="006A5451"/>
    <w:rsid w:val="006A5851"/>
    <w:rsid w:val="006A61B4"/>
    <w:rsid w:val="006A6886"/>
    <w:rsid w:val="006A702E"/>
    <w:rsid w:val="006A72C4"/>
    <w:rsid w:val="006A737D"/>
    <w:rsid w:val="006B0393"/>
    <w:rsid w:val="006B06BB"/>
    <w:rsid w:val="006B1C9C"/>
    <w:rsid w:val="006B340A"/>
    <w:rsid w:val="006B34C6"/>
    <w:rsid w:val="006B36E0"/>
    <w:rsid w:val="006B3CD7"/>
    <w:rsid w:val="006B53D6"/>
    <w:rsid w:val="006B5610"/>
    <w:rsid w:val="006B6CDE"/>
    <w:rsid w:val="006B6D44"/>
    <w:rsid w:val="006C12B3"/>
    <w:rsid w:val="006C1DEE"/>
    <w:rsid w:val="006C2E81"/>
    <w:rsid w:val="006C2E8D"/>
    <w:rsid w:val="006C30F6"/>
    <w:rsid w:val="006C31FE"/>
    <w:rsid w:val="006C38F0"/>
    <w:rsid w:val="006C4438"/>
    <w:rsid w:val="006C4EB2"/>
    <w:rsid w:val="006C50A7"/>
    <w:rsid w:val="006C5473"/>
    <w:rsid w:val="006C5C27"/>
    <w:rsid w:val="006C6057"/>
    <w:rsid w:val="006C6059"/>
    <w:rsid w:val="006C608D"/>
    <w:rsid w:val="006C6D3B"/>
    <w:rsid w:val="006C78E9"/>
    <w:rsid w:val="006C7A73"/>
    <w:rsid w:val="006D2032"/>
    <w:rsid w:val="006D2286"/>
    <w:rsid w:val="006D2463"/>
    <w:rsid w:val="006D276A"/>
    <w:rsid w:val="006D29C0"/>
    <w:rsid w:val="006D2DC2"/>
    <w:rsid w:val="006D2DCF"/>
    <w:rsid w:val="006D3E2D"/>
    <w:rsid w:val="006D3FB8"/>
    <w:rsid w:val="006D4D44"/>
    <w:rsid w:val="006D4DAC"/>
    <w:rsid w:val="006D6406"/>
    <w:rsid w:val="006D7E80"/>
    <w:rsid w:val="006D7EBE"/>
    <w:rsid w:val="006E04FC"/>
    <w:rsid w:val="006E0F6C"/>
    <w:rsid w:val="006E128D"/>
    <w:rsid w:val="006E1F03"/>
    <w:rsid w:val="006E283A"/>
    <w:rsid w:val="006E3976"/>
    <w:rsid w:val="006E3F0C"/>
    <w:rsid w:val="006E4BB5"/>
    <w:rsid w:val="006E4F47"/>
    <w:rsid w:val="006E56A2"/>
    <w:rsid w:val="006E5987"/>
    <w:rsid w:val="006E5B37"/>
    <w:rsid w:val="006E6045"/>
    <w:rsid w:val="006E6D40"/>
    <w:rsid w:val="006F0088"/>
    <w:rsid w:val="006F01CC"/>
    <w:rsid w:val="006F19A9"/>
    <w:rsid w:val="006F1B5A"/>
    <w:rsid w:val="006F1BB3"/>
    <w:rsid w:val="006F20B3"/>
    <w:rsid w:val="006F3747"/>
    <w:rsid w:val="006F3D3F"/>
    <w:rsid w:val="006F4063"/>
    <w:rsid w:val="006F4775"/>
    <w:rsid w:val="006F51F7"/>
    <w:rsid w:val="006F5486"/>
    <w:rsid w:val="006F5CD3"/>
    <w:rsid w:val="006F650E"/>
    <w:rsid w:val="006F7C68"/>
    <w:rsid w:val="006F7ED3"/>
    <w:rsid w:val="0070033A"/>
    <w:rsid w:val="00701725"/>
    <w:rsid w:val="00702403"/>
    <w:rsid w:val="00702D73"/>
    <w:rsid w:val="0070407E"/>
    <w:rsid w:val="007048F7"/>
    <w:rsid w:val="0070494A"/>
    <w:rsid w:val="00705BA7"/>
    <w:rsid w:val="0070744B"/>
    <w:rsid w:val="00707472"/>
    <w:rsid w:val="00707FB8"/>
    <w:rsid w:val="00710380"/>
    <w:rsid w:val="00710CAB"/>
    <w:rsid w:val="007113C8"/>
    <w:rsid w:val="007118B6"/>
    <w:rsid w:val="00712457"/>
    <w:rsid w:val="00712DA3"/>
    <w:rsid w:val="00713497"/>
    <w:rsid w:val="0071353B"/>
    <w:rsid w:val="007139EA"/>
    <w:rsid w:val="00713A5F"/>
    <w:rsid w:val="00713AEC"/>
    <w:rsid w:val="00713FF2"/>
    <w:rsid w:val="007159DE"/>
    <w:rsid w:val="00716C8C"/>
    <w:rsid w:val="00716E24"/>
    <w:rsid w:val="00717593"/>
    <w:rsid w:val="00720B3B"/>
    <w:rsid w:val="0072177F"/>
    <w:rsid w:val="00721A35"/>
    <w:rsid w:val="00721BE1"/>
    <w:rsid w:val="00721F2B"/>
    <w:rsid w:val="007223BC"/>
    <w:rsid w:val="007225D1"/>
    <w:rsid w:val="007232A0"/>
    <w:rsid w:val="0072377F"/>
    <w:rsid w:val="007244B8"/>
    <w:rsid w:val="0072562D"/>
    <w:rsid w:val="0072639F"/>
    <w:rsid w:val="00726B07"/>
    <w:rsid w:val="00726B56"/>
    <w:rsid w:val="00726E77"/>
    <w:rsid w:val="0072704D"/>
    <w:rsid w:val="00727623"/>
    <w:rsid w:val="007277BA"/>
    <w:rsid w:val="007278E9"/>
    <w:rsid w:val="00727914"/>
    <w:rsid w:val="007301E1"/>
    <w:rsid w:val="00730349"/>
    <w:rsid w:val="00731C04"/>
    <w:rsid w:val="00731DF9"/>
    <w:rsid w:val="00732173"/>
    <w:rsid w:val="007325E3"/>
    <w:rsid w:val="0073495B"/>
    <w:rsid w:val="0073550C"/>
    <w:rsid w:val="00735988"/>
    <w:rsid w:val="00735B81"/>
    <w:rsid w:val="00735C7E"/>
    <w:rsid w:val="00735E0F"/>
    <w:rsid w:val="007369A6"/>
    <w:rsid w:val="0073764B"/>
    <w:rsid w:val="0074042F"/>
    <w:rsid w:val="0074051D"/>
    <w:rsid w:val="007410F2"/>
    <w:rsid w:val="00741A93"/>
    <w:rsid w:val="00741F0C"/>
    <w:rsid w:val="00742017"/>
    <w:rsid w:val="00742D43"/>
    <w:rsid w:val="00743485"/>
    <w:rsid w:val="007436BA"/>
    <w:rsid w:val="00745110"/>
    <w:rsid w:val="00745322"/>
    <w:rsid w:val="007457E1"/>
    <w:rsid w:val="00745CB4"/>
    <w:rsid w:val="00746315"/>
    <w:rsid w:val="0074736D"/>
    <w:rsid w:val="0074776B"/>
    <w:rsid w:val="00747779"/>
    <w:rsid w:val="007478CF"/>
    <w:rsid w:val="007500C5"/>
    <w:rsid w:val="00750CAA"/>
    <w:rsid w:val="00751445"/>
    <w:rsid w:val="007517D7"/>
    <w:rsid w:val="0075254E"/>
    <w:rsid w:val="00752983"/>
    <w:rsid w:val="00753AE3"/>
    <w:rsid w:val="00754527"/>
    <w:rsid w:val="00755402"/>
    <w:rsid w:val="00755429"/>
    <w:rsid w:val="007556B9"/>
    <w:rsid w:val="00755D1C"/>
    <w:rsid w:val="007561C2"/>
    <w:rsid w:val="00756602"/>
    <w:rsid w:val="00756746"/>
    <w:rsid w:val="00757530"/>
    <w:rsid w:val="007578FD"/>
    <w:rsid w:val="00757C97"/>
    <w:rsid w:val="0076042C"/>
    <w:rsid w:val="007604B1"/>
    <w:rsid w:val="007605CF"/>
    <w:rsid w:val="00761291"/>
    <w:rsid w:val="00761FA9"/>
    <w:rsid w:val="00762373"/>
    <w:rsid w:val="0076241C"/>
    <w:rsid w:val="007634FB"/>
    <w:rsid w:val="00763586"/>
    <w:rsid w:val="0076377C"/>
    <w:rsid w:val="007645C5"/>
    <w:rsid w:val="00764A65"/>
    <w:rsid w:val="00764F65"/>
    <w:rsid w:val="007657FE"/>
    <w:rsid w:val="00765E81"/>
    <w:rsid w:val="0076774C"/>
    <w:rsid w:val="00767CEE"/>
    <w:rsid w:val="00767DAF"/>
    <w:rsid w:val="00770D43"/>
    <w:rsid w:val="007710D7"/>
    <w:rsid w:val="007713D1"/>
    <w:rsid w:val="007718EF"/>
    <w:rsid w:val="00771B0F"/>
    <w:rsid w:val="00771C90"/>
    <w:rsid w:val="00771D7E"/>
    <w:rsid w:val="007722ED"/>
    <w:rsid w:val="007723E4"/>
    <w:rsid w:val="00772826"/>
    <w:rsid w:val="00772D92"/>
    <w:rsid w:val="007731F6"/>
    <w:rsid w:val="00775B95"/>
    <w:rsid w:val="007765D3"/>
    <w:rsid w:val="007767B3"/>
    <w:rsid w:val="0077781E"/>
    <w:rsid w:val="007778C5"/>
    <w:rsid w:val="007804CF"/>
    <w:rsid w:val="00780F7F"/>
    <w:rsid w:val="00781725"/>
    <w:rsid w:val="00781E5E"/>
    <w:rsid w:val="00781F30"/>
    <w:rsid w:val="00782030"/>
    <w:rsid w:val="00782085"/>
    <w:rsid w:val="00782BFC"/>
    <w:rsid w:val="0078371C"/>
    <w:rsid w:val="00783F0A"/>
    <w:rsid w:val="007847B9"/>
    <w:rsid w:val="00786437"/>
    <w:rsid w:val="00786481"/>
    <w:rsid w:val="007867BF"/>
    <w:rsid w:val="007868B1"/>
    <w:rsid w:val="00787654"/>
    <w:rsid w:val="00791093"/>
    <w:rsid w:val="007914F6"/>
    <w:rsid w:val="00791A53"/>
    <w:rsid w:val="00791C45"/>
    <w:rsid w:val="00791F52"/>
    <w:rsid w:val="00792450"/>
    <w:rsid w:val="007925C7"/>
    <w:rsid w:val="007928B9"/>
    <w:rsid w:val="00793597"/>
    <w:rsid w:val="007937B1"/>
    <w:rsid w:val="00793B2B"/>
    <w:rsid w:val="007945A4"/>
    <w:rsid w:val="00794650"/>
    <w:rsid w:val="00794B51"/>
    <w:rsid w:val="00794FDD"/>
    <w:rsid w:val="007955BC"/>
    <w:rsid w:val="00795732"/>
    <w:rsid w:val="00795C6D"/>
    <w:rsid w:val="00796495"/>
    <w:rsid w:val="0079668D"/>
    <w:rsid w:val="00796E57"/>
    <w:rsid w:val="00796FD4"/>
    <w:rsid w:val="00797096"/>
    <w:rsid w:val="007978AE"/>
    <w:rsid w:val="007A05B3"/>
    <w:rsid w:val="007A0940"/>
    <w:rsid w:val="007A12CA"/>
    <w:rsid w:val="007A1829"/>
    <w:rsid w:val="007A24F8"/>
    <w:rsid w:val="007A2627"/>
    <w:rsid w:val="007A3524"/>
    <w:rsid w:val="007A3A93"/>
    <w:rsid w:val="007A405E"/>
    <w:rsid w:val="007A461E"/>
    <w:rsid w:val="007A4980"/>
    <w:rsid w:val="007A4C32"/>
    <w:rsid w:val="007A4F6D"/>
    <w:rsid w:val="007A551C"/>
    <w:rsid w:val="007A5B11"/>
    <w:rsid w:val="007A68AE"/>
    <w:rsid w:val="007A7BF5"/>
    <w:rsid w:val="007B02B6"/>
    <w:rsid w:val="007B0929"/>
    <w:rsid w:val="007B0A76"/>
    <w:rsid w:val="007B13B8"/>
    <w:rsid w:val="007B17A0"/>
    <w:rsid w:val="007B4D44"/>
    <w:rsid w:val="007B53EA"/>
    <w:rsid w:val="007B56EC"/>
    <w:rsid w:val="007B5DD3"/>
    <w:rsid w:val="007B69B6"/>
    <w:rsid w:val="007B6F05"/>
    <w:rsid w:val="007B70AE"/>
    <w:rsid w:val="007B7557"/>
    <w:rsid w:val="007C0870"/>
    <w:rsid w:val="007C1AFB"/>
    <w:rsid w:val="007C2542"/>
    <w:rsid w:val="007C2609"/>
    <w:rsid w:val="007C2746"/>
    <w:rsid w:val="007C2A1B"/>
    <w:rsid w:val="007C3CF8"/>
    <w:rsid w:val="007C3FA2"/>
    <w:rsid w:val="007C44F0"/>
    <w:rsid w:val="007C46A0"/>
    <w:rsid w:val="007C5160"/>
    <w:rsid w:val="007C54AD"/>
    <w:rsid w:val="007C6CD8"/>
    <w:rsid w:val="007C7376"/>
    <w:rsid w:val="007C7471"/>
    <w:rsid w:val="007C79FA"/>
    <w:rsid w:val="007D028A"/>
    <w:rsid w:val="007D0837"/>
    <w:rsid w:val="007D0F45"/>
    <w:rsid w:val="007D1825"/>
    <w:rsid w:val="007D1D6D"/>
    <w:rsid w:val="007D26AE"/>
    <w:rsid w:val="007D292A"/>
    <w:rsid w:val="007D3447"/>
    <w:rsid w:val="007D42F7"/>
    <w:rsid w:val="007D47F4"/>
    <w:rsid w:val="007D4AB0"/>
    <w:rsid w:val="007D4D1C"/>
    <w:rsid w:val="007D6AE0"/>
    <w:rsid w:val="007D6C5B"/>
    <w:rsid w:val="007D741B"/>
    <w:rsid w:val="007D7B24"/>
    <w:rsid w:val="007D7E17"/>
    <w:rsid w:val="007E0771"/>
    <w:rsid w:val="007E10A1"/>
    <w:rsid w:val="007E13E2"/>
    <w:rsid w:val="007E2C1E"/>
    <w:rsid w:val="007E3E08"/>
    <w:rsid w:val="007E67DA"/>
    <w:rsid w:val="007E6BD5"/>
    <w:rsid w:val="007F0011"/>
    <w:rsid w:val="007F03CD"/>
    <w:rsid w:val="007F0EEA"/>
    <w:rsid w:val="007F1D8D"/>
    <w:rsid w:val="007F2034"/>
    <w:rsid w:val="007F26B1"/>
    <w:rsid w:val="007F3D00"/>
    <w:rsid w:val="007F4439"/>
    <w:rsid w:val="007F56D0"/>
    <w:rsid w:val="007F5F9D"/>
    <w:rsid w:val="007F73E8"/>
    <w:rsid w:val="0080051E"/>
    <w:rsid w:val="008028E6"/>
    <w:rsid w:val="00803741"/>
    <w:rsid w:val="0080392E"/>
    <w:rsid w:val="00804208"/>
    <w:rsid w:val="008047C7"/>
    <w:rsid w:val="00804CEB"/>
    <w:rsid w:val="00804FA5"/>
    <w:rsid w:val="008056A5"/>
    <w:rsid w:val="00805C2F"/>
    <w:rsid w:val="00805C87"/>
    <w:rsid w:val="00805EA4"/>
    <w:rsid w:val="00805F89"/>
    <w:rsid w:val="00805FD0"/>
    <w:rsid w:val="00806A17"/>
    <w:rsid w:val="00806A27"/>
    <w:rsid w:val="00806BC2"/>
    <w:rsid w:val="00807498"/>
    <w:rsid w:val="008076F0"/>
    <w:rsid w:val="0081090A"/>
    <w:rsid w:val="00810C0C"/>
    <w:rsid w:val="008110A2"/>
    <w:rsid w:val="00811159"/>
    <w:rsid w:val="008119D2"/>
    <w:rsid w:val="008123F5"/>
    <w:rsid w:val="00812614"/>
    <w:rsid w:val="00812A74"/>
    <w:rsid w:val="00812AFE"/>
    <w:rsid w:val="00812C89"/>
    <w:rsid w:val="008130FD"/>
    <w:rsid w:val="008141D3"/>
    <w:rsid w:val="00814548"/>
    <w:rsid w:val="00814605"/>
    <w:rsid w:val="008151C5"/>
    <w:rsid w:val="008153D5"/>
    <w:rsid w:val="00815500"/>
    <w:rsid w:val="00815E47"/>
    <w:rsid w:val="00816CBE"/>
    <w:rsid w:val="008179B8"/>
    <w:rsid w:val="00817A42"/>
    <w:rsid w:val="00817F53"/>
    <w:rsid w:val="00817F5B"/>
    <w:rsid w:val="0082005C"/>
    <w:rsid w:val="008203B4"/>
    <w:rsid w:val="0082041B"/>
    <w:rsid w:val="00820DB7"/>
    <w:rsid w:val="00821617"/>
    <w:rsid w:val="00821665"/>
    <w:rsid w:val="008220EF"/>
    <w:rsid w:val="008223FA"/>
    <w:rsid w:val="0082263A"/>
    <w:rsid w:val="008228CF"/>
    <w:rsid w:val="00822FA3"/>
    <w:rsid w:val="008237E6"/>
    <w:rsid w:val="00823ABA"/>
    <w:rsid w:val="00823F94"/>
    <w:rsid w:val="008240C5"/>
    <w:rsid w:val="00825A8B"/>
    <w:rsid w:val="00825D53"/>
    <w:rsid w:val="008263C0"/>
    <w:rsid w:val="0082691B"/>
    <w:rsid w:val="00826A4A"/>
    <w:rsid w:val="00827910"/>
    <w:rsid w:val="00827A45"/>
    <w:rsid w:val="008309A0"/>
    <w:rsid w:val="008312F0"/>
    <w:rsid w:val="00831E32"/>
    <w:rsid w:val="008321D6"/>
    <w:rsid w:val="008330D0"/>
    <w:rsid w:val="0083359A"/>
    <w:rsid w:val="00833DCC"/>
    <w:rsid w:val="00833EC3"/>
    <w:rsid w:val="00833FCC"/>
    <w:rsid w:val="0083666F"/>
    <w:rsid w:val="00836A64"/>
    <w:rsid w:val="0083711E"/>
    <w:rsid w:val="008376C4"/>
    <w:rsid w:val="00840B26"/>
    <w:rsid w:val="00841369"/>
    <w:rsid w:val="00842636"/>
    <w:rsid w:val="00842726"/>
    <w:rsid w:val="00842CBF"/>
    <w:rsid w:val="008443AA"/>
    <w:rsid w:val="0084448F"/>
    <w:rsid w:val="00844A3E"/>
    <w:rsid w:val="00844BC1"/>
    <w:rsid w:val="00844BC9"/>
    <w:rsid w:val="00845C2C"/>
    <w:rsid w:val="0084604C"/>
    <w:rsid w:val="008466A8"/>
    <w:rsid w:val="00846792"/>
    <w:rsid w:val="00846EC6"/>
    <w:rsid w:val="00847EDE"/>
    <w:rsid w:val="00850C92"/>
    <w:rsid w:val="008510ED"/>
    <w:rsid w:val="008521A3"/>
    <w:rsid w:val="008522A3"/>
    <w:rsid w:val="008528A7"/>
    <w:rsid w:val="008533F7"/>
    <w:rsid w:val="0085372A"/>
    <w:rsid w:val="00853907"/>
    <w:rsid w:val="00854290"/>
    <w:rsid w:val="008543BF"/>
    <w:rsid w:val="0085477A"/>
    <w:rsid w:val="00854DBF"/>
    <w:rsid w:val="0085550E"/>
    <w:rsid w:val="00855D1E"/>
    <w:rsid w:val="00856337"/>
    <w:rsid w:val="008571E5"/>
    <w:rsid w:val="008607AA"/>
    <w:rsid w:val="008609E2"/>
    <w:rsid w:val="00860D6B"/>
    <w:rsid w:val="00861226"/>
    <w:rsid w:val="00862739"/>
    <w:rsid w:val="008627C8"/>
    <w:rsid w:val="00864D39"/>
    <w:rsid w:val="00865348"/>
    <w:rsid w:val="008656E6"/>
    <w:rsid w:val="00865852"/>
    <w:rsid w:val="00866566"/>
    <w:rsid w:val="00866821"/>
    <w:rsid w:val="00866D92"/>
    <w:rsid w:val="008674F9"/>
    <w:rsid w:val="00870CCC"/>
    <w:rsid w:val="00870DC3"/>
    <w:rsid w:val="00870FC7"/>
    <w:rsid w:val="0087106B"/>
    <w:rsid w:val="00872875"/>
    <w:rsid w:val="0087294D"/>
    <w:rsid w:val="0087329F"/>
    <w:rsid w:val="008735FA"/>
    <w:rsid w:val="008736B1"/>
    <w:rsid w:val="008737A3"/>
    <w:rsid w:val="00873D26"/>
    <w:rsid w:val="0087463A"/>
    <w:rsid w:val="00875A6B"/>
    <w:rsid w:val="00876036"/>
    <w:rsid w:val="008769BE"/>
    <w:rsid w:val="00876AB0"/>
    <w:rsid w:val="00880274"/>
    <w:rsid w:val="00881556"/>
    <w:rsid w:val="0088192C"/>
    <w:rsid w:val="00881943"/>
    <w:rsid w:val="00881B55"/>
    <w:rsid w:val="00881EB0"/>
    <w:rsid w:val="00883A7E"/>
    <w:rsid w:val="00883F3C"/>
    <w:rsid w:val="00884845"/>
    <w:rsid w:val="00884F68"/>
    <w:rsid w:val="00885BE7"/>
    <w:rsid w:val="008864D4"/>
    <w:rsid w:val="008866C7"/>
    <w:rsid w:val="00887427"/>
    <w:rsid w:val="0089043C"/>
    <w:rsid w:val="00891369"/>
    <w:rsid w:val="0089190A"/>
    <w:rsid w:val="00891BDF"/>
    <w:rsid w:val="00891EF6"/>
    <w:rsid w:val="00892298"/>
    <w:rsid w:val="008927D5"/>
    <w:rsid w:val="008928FB"/>
    <w:rsid w:val="0089350D"/>
    <w:rsid w:val="008935D6"/>
    <w:rsid w:val="00894B86"/>
    <w:rsid w:val="0089534A"/>
    <w:rsid w:val="0089548B"/>
    <w:rsid w:val="00895C76"/>
    <w:rsid w:val="00896387"/>
    <w:rsid w:val="008967B0"/>
    <w:rsid w:val="00896D61"/>
    <w:rsid w:val="008A02C7"/>
    <w:rsid w:val="008A12C6"/>
    <w:rsid w:val="008A2411"/>
    <w:rsid w:val="008A27E2"/>
    <w:rsid w:val="008A298E"/>
    <w:rsid w:val="008A445A"/>
    <w:rsid w:val="008A45E3"/>
    <w:rsid w:val="008A4E5E"/>
    <w:rsid w:val="008A5D0A"/>
    <w:rsid w:val="008A5F08"/>
    <w:rsid w:val="008A5FBC"/>
    <w:rsid w:val="008A6495"/>
    <w:rsid w:val="008A718C"/>
    <w:rsid w:val="008A76CB"/>
    <w:rsid w:val="008A777E"/>
    <w:rsid w:val="008B029C"/>
    <w:rsid w:val="008B0745"/>
    <w:rsid w:val="008B08BB"/>
    <w:rsid w:val="008B18FE"/>
    <w:rsid w:val="008B1930"/>
    <w:rsid w:val="008B1C18"/>
    <w:rsid w:val="008B2740"/>
    <w:rsid w:val="008B2D33"/>
    <w:rsid w:val="008B3018"/>
    <w:rsid w:val="008B4A55"/>
    <w:rsid w:val="008B4C47"/>
    <w:rsid w:val="008B4F48"/>
    <w:rsid w:val="008B5AC0"/>
    <w:rsid w:val="008B5C92"/>
    <w:rsid w:val="008B6440"/>
    <w:rsid w:val="008B6ACE"/>
    <w:rsid w:val="008B71D5"/>
    <w:rsid w:val="008B7338"/>
    <w:rsid w:val="008C05CD"/>
    <w:rsid w:val="008C072C"/>
    <w:rsid w:val="008C12C2"/>
    <w:rsid w:val="008C15B0"/>
    <w:rsid w:val="008C1874"/>
    <w:rsid w:val="008C1A19"/>
    <w:rsid w:val="008C55F3"/>
    <w:rsid w:val="008C5A65"/>
    <w:rsid w:val="008C5AB5"/>
    <w:rsid w:val="008C693C"/>
    <w:rsid w:val="008C6A55"/>
    <w:rsid w:val="008C6D30"/>
    <w:rsid w:val="008D04E9"/>
    <w:rsid w:val="008D0B37"/>
    <w:rsid w:val="008D0CDD"/>
    <w:rsid w:val="008D117E"/>
    <w:rsid w:val="008D13C5"/>
    <w:rsid w:val="008D199D"/>
    <w:rsid w:val="008D2446"/>
    <w:rsid w:val="008D2930"/>
    <w:rsid w:val="008D348A"/>
    <w:rsid w:val="008D36D8"/>
    <w:rsid w:val="008D3B85"/>
    <w:rsid w:val="008D3D6C"/>
    <w:rsid w:val="008D4431"/>
    <w:rsid w:val="008D4BB2"/>
    <w:rsid w:val="008D5173"/>
    <w:rsid w:val="008D6C04"/>
    <w:rsid w:val="008D748E"/>
    <w:rsid w:val="008E0DF1"/>
    <w:rsid w:val="008E1ACC"/>
    <w:rsid w:val="008E2025"/>
    <w:rsid w:val="008E2386"/>
    <w:rsid w:val="008E25F0"/>
    <w:rsid w:val="008E2B3F"/>
    <w:rsid w:val="008E2EE8"/>
    <w:rsid w:val="008E33D3"/>
    <w:rsid w:val="008E39FF"/>
    <w:rsid w:val="008E3C54"/>
    <w:rsid w:val="008E3E69"/>
    <w:rsid w:val="008E4056"/>
    <w:rsid w:val="008E562F"/>
    <w:rsid w:val="008E5804"/>
    <w:rsid w:val="008E5C8C"/>
    <w:rsid w:val="008E5DCD"/>
    <w:rsid w:val="008E628C"/>
    <w:rsid w:val="008E63A8"/>
    <w:rsid w:val="008E6D45"/>
    <w:rsid w:val="008E7184"/>
    <w:rsid w:val="008E726D"/>
    <w:rsid w:val="008E7768"/>
    <w:rsid w:val="008F025A"/>
    <w:rsid w:val="008F11D2"/>
    <w:rsid w:val="008F1E38"/>
    <w:rsid w:val="008F202B"/>
    <w:rsid w:val="008F2076"/>
    <w:rsid w:val="008F27B4"/>
    <w:rsid w:val="008F27CC"/>
    <w:rsid w:val="008F297A"/>
    <w:rsid w:val="008F30D6"/>
    <w:rsid w:val="008F334C"/>
    <w:rsid w:val="008F39B8"/>
    <w:rsid w:val="008F3EDB"/>
    <w:rsid w:val="008F402A"/>
    <w:rsid w:val="008F409D"/>
    <w:rsid w:val="008F43CD"/>
    <w:rsid w:val="008F5E1B"/>
    <w:rsid w:val="008F65CB"/>
    <w:rsid w:val="008F7F3D"/>
    <w:rsid w:val="008F7F71"/>
    <w:rsid w:val="00900D75"/>
    <w:rsid w:val="00901105"/>
    <w:rsid w:val="0090117C"/>
    <w:rsid w:val="00901BA9"/>
    <w:rsid w:val="009022CB"/>
    <w:rsid w:val="00902571"/>
    <w:rsid w:val="00902792"/>
    <w:rsid w:val="00902D71"/>
    <w:rsid w:val="00903850"/>
    <w:rsid w:val="0090409D"/>
    <w:rsid w:val="00904111"/>
    <w:rsid w:val="00904A3C"/>
    <w:rsid w:val="00904F12"/>
    <w:rsid w:val="00907041"/>
    <w:rsid w:val="0090779E"/>
    <w:rsid w:val="009111F8"/>
    <w:rsid w:val="009117E3"/>
    <w:rsid w:val="0091235F"/>
    <w:rsid w:val="00913562"/>
    <w:rsid w:val="0091365E"/>
    <w:rsid w:val="00913F59"/>
    <w:rsid w:val="00914212"/>
    <w:rsid w:val="00914284"/>
    <w:rsid w:val="00914B79"/>
    <w:rsid w:val="00915142"/>
    <w:rsid w:val="00915832"/>
    <w:rsid w:val="0091636B"/>
    <w:rsid w:val="00916422"/>
    <w:rsid w:val="00916931"/>
    <w:rsid w:val="00916B77"/>
    <w:rsid w:val="0091720D"/>
    <w:rsid w:val="00917239"/>
    <w:rsid w:val="0091779D"/>
    <w:rsid w:val="0091797A"/>
    <w:rsid w:val="009203AF"/>
    <w:rsid w:val="009209A6"/>
    <w:rsid w:val="00920D0E"/>
    <w:rsid w:val="0092145E"/>
    <w:rsid w:val="00922403"/>
    <w:rsid w:val="00922777"/>
    <w:rsid w:val="0092283F"/>
    <w:rsid w:val="00922FEA"/>
    <w:rsid w:val="00923265"/>
    <w:rsid w:val="009235AF"/>
    <w:rsid w:val="009237CC"/>
    <w:rsid w:val="00924D6D"/>
    <w:rsid w:val="009251C9"/>
    <w:rsid w:val="00925E39"/>
    <w:rsid w:val="00926274"/>
    <w:rsid w:val="009307D9"/>
    <w:rsid w:val="0093121A"/>
    <w:rsid w:val="009313BF"/>
    <w:rsid w:val="00931446"/>
    <w:rsid w:val="0093164A"/>
    <w:rsid w:val="0093259D"/>
    <w:rsid w:val="0093296D"/>
    <w:rsid w:val="0093299B"/>
    <w:rsid w:val="00933245"/>
    <w:rsid w:val="00934158"/>
    <w:rsid w:val="009348F4"/>
    <w:rsid w:val="009349A4"/>
    <w:rsid w:val="00934CD4"/>
    <w:rsid w:val="0093535B"/>
    <w:rsid w:val="009353F3"/>
    <w:rsid w:val="00935A6B"/>
    <w:rsid w:val="00935D11"/>
    <w:rsid w:val="009360D5"/>
    <w:rsid w:val="00937833"/>
    <w:rsid w:val="00937A12"/>
    <w:rsid w:val="00937F33"/>
    <w:rsid w:val="00941178"/>
    <w:rsid w:val="009413EF"/>
    <w:rsid w:val="00941E57"/>
    <w:rsid w:val="00942FAA"/>
    <w:rsid w:val="0094397A"/>
    <w:rsid w:val="009457FA"/>
    <w:rsid w:val="009459BD"/>
    <w:rsid w:val="009467D3"/>
    <w:rsid w:val="00947854"/>
    <w:rsid w:val="00947947"/>
    <w:rsid w:val="00950372"/>
    <w:rsid w:val="00950BE0"/>
    <w:rsid w:val="009511CF"/>
    <w:rsid w:val="009532C1"/>
    <w:rsid w:val="00953B06"/>
    <w:rsid w:val="00954371"/>
    <w:rsid w:val="0095458C"/>
    <w:rsid w:val="009553F1"/>
    <w:rsid w:val="009556FC"/>
    <w:rsid w:val="00955AF3"/>
    <w:rsid w:val="009571E2"/>
    <w:rsid w:val="00957727"/>
    <w:rsid w:val="00957B90"/>
    <w:rsid w:val="0096082E"/>
    <w:rsid w:val="0096155E"/>
    <w:rsid w:val="00961A4B"/>
    <w:rsid w:val="00962C10"/>
    <w:rsid w:val="00962DF5"/>
    <w:rsid w:val="00963375"/>
    <w:rsid w:val="00963F4B"/>
    <w:rsid w:val="00964BED"/>
    <w:rsid w:val="00965005"/>
    <w:rsid w:val="00965B5C"/>
    <w:rsid w:val="0096651F"/>
    <w:rsid w:val="0096723B"/>
    <w:rsid w:val="009675CE"/>
    <w:rsid w:val="00967CA3"/>
    <w:rsid w:val="009703C8"/>
    <w:rsid w:val="0097042D"/>
    <w:rsid w:val="009704DC"/>
    <w:rsid w:val="00970A74"/>
    <w:rsid w:val="00971A8F"/>
    <w:rsid w:val="00971C16"/>
    <w:rsid w:val="00972B74"/>
    <w:rsid w:val="00973822"/>
    <w:rsid w:val="009740DB"/>
    <w:rsid w:val="00974A71"/>
    <w:rsid w:val="009754B4"/>
    <w:rsid w:val="009761A5"/>
    <w:rsid w:val="00977854"/>
    <w:rsid w:val="00977E9D"/>
    <w:rsid w:val="009804E8"/>
    <w:rsid w:val="009814EF"/>
    <w:rsid w:val="00982570"/>
    <w:rsid w:val="00982B5B"/>
    <w:rsid w:val="0098305E"/>
    <w:rsid w:val="009830B5"/>
    <w:rsid w:val="009833C2"/>
    <w:rsid w:val="0098341E"/>
    <w:rsid w:val="009835E3"/>
    <w:rsid w:val="009844A5"/>
    <w:rsid w:val="009846DA"/>
    <w:rsid w:val="00984C68"/>
    <w:rsid w:val="00985ED6"/>
    <w:rsid w:val="0098641E"/>
    <w:rsid w:val="00986CA0"/>
    <w:rsid w:val="00986F3F"/>
    <w:rsid w:val="00987DD3"/>
    <w:rsid w:val="00990712"/>
    <w:rsid w:val="00991073"/>
    <w:rsid w:val="0099167B"/>
    <w:rsid w:val="009918DE"/>
    <w:rsid w:val="00991ED9"/>
    <w:rsid w:val="00992D05"/>
    <w:rsid w:val="009938D2"/>
    <w:rsid w:val="0099428F"/>
    <w:rsid w:val="00994908"/>
    <w:rsid w:val="009967B5"/>
    <w:rsid w:val="009970CD"/>
    <w:rsid w:val="00997EAA"/>
    <w:rsid w:val="00997F90"/>
    <w:rsid w:val="009A0E38"/>
    <w:rsid w:val="009A16B5"/>
    <w:rsid w:val="009A362A"/>
    <w:rsid w:val="009A3B61"/>
    <w:rsid w:val="009A41EB"/>
    <w:rsid w:val="009A560C"/>
    <w:rsid w:val="009A5958"/>
    <w:rsid w:val="009A5B5F"/>
    <w:rsid w:val="009A7861"/>
    <w:rsid w:val="009B04F5"/>
    <w:rsid w:val="009B072A"/>
    <w:rsid w:val="009B099B"/>
    <w:rsid w:val="009B1A8F"/>
    <w:rsid w:val="009B2675"/>
    <w:rsid w:val="009B270C"/>
    <w:rsid w:val="009B3079"/>
    <w:rsid w:val="009B31EC"/>
    <w:rsid w:val="009B37BD"/>
    <w:rsid w:val="009B4438"/>
    <w:rsid w:val="009B5B7C"/>
    <w:rsid w:val="009B635A"/>
    <w:rsid w:val="009B6D74"/>
    <w:rsid w:val="009B7261"/>
    <w:rsid w:val="009B74A3"/>
    <w:rsid w:val="009B762D"/>
    <w:rsid w:val="009B7B63"/>
    <w:rsid w:val="009C002C"/>
    <w:rsid w:val="009C03B3"/>
    <w:rsid w:val="009C1E6E"/>
    <w:rsid w:val="009C2CAE"/>
    <w:rsid w:val="009C33F2"/>
    <w:rsid w:val="009C38C6"/>
    <w:rsid w:val="009C3C92"/>
    <w:rsid w:val="009C4037"/>
    <w:rsid w:val="009C49B8"/>
    <w:rsid w:val="009C4CA7"/>
    <w:rsid w:val="009C54E6"/>
    <w:rsid w:val="009C5DAB"/>
    <w:rsid w:val="009C63B1"/>
    <w:rsid w:val="009C68E0"/>
    <w:rsid w:val="009C7A1B"/>
    <w:rsid w:val="009D0490"/>
    <w:rsid w:val="009D063B"/>
    <w:rsid w:val="009D12F0"/>
    <w:rsid w:val="009D14C0"/>
    <w:rsid w:val="009D1B9D"/>
    <w:rsid w:val="009D1EAB"/>
    <w:rsid w:val="009D2275"/>
    <w:rsid w:val="009D2929"/>
    <w:rsid w:val="009D2A2D"/>
    <w:rsid w:val="009D2BCF"/>
    <w:rsid w:val="009D44AE"/>
    <w:rsid w:val="009D4A19"/>
    <w:rsid w:val="009D5E9F"/>
    <w:rsid w:val="009D6018"/>
    <w:rsid w:val="009D6129"/>
    <w:rsid w:val="009E0C7F"/>
    <w:rsid w:val="009E11A4"/>
    <w:rsid w:val="009E1521"/>
    <w:rsid w:val="009E18ED"/>
    <w:rsid w:val="009E3F3D"/>
    <w:rsid w:val="009E40CE"/>
    <w:rsid w:val="009E59D1"/>
    <w:rsid w:val="009E62C0"/>
    <w:rsid w:val="009E642E"/>
    <w:rsid w:val="009E77B2"/>
    <w:rsid w:val="009E7E32"/>
    <w:rsid w:val="009F0532"/>
    <w:rsid w:val="009F24A8"/>
    <w:rsid w:val="009F2836"/>
    <w:rsid w:val="009F2905"/>
    <w:rsid w:val="009F29CE"/>
    <w:rsid w:val="009F3DF7"/>
    <w:rsid w:val="009F4C45"/>
    <w:rsid w:val="009F4D80"/>
    <w:rsid w:val="009F55C6"/>
    <w:rsid w:val="009F57A7"/>
    <w:rsid w:val="009F7560"/>
    <w:rsid w:val="00A00449"/>
    <w:rsid w:val="00A01247"/>
    <w:rsid w:val="00A019BB"/>
    <w:rsid w:val="00A02357"/>
    <w:rsid w:val="00A02512"/>
    <w:rsid w:val="00A03C29"/>
    <w:rsid w:val="00A04102"/>
    <w:rsid w:val="00A04205"/>
    <w:rsid w:val="00A044E3"/>
    <w:rsid w:val="00A05153"/>
    <w:rsid w:val="00A0520B"/>
    <w:rsid w:val="00A05B97"/>
    <w:rsid w:val="00A06B68"/>
    <w:rsid w:val="00A06ECC"/>
    <w:rsid w:val="00A07703"/>
    <w:rsid w:val="00A07804"/>
    <w:rsid w:val="00A1029F"/>
    <w:rsid w:val="00A104D2"/>
    <w:rsid w:val="00A10688"/>
    <w:rsid w:val="00A10CD5"/>
    <w:rsid w:val="00A10F29"/>
    <w:rsid w:val="00A1172B"/>
    <w:rsid w:val="00A12726"/>
    <w:rsid w:val="00A12810"/>
    <w:rsid w:val="00A12A60"/>
    <w:rsid w:val="00A12E8A"/>
    <w:rsid w:val="00A141E6"/>
    <w:rsid w:val="00A14E51"/>
    <w:rsid w:val="00A1501B"/>
    <w:rsid w:val="00A15393"/>
    <w:rsid w:val="00A166D3"/>
    <w:rsid w:val="00A17A08"/>
    <w:rsid w:val="00A22796"/>
    <w:rsid w:val="00A22A16"/>
    <w:rsid w:val="00A22CB7"/>
    <w:rsid w:val="00A2385E"/>
    <w:rsid w:val="00A23B08"/>
    <w:rsid w:val="00A23FE2"/>
    <w:rsid w:val="00A26A72"/>
    <w:rsid w:val="00A26A93"/>
    <w:rsid w:val="00A30060"/>
    <w:rsid w:val="00A30D88"/>
    <w:rsid w:val="00A30E03"/>
    <w:rsid w:val="00A30EEE"/>
    <w:rsid w:val="00A30F09"/>
    <w:rsid w:val="00A3289F"/>
    <w:rsid w:val="00A334DE"/>
    <w:rsid w:val="00A3351F"/>
    <w:rsid w:val="00A3353B"/>
    <w:rsid w:val="00A33849"/>
    <w:rsid w:val="00A33DB8"/>
    <w:rsid w:val="00A34D25"/>
    <w:rsid w:val="00A35E2F"/>
    <w:rsid w:val="00A360CA"/>
    <w:rsid w:val="00A36B1D"/>
    <w:rsid w:val="00A36DFE"/>
    <w:rsid w:val="00A3749C"/>
    <w:rsid w:val="00A3753E"/>
    <w:rsid w:val="00A37AF3"/>
    <w:rsid w:val="00A37E16"/>
    <w:rsid w:val="00A40F7C"/>
    <w:rsid w:val="00A40FAE"/>
    <w:rsid w:val="00A41A52"/>
    <w:rsid w:val="00A4261B"/>
    <w:rsid w:val="00A43C1D"/>
    <w:rsid w:val="00A4426C"/>
    <w:rsid w:val="00A44638"/>
    <w:rsid w:val="00A45715"/>
    <w:rsid w:val="00A457D2"/>
    <w:rsid w:val="00A46C6F"/>
    <w:rsid w:val="00A5031F"/>
    <w:rsid w:val="00A51307"/>
    <w:rsid w:val="00A5167F"/>
    <w:rsid w:val="00A51C4D"/>
    <w:rsid w:val="00A52AA6"/>
    <w:rsid w:val="00A52D9D"/>
    <w:rsid w:val="00A5366C"/>
    <w:rsid w:val="00A536F2"/>
    <w:rsid w:val="00A53A75"/>
    <w:rsid w:val="00A53C9F"/>
    <w:rsid w:val="00A53ED6"/>
    <w:rsid w:val="00A54AB0"/>
    <w:rsid w:val="00A55700"/>
    <w:rsid w:val="00A55FCE"/>
    <w:rsid w:val="00A56022"/>
    <w:rsid w:val="00A562A8"/>
    <w:rsid w:val="00A56DC2"/>
    <w:rsid w:val="00A571B8"/>
    <w:rsid w:val="00A5744B"/>
    <w:rsid w:val="00A57C79"/>
    <w:rsid w:val="00A61178"/>
    <w:rsid w:val="00A6133E"/>
    <w:rsid w:val="00A61D76"/>
    <w:rsid w:val="00A631E1"/>
    <w:rsid w:val="00A64D8F"/>
    <w:rsid w:val="00A64E66"/>
    <w:rsid w:val="00A653E0"/>
    <w:rsid w:val="00A6562B"/>
    <w:rsid w:val="00A65BC8"/>
    <w:rsid w:val="00A65FE7"/>
    <w:rsid w:val="00A663C3"/>
    <w:rsid w:val="00A67003"/>
    <w:rsid w:val="00A672EE"/>
    <w:rsid w:val="00A67F28"/>
    <w:rsid w:val="00A7030D"/>
    <w:rsid w:val="00A7104A"/>
    <w:rsid w:val="00A71ABC"/>
    <w:rsid w:val="00A727E3"/>
    <w:rsid w:val="00A72CBA"/>
    <w:rsid w:val="00A740C5"/>
    <w:rsid w:val="00A74B26"/>
    <w:rsid w:val="00A74CAF"/>
    <w:rsid w:val="00A74D73"/>
    <w:rsid w:val="00A7651D"/>
    <w:rsid w:val="00A77C7D"/>
    <w:rsid w:val="00A809CB"/>
    <w:rsid w:val="00A812AF"/>
    <w:rsid w:val="00A81314"/>
    <w:rsid w:val="00A814A7"/>
    <w:rsid w:val="00A821F1"/>
    <w:rsid w:val="00A82FFD"/>
    <w:rsid w:val="00A83261"/>
    <w:rsid w:val="00A83D6E"/>
    <w:rsid w:val="00A845C4"/>
    <w:rsid w:val="00A845EA"/>
    <w:rsid w:val="00A8696F"/>
    <w:rsid w:val="00A874B9"/>
    <w:rsid w:val="00A903E0"/>
    <w:rsid w:val="00A91166"/>
    <w:rsid w:val="00A9276B"/>
    <w:rsid w:val="00A9371D"/>
    <w:rsid w:val="00A9404F"/>
    <w:rsid w:val="00A95B55"/>
    <w:rsid w:val="00A96537"/>
    <w:rsid w:val="00A96ACC"/>
    <w:rsid w:val="00AA00C0"/>
    <w:rsid w:val="00AA2356"/>
    <w:rsid w:val="00AA253E"/>
    <w:rsid w:val="00AA2726"/>
    <w:rsid w:val="00AA2C1C"/>
    <w:rsid w:val="00AA3AEE"/>
    <w:rsid w:val="00AA4D4A"/>
    <w:rsid w:val="00AA53B7"/>
    <w:rsid w:val="00AA56EC"/>
    <w:rsid w:val="00AA590D"/>
    <w:rsid w:val="00AA5AE5"/>
    <w:rsid w:val="00AA6646"/>
    <w:rsid w:val="00AA690F"/>
    <w:rsid w:val="00AA6AF4"/>
    <w:rsid w:val="00AA7838"/>
    <w:rsid w:val="00AB1374"/>
    <w:rsid w:val="00AB141C"/>
    <w:rsid w:val="00AB14DC"/>
    <w:rsid w:val="00AB15C0"/>
    <w:rsid w:val="00AB16F6"/>
    <w:rsid w:val="00AB32CB"/>
    <w:rsid w:val="00AB3B3C"/>
    <w:rsid w:val="00AB3B5E"/>
    <w:rsid w:val="00AB4BAE"/>
    <w:rsid w:val="00AB666B"/>
    <w:rsid w:val="00AB6BF1"/>
    <w:rsid w:val="00AB6DD0"/>
    <w:rsid w:val="00AC1075"/>
    <w:rsid w:val="00AC1959"/>
    <w:rsid w:val="00AC2400"/>
    <w:rsid w:val="00AC2D30"/>
    <w:rsid w:val="00AC2DE5"/>
    <w:rsid w:val="00AC335A"/>
    <w:rsid w:val="00AC3B4B"/>
    <w:rsid w:val="00AC4590"/>
    <w:rsid w:val="00AC4B5B"/>
    <w:rsid w:val="00AC517C"/>
    <w:rsid w:val="00AC56B7"/>
    <w:rsid w:val="00AC5C08"/>
    <w:rsid w:val="00AC6194"/>
    <w:rsid w:val="00AC62B3"/>
    <w:rsid w:val="00AC641D"/>
    <w:rsid w:val="00AC642F"/>
    <w:rsid w:val="00AC65D2"/>
    <w:rsid w:val="00AC6DC4"/>
    <w:rsid w:val="00AC754D"/>
    <w:rsid w:val="00AC764D"/>
    <w:rsid w:val="00AD06A8"/>
    <w:rsid w:val="00AD09F4"/>
    <w:rsid w:val="00AD0C9F"/>
    <w:rsid w:val="00AD10EA"/>
    <w:rsid w:val="00AD1188"/>
    <w:rsid w:val="00AD1558"/>
    <w:rsid w:val="00AD19F6"/>
    <w:rsid w:val="00AD1A3E"/>
    <w:rsid w:val="00AD2107"/>
    <w:rsid w:val="00AD21C3"/>
    <w:rsid w:val="00AD2AD7"/>
    <w:rsid w:val="00AD2CD9"/>
    <w:rsid w:val="00AD3834"/>
    <w:rsid w:val="00AD3CC6"/>
    <w:rsid w:val="00AD4433"/>
    <w:rsid w:val="00AD4981"/>
    <w:rsid w:val="00AD561E"/>
    <w:rsid w:val="00AD5D9B"/>
    <w:rsid w:val="00AD5FF8"/>
    <w:rsid w:val="00AD64BE"/>
    <w:rsid w:val="00AD6DB1"/>
    <w:rsid w:val="00AD7153"/>
    <w:rsid w:val="00AD7571"/>
    <w:rsid w:val="00AD7686"/>
    <w:rsid w:val="00AD77A8"/>
    <w:rsid w:val="00AD7CF8"/>
    <w:rsid w:val="00AD7DDB"/>
    <w:rsid w:val="00AE0029"/>
    <w:rsid w:val="00AE0BB0"/>
    <w:rsid w:val="00AE0F5F"/>
    <w:rsid w:val="00AE1EB4"/>
    <w:rsid w:val="00AE2B79"/>
    <w:rsid w:val="00AE3660"/>
    <w:rsid w:val="00AE3BED"/>
    <w:rsid w:val="00AE3C29"/>
    <w:rsid w:val="00AE41F9"/>
    <w:rsid w:val="00AE43CE"/>
    <w:rsid w:val="00AE447E"/>
    <w:rsid w:val="00AE57DE"/>
    <w:rsid w:val="00AE5B16"/>
    <w:rsid w:val="00AE730B"/>
    <w:rsid w:val="00AE7CDE"/>
    <w:rsid w:val="00AE7EB4"/>
    <w:rsid w:val="00AF0CB8"/>
    <w:rsid w:val="00AF0ECC"/>
    <w:rsid w:val="00AF136E"/>
    <w:rsid w:val="00AF1CE7"/>
    <w:rsid w:val="00AF1EF0"/>
    <w:rsid w:val="00AF23F1"/>
    <w:rsid w:val="00AF2D2F"/>
    <w:rsid w:val="00AF42F2"/>
    <w:rsid w:val="00AF504C"/>
    <w:rsid w:val="00AF5138"/>
    <w:rsid w:val="00B0042B"/>
    <w:rsid w:val="00B00510"/>
    <w:rsid w:val="00B00B8D"/>
    <w:rsid w:val="00B01208"/>
    <w:rsid w:val="00B018F1"/>
    <w:rsid w:val="00B0298D"/>
    <w:rsid w:val="00B038D5"/>
    <w:rsid w:val="00B05050"/>
    <w:rsid w:val="00B057A2"/>
    <w:rsid w:val="00B06F70"/>
    <w:rsid w:val="00B0768A"/>
    <w:rsid w:val="00B077F8"/>
    <w:rsid w:val="00B10AAC"/>
    <w:rsid w:val="00B10C47"/>
    <w:rsid w:val="00B11523"/>
    <w:rsid w:val="00B117DE"/>
    <w:rsid w:val="00B11F30"/>
    <w:rsid w:val="00B11F5E"/>
    <w:rsid w:val="00B126DD"/>
    <w:rsid w:val="00B12E25"/>
    <w:rsid w:val="00B13331"/>
    <w:rsid w:val="00B13AE0"/>
    <w:rsid w:val="00B13F27"/>
    <w:rsid w:val="00B14065"/>
    <w:rsid w:val="00B14171"/>
    <w:rsid w:val="00B1501A"/>
    <w:rsid w:val="00B152B5"/>
    <w:rsid w:val="00B158F1"/>
    <w:rsid w:val="00B15BF7"/>
    <w:rsid w:val="00B16952"/>
    <w:rsid w:val="00B2036D"/>
    <w:rsid w:val="00B20460"/>
    <w:rsid w:val="00B21C58"/>
    <w:rsid w:val="00B233EF"/>
    <w:rsid w:val="00B23799"/>
    <w:rsid w:val="00B239B4"/>
    <w:rsid w:val="00B23FDA"/>
    <w:rsid w:val="00B24109"/>
    <w:rsid w:val="00B2549D"/>
    <w:rsid w:val="00B255BD"/>
    <w:rsid w:val="00B26AC4"/>
    <w:rsid w:val="00B31291"/>
    <w:rsid w:val="00B32361"/>
    <w:rsid w:val="00B325FE"/>
    <w:rsid w:val="00B32D95"/>
    <w:rsid w:val="00B3325D"/>
    <w:rsid w:val="00B33A5C"/>
    <w:rsid w:val="00B33BAB"/>
    <w:rsid w:val="00B33C59"/>
    <w:rsid w:val="00B33D2F"/>
    <w:rsid w:val="00B347CD"/>
    <w:rsid w:val="00B34D8A"/>
    <w:rsid w:val="00B36194"/>
    <w:rsid w:val="00B3724C"/>
    <w:rsid w:val="00B3755D"/>
    <w:rsid w:val="00B37969"/>
    <w:rsid w:val="00B37C9A"/>
    <w:rsid w:val="00B37ED1"/>
    <w:rsid w:val="00B40B37"/>
    <w:rsid w:val="00B40E37"/>
    <w:rsid w:val="00B4118C"/>
    <w:rsid w:val="00B41C69"/>
    <w:rsid w:val="00B41CF0"/>
    <w:rsid w:val="00B4250E"/>
    <w:rsid w:val="00B427EF"/>
    <w:rsid w:val="00B42930"/>
    <w:rsid w:val="00B42C54"/>
    <w:rsid w:val="00B440E2"/>
    <w:rsid w:val="00B4424A"/>
    <w:rsid w:val="00B443B8"/>
    <w:rsid w:val="00B44640"/>
    <w:rsid w:val="00B45C4C"/>
    <w:rsid w:val="00B45DDC"/>
    <w:rsid w:val="00B461DB"/>
    <w:rsid w:val="00B4766E"/>
    <w:rsid w:val="00B478D0"/>
    <w:rsid w:val="00B47FF9"/>
    <w:rsid w:val="00B511EB"/>
    <w:rsid w:val="00B523A9"/>
    <w:rsid w:val="00B53200"/>
    <w:rsid w:val="00B53976"/>
    <w:rsid w:val="00B53F1A"/>
    <w:rsid w:val="00B54910"/>
    <w:rsid w:val="00B54E74"/>
    <w:rsid w:val="00B552A7"/>
    <w:rsid w:val="00B56349"/>
    <w:rsid w:val="00B56883"/>
    <w:rsid w:val="00B56BC7"/>
    <w:rsid w:val="00B570EE"/>
    <w:rsid w:val="00B576A3"/>
    <w:rsid w:val="00B60784"/>
    <w:rsid w:val="00B609A2"/>
    <w:rsid w:val="00B60ADC"/>
    <w:rsid w:val="00B6298A"/>
    <w:rsid w:val="00B631EB"/>
    <w:rsid w:val="00B6344A"/>
    <w:rsid w:val="00B644E4"/>
    <w:rsid w:val="00B64A9B"/>
    <w:rsid w:val="00B65A51"/>
    <w:rsid w:val="00B65A9D"/>
    <w:rsid w:val="00B65D04"/>
    <w:rsid w:val="00B65DFB"/>
    <w:rsid w:val="00B66437"/>
    <w:rsid w:val="00B66DB3"/>
    <w:rsid w:val="00B66FD8"/>
    <w:rsid w:val="00B67277"/>
    <w:rsid w:val="00B67315"/>
    <w:rsid w:val="00B67833"/>
    <w:rsid w:val="00B72FA1"/>
    <w:rsid w:val="00B734C1"/>
    <w:rsid w:val="00B7366D"/>
    <w:rsid w:val="00B739EC"/>
    <w:rsid w:val="00B73B79"/>
    <w:rsid w:val="00B73DDD"/>
    <w:rsid w:val="00B7434F"/>
    <w:rsid w:val="00B74DD2"/>
    <w:rsid w:val="00B74FCF"/>
    <w:rsid w:val="00B75E1D"/>
    <w:rsid w:val="00B7634D"/>
    <w:rsid w:val="00B76A10"/>
    <w:rsid w:val="00B803CB"/>
    <w:rsid w:val="00B80AE5"/>
    <w:rsid w:val="00B815B6"/>
    <w:rsid w:val="00B81F18"/>
    <w:rsid w:val="00B82CC6"/>
    <w:rsid w:val="00B832F4"/>
    <w:rsid w:val="00B8433C"/>
    <w:rsid w:val="00B849E9"/>
    <w:rsid w:val="00B858EA"/>
    <w:rsid w:val="00B87374"/>
    <w:rsid w:val="00B90862"/>
    <w:rsid w:val="00B91344"/>
    <w:rsid w:val="00B918B1"/>
    <w:rsid w:val="00B91B2A"/>
    <w:rsid w:val="00B91F27"/>
    <w:rsid w:val="00B93224"/>
    <w:rsid w:val="00B93A1D"/>
    <w:rsid w:val="00B93DD5"/>
    <w:rsid w:val="00B94734"/>
    <w:rsid w:val="00B94F1E"/>
    <w:rsid w:val="00B96936"/>
    <w:rsid w:val="00B969BC"/>
    <w:rsid w:val="00B971DE"/>
    <w:rsid w:val="00B97777"/>
    <w:rsid w:val="00B97DB0"/>
    <w:rsid w:val="00BA0159"/>
    <w:rsid w:val="00BA06D9"/>
    <w:rsid w:val="00BA1104"/>
    <w:rsid w:val="00BA24B5"/>
    <w:rsid w:val="00BA275A"/>
    <w:rsid w:val="00BA284E"/>
    <w:rsid w:val="00BA2F5A"/>
    <w:rsid w:val="00BA4204"/>
    <w:rsid w:val="00BA463D"/>
    <w:rsid w:val="00BA494D"/>
    <w:rsid w:val="00BA4BAE"/>
    <w:rsid w:val="00BA5694"/>
    <w:rsid w:val="00BA5B0B"/>
    <w:rsid w:val="00BA5B64"/>
    <w:rsid w:val="00BA6038"/>
    <w:rsid w:val="00BA64F8"/>
    <w:rsid w:val="00BA6D56"/>
    <w:rsid w:val="00BA71D0"/>
    <w:rsid w:val="00BA77D5"/>
    <w:rsid w:val="00BB0DAF"/>
    <w:rsid w:val="00BB1CC1"/>
    <w:rsid w:val="00BB2C99"/>
    <w:rsid w:val="00BB2FED"/>
    <w:rsid w:val="00BB362B"/>
    <w:rsid w:val="00BB39A4"/>
    <w:rsid w:val="00BB5183"/>
    <w:rsid w:val="00BB57D8"/>
    <w:rsid w:val="00BB5F4E"/>
    <w:rsid w:val="00BB5FE5"/>
    <w:rsid w:val="00BB63F0"/>
    <w:rsid w:val="00BB73E2"/>
    <w:rsid w:val="00BB7493"/>
    <w:rsid w:val="00BC0555"/>
    <w:rsid w:val="00BC0D9C"/>
    <w:rsid w:val="00BC0EB9"/>
    <w:rsid w:val="00BC0F41"/>
    <w:rsid w:val="00BC1652"/>
    <w:rsid w:val="00BC197E"/>
    <w:rsid w:val="00BC24E0"/>
    <w:rsid w:val="00BC2531"/>
    <w:rsid w:val="00BC276E"/>
    <w:rsid w:val="00BC31AA"/>
    <w:rsid w:val="00BC3390"/>
    <w:rsid w:val="00BC35FB"/>
    <w:rsid w:val="00BC4823"/>
    <w:rsid w:val="00BC4B8C"/>
    <w:rsid w:val="00BC4CDD"/>
    <w:rsid w:val="00BC5D78"/>
    <w:rsid w:val="00BC68E3"/>
    <w:rsid w:val="00BC77D6"/>
    <w:rsid w:val="00BC7D91"/>
    <w:rsid w:val="00BD0A92"/>
    <w:rsid w:val="00BD0B0C"/>
    <w:rsid w:val="00BD0C9D"/>
    <w:rsid w:val="00BD140D"/>
    <w:rsid w:val="00BD157A"/>
    <w:rsid w:val="00BD1CD2"/>
    <w:rsid w:val="00BD3070"/>
    <w:rsid w:val="00BD32DF"/>
    <w:rsid w:val="00BD339D"/>
    <w:rsid w:val="00BD3F81"/>
    <w:rsid w:val="00BD56DE"/>
    <w:rsid w:val="00BD59EC"/>
    <w:rsid w:val="00BD62AE"/>
    <w:rsid w:val="00BD64AE"/>
    <w:rsid w:val="00BD6666"/>
    <w:rsid w:val="00BD6982"/>
    <w:rsid w:val="00BD6DF5"/>
    <w:rsid w:val="00BD7382"/>
    <w:rsid w:val="00BD7E6B"/>
    <w:rsid w:val="00BD7F88"/>
    <w:rsid w:val="00BE0754"/>
    <w:rsid w:val="00BE07F1"/>
    <w:rsid w:val="00BE0FAD"/>
    <w:rsid w:val="00BE0FB8"/>
    <w:rsid w:val="00BE1180"/>
    <w:rsid w:val="00BE16C5"/>
    <w:rsid w:val="00BE18A3"/>
    <w:rsid w:val="00BE1B42"/>
    <w:rsid w:val="00BE1B5A"/>
    <w:rsid w:val="00BE1CD1"/>
    <w:rsid w:val="00BE20A9"/>
    <w:rsid w:val="00BE236C"/>
    <w:rsid w:val="00BE2779"/>
    <w:rsid w:val="00BE28E5"/>
    <w:rsid w:val="00BE29E6"/>
    <w:rsid w:val="00BE29F3"/>
    <w:rsid w:val="00BE40E4"/>
    <w:rsid w:val="00BE4302"/>
    <w:rsid w:val="00BE4370"/>
    <w:rsid w:val="00BE4825"/>
    <w:rsid w:val="00BE4CBC"/>
    <w:rsid w:val="00BE5166"/>
    <w:rsid w:val="00BE56A7"/>
    <w:rsid w:val="00BE6545"/>
    <w:rsid w:val="00BE768C"/>
    <w:rsid w:val="00BE7D42"/>
    <w:rsid w:val="00BF00D7"/>
    <w:rsid w:val="00BF0291"/>
    <w:rsid w:val="00BF10D3"/>
    <w:rsid w:val="00BF1DF3"/>
    <w:rsid w:val="00BF2010"/>
    <w:rsid w:val="00BF25B3"/>
    <w:rsid w:val="00BF2A17"/>
    <w:rsid w:val="00BF34B1"/>
    <w:rsid w:val="00BF3A40"/>
    <w:rsid w:val="00BF3EDE"/>
    <w:rsid w:val="00BF3FD0"/>
    <w:rsid w:val="00BF5BD2"/>
    <w:rsid w:val="00BF5DFD"/>
    <w:rsid w:val="00BF6445"/>
    <w:rsid w:val="00BF71B6"/>
    <w:rsid w:val="00BF72A2"/>
    <w:rsid w:val="00BF76A5"/>
    <w:rsid w:val="00BF7903"/>
    <w:rsid w:val="00BF7AF6"/>
    <w:rsid w:val="00BF7ED0"/>
    <w:rsid w:val="00C00C0D"/>
    <w:rsid w:val="00C01AB2"/>
    <w:rsid w:val="00C0270B"/>
    <w:rsid w:val="00C031CD"/>
    <w:rsid w:val="00C03228"/>
    <w:rsid w:val="00C033D3"/>
    <w:rsid w:val="00C05FB3"/>
    <w:rsid w:val="00C06304"/>
    <w:rsid w:val="00C104FB"/>
    <w:rsid w:val="00C10B55"/>
    <w:rsid w:val="00C11024"/>
    <w:rsid w:val="00C116AB"/>
    <w:rsid w:val="00C11767"/>
    <w:rsid w:val="00C11CE9"/>
    <w:rsid w:val="00C11DF8"/>
    <w:rsid w:val="00C1288B"/>
    <w:rsid w:val="00C12ABC"/>
    <w:rsid w:val="00C13341"/>
    <w:rsid w:val="00C1337E"/>
    <w:rsid w:val="00C136D4"/>
    <w:rsid w:val="00C14594"/>
    <w:rsid w:val="00C15F3E"/>
    <w:rsid w:val="00C161AF"/>
    <w:rsid w:val="00C16266"/>
    <w:rsid w:val="00C16A0E"/>
    <w:rsid w:val="00C16A94"/>
    <w:rsid w:val="00C17009"/>
    <w:rsid w:val="00C17101"/>
    <w:rsid w:val="00C171EA"/>
    <w:rsid w:val="00C17694"/>
    <w:rsid w:val="00C21024"/>
    <w:rsid w:val="00C232A7"/>
    <w:rsid w:val="00C23A23"/>
    <w:rsid w:val="00C248A9"/>
    <w:rsid w:val="00C24CEC"/>
    <w:rsid w:val="00C256F8"/>
    <w:rsid w:val="00C25E90"/>
    <w:rsid w:val="00C26763"/>
    <w:rsid w:val="00C26B50"/>
    <w:rsid w:val="00C27AA9"/>
    <w:rsid w:val="00C27C0C"/>
    <w:rsid w:val="00C303BA"/>
    <w:rsid w:val="00C30E6E"/>
    <w:rsid w:val="00C332D6"/>
    <w:rsid w:val="00C346D7"/>
    <w:rsid w:val="00C352D9"/>
    <w:rsid w:val="00C3564B"/>
    <w:rsid w:val="00C35FD0"/>
    <w:rsid w:val="00C36BC5"/>
    <w:rsid w:val="00C36E11"/>
    <w:rsid w:val="00C3721F"/>
    <w:rsid w:val="00C4058F"/>
    <w:rsid w:val="00C4088E"/>
    <w:rsid w:val="00C40D46"/>
    <w:rsid w:val="00C43691"/>
    <w:rsid w:val="00C43D51"/>
    <w:rsid w:val="00C47A23"/>
    <w:rsid w:val="00C50053"/>
    <w:rsid w:val="00C503D1"/>
    <w:rsid w:val="00C51D5D"/>
    <w:rsid w:val="00C538A2"/>
    <w:rsid w:val="00C53A6E"/>
    <w:rsid w:val="00C53DC4"/>
    <w:rsid w:val="00C548B6"/>
    <w:rsid w:val="00C54D42"/>
    <w:rsid w:val="00C54E7E"/>
    <w:rsid w:val="00C550DA"/>
    <w:rsid w:val="00C57819"/>
    <w:rsid w:val="00C5781E"/>
    <w:rsid w:val="00C5794C"/>
    <w:rsid w:val="00C57EEF"/>
    <w:rsid w:val="00C600DA"/>
    <w:rsid w:val="00C60DF4"/>
    <w:rsid w:val="00C6130D"/>
    <w:rsid w:val="00C618BE"/>
    <w:rsid w:val="00C61AAC"/>
    <w:rsid w:val="00C628E3"/>
    <w:rsid w:val="00C633A6"/>
    <w:rsid w:val="00C64304"/>
    <w:rsid w:val="00C653F1"/>
    <w:rsid w:val="00C6574B"/>
    <w:rsid w:val="00C657FA"/>
    <w:rsid w:val="00C664A4"/>
    <w:rsid w:val="00C67522"/>
    <w:rsid w:val="00C67B97"/>
    <w:rsid w:val="00C70295"/>
    <w:rsid w:val="00C70D2B"/>
    <w:rsid w:val="00C71620"/>
    <w:rsid w:val="00C7182B"/>
    <w:rsid w:val="00C71868"/>
    <w:rsid w:val="00C721C0"/>
    <w:rsid w:val="00C72207"/>
    <w:rsid w:val="00C73208"/>
    <w:rsid w:val="00C73620"/>
    <w:rsid w:val="00C73CB0"/>
    <w:rsid w:val="00C742A7"/>
    <w:rsid w:val="00C7452A"/>
    <w:rsid w:val="00C75320"/>
    <w:rsid w:val="00C757FF"/>
    <w:rsid w:val="00C759DF"/>
    <w:rsid w:val="00C75B6C"/>
    <w:rsid w:val="00C7670D"/>
    <w:rsid w:val="00C76947"/>
    <w:rsid w:val="00C778AD"/>
    <w:rsid w:val="00C77F48"/>
    <w:rsid w:val="00C8114D"/>
    <w:rsid w:val="00C81594"/>
    <w:rsid w:val="00C8195D"/>
    <w:rsid w:val="00C8230B"/>
    <w:rsid w:val="00C8283A"/>
    <w:rsid w:val="00C82F09"/>
    <w:rsid w:val="00C842FC"/>
    <w:rsid w:val="00C85D85"/>
    <w:rsid w:val="00C8604F"/>
    <w:rsid w:val="00C86171"/>
    <w:rsid w:val="00C8657E"/>
    <w:rsid w:val="00C86798"/>
    <w:rsid w:val="00C86A72"/>
    <w:rsid w:val="00C86D39"/>
    <w:rsid w:val="00C87E42"/>
    <w:rsid w:val="00C9075A"/>
    <w:rsid w:val="00C90A4B"/>
    <w:rsid w:val="00C91A24"/>
    <w:rsid w:val="00C92C0A"/>
    <w:rsid w:val="00C92C14"/>
    <w:rsid w:val="00C930EE"/>
    <w:rsid w:val="00C93639"/>
    <w:rsid w:val="00C9395E"/>
    <w:rsid w:val="00C94044"/>
    <w:rsid w:val="00C94360"/>
    <w:rsid w:val="00C944FD"/>
    <w:rsid w:val="00C9502A"/>
    <w:rsid w:val="00C95E9E"/>
    <w:rsid w:val="00C96369"/>
    <w:rsid w:val="00C9672A"/>
    <w:rsid w:val="00C9777A"/>
    <w:rsid w:val="00C97A1C"/>
    <w:rsid w:val="00CA08AE"/>
    <w:rsid w:val="00CA1277"/>
    <w:rsid w:val="00CA247C"/>
    <w:rsid w:val="00CA2812"/>
    <w:rsid w:val="00CA2FD8"/>
    <w:rsid w:val="00CA4AA6"/>
    <w:rsid w:val="00CA5030"/>
    <w:rsid w:val="00CA550C"/>
    <w:rsid w:val="00CA5585"/>
    <w:rsid w:val="00CA58CF"/>
    <w:rsid w:val="00CA5FA6"/>
    <w:rsid w:val="00CA6362"/>
    <w:rsid w:val="00CA7392"/>
    <w:rsid w:val="00CA76D2"/>
    <w:rsid w:val="00CB0C9E"/>
    <w:rsid w:val="00CB1567"/>
    <w:rsid w:val="00CB15B3"/>
    <w:rsid w:val="00CB172D"/>
    <w:rsid w:val="00CB1869"/>
    <w:rsid w:val="00CB20D6"/>
    <w:rsid w:val="00CB2247"/>
    <w:rsid w:val="00CB2C1A"/>
    <w:rsid w:val="00CB2F94"/>
    <w:rsid w:val="00CB3080"/>
    <w:rsid w:val="00CB3420"/>
    <w:rsid w:val="00CB3EC4"/>
    <w:rsid w:val="00CB4B1F"/>
    <w:rsid w:val="00CB60FB"/>
    <w:rsid w:val="00CB696D"/>
    <w:rsid w:val="00CB6A68"/>
    <w:rsid w:val="00CB73BB"/>
    <w:rsid w:val="00CB7AEC"/>
    <w:rsid w:val="00CB7F2C"/>
    <w:rsid w:val="00CB7FDE"/>
    <w:rsid w:val="00CC0BF4"/>
    <w:rsid w:val="00CC0C79"/>
    <w:rsid w:val="00CC1CF3"/>
    <w:rsid w:val="00CC1FDB"/>
    <w:rsid w:val="00CC30CE"/>
    <w:rsid w:val="00CC3690"/>
    <w:rsid w:val="00CC3804"/>
    <w:rsid w:val="00CC3A88"/>
    <w:rsid w:val="00CC3EB6"/>
    <w:rsid w:val="00CC4D00"/>
    <w:rsid w:val="00CD0E46"/>
    <w:rsid w:val="00CD124B"/>
    <w:rsid w:val="00CD18E6"/>
    <w:rsid w:val="00CD1E21"/>
    <w:rsid w:val="00CD2864"/>
    <w:rsid w:val="00CD2A1F"/>
    <w:rsid w:val="00CD2D0F"/>
    <w:rsid w:val="00CD318C"/>
    <w:rsid w:val="00CD3331"/>
    <w:rsid w:val="00CD3D4E"/>
    <w:rsid w:val="00CD619A"/>
    <w:rsid w:val="00CD6245"/>
    <w:rsid w:val="00CD69D5"/>
    <w:rsid w:val="00CD7271"/>
    <w:rsid w:val="00CE07AE"/>
    <w:rsid w:val="00CE0E3F"/>
    <w:rsid w:val="00CE377E"/>
    <w:rsid w:val="00CE58DD"/>
    <w:rsid w:val="00CE623C"/>
    <w:rsid w:val="00CE643C"/>
    <w:rsid w:val="00CE6B5E"/>
    <w:rsid w:val="00CF01ED"/>
    <w:rsid w:val="00CF070E"/>
    <w:rsid w:val="00CF1937"/>
    <w:rsid w:val="00CF1B4E"/>
    <w:rsid w:val="00CF1C89"/>
    <w:rsid w:val="00CF2F9A"/>
    <w:rsid w:val="00CF4F1B"/>
    <w:rsid w:val="00CF50F9"/>
    <w:rsid w:val="00CF54F1"/>
    <w:rsid w:val="00CF5F3A"/>
    <w:rsid w:val="00CF5FC9"/>
    <w:rsid w:val="00CF79DD"/>
    <w:rsid w:val="00CF7F37"/>
    <w:rsid w:val="00D00C99"/>
    <w:rsid w:val="00D01946"/>
    <w:rsid w:val="00D02061"/>
    <w:rsid w:val="00D035E5"/>
    <w:rsid w:val="00D03EBB"/>
    <w:rsid w:val="00D03FB3"/>
    <w:rsid w:val="00D0498D"/>
    <w:rsid w:val="00D04F63"/>
    <w:rsid w:val="00D055C1"/>
    <w:rsid w:val="00D07300"/>
    <w:rsid w:val="00D07C0C"/>
    <w:rsid w:val="00D10085"/>
    <w:rsid w:val="00D1009E"/>
    <w:rsid w:val="00D107C1"/>
    <w:rsid w:val="00D107DB"/>
    <w:rsid w:val="00D11AAC"/>
    <w:rsid w:val="00D11C9B"/>
    <w:rsid w:val="00D11F40"/>
    <w:rsid w:val="00D12342"/>
    <w:rsid w:val="00D12473"/>
    <w:rsid w:val="00D130C8"/>
    <w:rsid w:val="00D154C2"/>
    <w:rsid w:val="00D15581"/>
    <w:rsid w:val="00D15839"/>
    <w:rsid w:val="00D1609C"/>
    <w:rsid w:val="00D164B5"/>
    <w:rsid w:val="00D16759"/>
    <w:rsid w:val="00D17A29"/>
    <w:rsid w:val="00D2111A"/>
    <w:rsid w:val="00D22258"/>
    <w:rsid w:val="00D23123"/>
    <w:rsid w:val="00D23982"/>
    <w:rsid w:val="00D247E7"/>
    <w:rsid w:val="00D2492E"/>
    <w:rsid w:val="00D24C46"/>
    <w:rsid w:val="00D250C9"/>
    <w:rsid w:val="00D269B1"/>
    <w:rsid w:val="00D26C10"/>
    <w:rsid w:val="00D270EC"/>
    <w:rsid w:val="00D30E1B"/>
    <w:rsid w:val="00D30F13"/>
    <w:rsid w:val="00D317FA"/>
    <w:rsid w:val="00D31CA6"/>
    <w:rsid w:val="00D326F9"/>
    <w:rsid w:val="00D33345"/>
    <w:rsid w:val="00D33A27"/>
    <w:rsid w:val="00D33B05"/>
    <w:rsid w:val="00D34820"/>
    <w:rsid w:val="00D35046"/>
    <w:rsid w:val="00D357DA"/>
    <w:rsid w:val="00D35F9C"/>
    <w:rsid w:val="00D3708E"/>
    <w:rsid w:val="00D37213"/>
    <w:rsid w:val="00D377D6"/>
    <w:rsid w:val="00D37CA9"/>
    <w:rsid w:val="00D406AB"/>
    <w:rsid w:val="00D40938"/>
    <w:rsid w:val="00D40C3C"/>
    <w:rsid w:val="00D41E18"/>
    <w:rsid w:val="00D42608"/>
    <w:rsid w:val="00D438A1"/>
    <w:rsid w:val="00D439FF"/>
    <w:rsid w:val="00D43D27"/>
    <w:rsid w:val="00D448E3"/>
    <w:rsid w:val="00D44A93"/>
    <w:rsid w:val="00D451F1"/>
    <w:rsid w:val="00D45403"/>
    <w:rsid w:val="00D45592"/>
    <w:rsid w:val="00D4584B"/>
    <w:rsid w:val="00D45FA1"/>
    <w:rsid w:val="00D477E1"/>
    <w:rsid w:val="00D50D7F"/>
    <w:rsid w:val="00D50F45"/>
    <w:rsid w:val="00D51234"/>
    <w:rsid w:val="00D515FA"/>
    <w:rsid w:val="00D517EE"/>
    <w:rsid w:val="00D51A87"/>
    <w:rsid w:val="00D5287B"/>
    <w:rsid w:val="00D52C04"/>
    <w:rsid w:val="00D53CB2"/>
    <w:rsid w:val="00D53F9E"/>
    <w:rsid w:val="00D544FC"/>
    <w:rsid w:val="00D546FE"/>
    <w:rsid w:val="00D5495A"/>
    <w:rsid w:val="00D54BA4"/>
    <w:rsid w:val="00D54D1C"/>
    <w:rsid w:val="00D55211"/>
    <w:rsid w:val="00D55C29"/>
    <w:rsid w:val="00D55D1C"/>
    <w:rsid w:val="00D56DF0"/>
    <w:rsid w:val="00D5769D"/>
    <w:rsid w:val="00D5786B"/>
    <w:rsid w:val="00D60683"/>
    <w:rsid w:val="00D60A1D"/>
    <w:rsid w:val="00D614A7"/>
    <w:rsid w:val="00D62620"/>
    <w:rsid w:val="00D62659"/>
    <w:rsid w:val="00D6356B"/>
    <w:rsid w:val="00D636F3"/>
    <w:rsid w:val="00D637E2"/>
    <w:rsid w:val="00D63CB1"/>
    <w:rsid w:val="00D644F5"/>
    <w:rsid w:val="00D646D1"/>
    <w:rsid w:val="00D65BAC"/>
    <w:rsid w:val="00D65E39"/>
    <w:rsid w:val="00D66B57"/>
    <w:rsid w:val="00D674F9"/>
    <w:rsid w:val="00D70E0F"/>
    <w:rsid w:val="00D7100C"/>
    <w:rsid w:val="00D72626"/>
    <w:rsid w:val="00D72B0A"/>
    <w:rsid w:val="00D72DB7"/>
    <w:rsid w:val="00D7303F"/>
    <w:rsid w:val="00D7446B"/>
    <w:rsid w:val="00D74733"/>
    <w:rsid w:val="00D74EDA"/>
    <w:rsid w:val="00D75922"/>
    <w:rsid w:val="00D76234"/>
    <w:rsid w:val="00D763CF"/>
    <w:rsid w:val="00D76840"/>
    <w:rsid w:val="00D77728"/>
    <w:rsid w:val="00D77C88"/>
    <w:rsid w:val="00D80333"/>
    <w:rsid w:val="00D80697"/>
    <w:rsid w:val="00D8117A"/>
    <w:rsid w:val="00D8136C"/>
    <w:rsid w:val="00D813B1"/>
    <w:rsid w:val="00D82B8C"/>
    <w:rsid w:val="00D83157"/>
    <w:rsid w:val="00D832E5"/>
    <w:rsid w:val="00D83543"/>
    <w:rsid w:val="00D83B04"/>
    <w:rsid w:val="00D85852"/>
    <w:rsid w:val="00D861A1"/>
    <w:rsid w:val="00D8629C"/>
    <w:rsid w:val="00D8667D"/>
    <w:rsid w:val="00D8684A"/>
    <w:rsid w:val="00D87220"/>
    <w:rsid w:val="00D90B29"/>
    <w:rsid w:val="00D911F5"/>
    <w:rsid w:val="00D91ACE"/>
    <w:rsid w:val="00D91ED6"/>
    <w:rsid w:val="00D92702"/>
    <w:rsid w:val="00D92E29"/>
    <w:rsid w:val="00D937B6"/>
    <w:rsid w:val="00D93F0C"/>
    <w:rsid w:val="00D940B1"/>
    <w:rsid w:val="00D94255"/>
    <w:rsid w:val="00D95353"/>
    <w:rsid w:val="00D972DE"/>
    <w:rsid w:val="00DA01FE"/>
    <w:rsid w:val="00DA0454"/>
    <w:rsid w:val="00DA09FB"/>
    <w:rsid w:val="00DA1CE3"/>
    <w:rsid w:val="00DA1E78"/>
    <w:rsid w:val="00DA1E79"/>
    <w:rsid w:val="00DA27AC"/>
    <w:rsid w:val="00DA28B7"/>
    <w:rsid w:val="00DA29E2"/>
    <w:rsid w:val="00DA2C05"/>
    <w:rsid w:val="00DA312C"/>
    <w:rsid w:val="00DA49D0"/>
    <w:rsid w:val="00DA4B60"/>
    <w:rsid w:val="00DA5821"/>
    <w:rsid w:val="00DA5A2C"/>
    <w:rsid w:val="00DA5D97"/>
    <w:rsid w:val="00DA612B"/>
    <w:rsid w:val="00DA7105"/>
    <w:rsid w:val="00DB0172"/>
    <w:rsid w:val="00DB06C4"/>
    <w:rsid w:val="00DB075F"/>
    <w:rsid w:val="00DB09BB"/>
    <w:rsid w:val="00DB0C04"/>
    <w:rsid w:val="00DB17EF"/>
    <w:rsid w:val="00DB1AD5"/>
    <w:rsid w:val="00DB25E1"/>
    <w:rsid w:val="00DB2943"/>
    <w:rsid w:val="00DB312C"/>
    <w:rsid w:val="00DB3AF2"/>
    <w:rsid w:val="00DB558D"/>
    <w:rsid w:val="00DB5C87"/>
    <w:rsid w:val="00DB5F73"/>
    <w:rsid w:val="00DB6154"/>
    <w:rsid w:val="00DB6678"/>
    <w:rsid w:val="00DB6EDF"/>
    <w:rsid w:val="00DB6F16"/>
    <w:rsid w:val="00DB79C3"/>
    <w:rsid w:val="00DB7EAB"/>
    <w:rsid w:val="00DC042E"/>
    <w:rsid w:val="00DC04B0"/>
    <w:rsid w:val="00DC14C4"/>
    <w:rsid w:val="00DC1568"/>
    <w:rsid w:val="00DC31A8"/>
    <w:rsid w:val="00DC34A6"/>
    <w:rsid w:val="00DC358A"/>
    <w:rsid w:val="00DC3598"/>
    <w:rsid w:val="00DC38B6"/>
    <w:rsid w:val="00DC395D"/>
    <w:rsid w:val="00DC4A85"/>
    <w:rsid w:val="00DC62A0"/>
    <w:rsid w:val="00DC68A8"/>
    <w:rsid w:val="00DC6A7B"/>
    <w:rsid w:val="00DC6C8A"/>
    <w:rsid w:val="00DC6E73"/>
    <w:rsid w:val="00DD12A9"/>
    <w:rsid w:val="00DD1BB1"/>
    <w:rsid w:val="00DD2235"/>
    <w:rsid w:val="00DD32C0"/>
    <w:rsid w:val="00DD4C20"/>
    <w:rsid w:val="00DD4E90"/>
    <w:rsid w:val="00DD5CF6"/>
    <w:rsid w:val="00DD6DF2"/>
    <w:rsid w:val="00DD756A"/>
    <w:rsid w:val="00DE00D7"/>
    <w:rsid w:val="00DE017D"/>
    <w:rsid w:val="00DE0BA7"/>
    <w:rsid w:val="00DE0DB9"/>
    <w:rsid w:val="00DE1F58"/>
    <w:rsid w:val="00DE2217"/>
    <w:rsid w:val="00DE2A31"/>
    <w:rsid w:val="00DE30F1"/>
    <w:rsid w:val="00DE39CE"/>
    <w:rsid w:val="00DE3C08"/>
    <w:rsid w:val="00DE3E44"/>
    <w:rsid w:val="00DE439E"/>
    <w:rsid w:val="00DE43FF"/>
    <w:rsid w:val="00DE47B2"/>
    <w:rsid w:val="00DE47BD"/>
    <w:rsid w:val="00DE4E18"/>
    <w:rsid w:val="00DE5158"/>
    <w:rsid w:val="00DE5AB7"/>
    <w:rsid w:val="00DE6307"/>
    <w:rsid w:val="00DE73A3"/>
    <w:rsid w:val="00DE77AC"/>
    <w:rsid w:val="00DF0990"/>
    <w:rsid w:val="00DF0F59"/>
    <w:rsid w:val="00DF1ECB"/>
    <w:rsid w:val="00DF402F"/>
    <w:rsid w:val="00E00BDF"/>
    <w:rsid w:val="00E011D6"/>
    <w:rsid w:val="00E01C75"/>
    <w:rsid w:val="00E01E52"/>
    <w:rsid w:val="00E04C38"/>
    <w:rsid w:val="00E05337"/>
    <w:rsid w:val="00E059A3"/>
    <w:rsid w:val="00E05C7B"/>
    <w:rsid w:val="00E0635B"/>
    <w:rsid w:val="00E07086"/>
    <w:rsid w:val="00E0749E"/>
    <w:rsid w:val="00E07B86"/>
    <w:rsid w:val="00E10BEC"/>
    <w:rsid w:val="00E10C28"/>
    <w:rsid w:val="00E11417"/>
    <w:rsid w:val="00E116AB"/>
    <w:rsid w:val="00E117EC"/>
    <w:rsid w:val="00E11B91"/>
    <w:rsid w:val="00E11BF2"/>
    <w:rsid w:val="00E11F23"/>
    <w:rsid w:val="00E13115"/>
    <w:rsid w:val="00E13EDD"/>
    <w:rsid w:val="00E1403B"/>
    <w:rsid w:val="00E1451C"/>
    <w:rsid w:val="00E14793"/>
    <w:rsid w:val="00E14C45"/>
    <w:rsid w:val="00E1512C"/>
    <w:rsid w:val="00E16499"/>
    <w:rsid w:val="00E17A2B"/>
    <w:rsid w:val="00E17BCD"/>
    <w:rsid w:val="00E17EAF"/>
    <w:rsid w:val="00E2049B"/>
    <w:rsid w:val="00E21482"/>
    <w:rsid w:val="00E21E4A"/>
    <w:rsid w:val="00E220EB"/>
    <w:rsid w:val="00E23359"/>
    <w:rsid w:val="00E23BE5"/>
    <w:rsid w:val="00E24296"/>
    <w:rsid w:val="00E242F9"/>
    <w:rsid w:val="00E253E3"/>
    <w:rsid w:val="00E25610"/>
    <w:rsid w:val="00E25C49"/>
    <w:rsid w:val="00E2628B"/>
    <w:rsid w:val="00E26403"/>
    <w:rsid w:val="00E27732"/>
    <w:rsid w:val="00E27D99"/>
    <w:rsid w:val="00E311DF"/>
    <w:rsid w:val="00E32770"/>
    <w:rsid w:val="00E33EE5"/>
    <w:rsid w:val="00E3492C"/>
    <w:rsid w:val="00E35897"/>
    <w:rsid w:val="00E35C08"/>
    <w:rsid w:val="00E36760"/>
    <w:rsid w:val="00E37EC1"/>
    <w:rsid w:val="00E40428"/>
    <w:rsid w:val="00E40530"/>
    <w:rsid w:val="00E4098A"/>
    <w:rsid w:val="00E40AD3"/>
    <w:rsid w:val="00E40C72"/>
    <w:rsid w:val="00E40C73"/>
    <w:rsid w:val="00E41286"/>
    <w:rsid w:val="00E41631"/>
    <w:rsid w:val="00E427D0"/>
    <w:rsid w:val="00E42ECB"/>
    <w:rsid w:val="00E4368E"/>
    <w:rsid w:val="00E44414"/>
    <w:rsid w:val="00E44B42"/>
    <w:rsid w:val="00E45003"/>
    <w:rsid w:val="00E456CD"/>
    <w:rsid w:val="00E4578B"/>
    <w:rsid w:val="00E45EE4"/>
    <w:rsid w:val="00E46BD7"/>
    <w:rsid w:val="00E4768F"/>
    <w:rsid w:val="00E47DD7"/>
    <w:rsid w:val="00E500BC"/>
    <w:rsid w:val="00E50129"/>
    <w:rsid w:val="00E504F9"/>
    <w:rsid w:val="00E50894"/>
    <w:rsid w:val="00E51591"/>
    <w:rsid w:val="00E51616"/>
    <w:rsid w:val="00E516BA"/>
    <w:rsid w:val="00E51705"/>
    <w:rsid w:val="00E51CA0"/>
    <w:rsid w:val="00E54549"/>
    <w:rsid w:val="00E54E14"/>
    <w:rsid w:val="00E55497"/>
    <w:rsid w:val="00E5549A"/>
    <w:rsid w:val="00E56031"/>
    <w:rsid w:val="00E56036"/>
    <w:rsid w:val="00E56318"/>
    <w:rsid w:val="00E5638A"/>
    <w:rsid w:val="00E566A9"/>
    <w:rsid w:val="00E568D8"/>
    <w:rsid w:val="00E60283"/>
    <w:rsid w:val="00E609CF"/>
    <w:rsid w:val="00E60E95"/>
    <w:rsid w:val="00E615D9"/>
    <w:rsid w:val="00E61F55"/>
    <w:rsid w:val="00E62A91"/>
    <w:rsid w:val="00E632D0"/>
    <w:rsid w:val="00E635DF"/>
    <w:rsid w:val="00E638FF"/>
    <w:rsid w:val="00E65F21"/>
    <w:rsid w:val="00E662A2"/>
    <w:rsid w:val="00E6642A"/>
    <w:rsid w:val="00E66605"/>
    <w:rsid w:val="00E67E58"/>
    <w:rsid w:val="00E7024D"/>
    <w:rsid w:val="00E715C5"/>
    <w:rsid w:val="00E71806"/>
    <w:rsid w:val="00E71882"/>
    <w:rsid w:val="00E736D7"/>
    <w:rsid w:val="00E73D53"/>
    <w:rsid w:val="00E7401A"/>
    <w:rsid w:val="00E75409"/>
    <w:rsid w:val="00E7550C"/>
    <w:rsid w:val="00E75B1D"/>
    <w:rsid w:val="00E75D85"/>
    <w:rsid w:val="00E761EB"/>
    <w:rsid w:val="00E762E9"/>
    <w:rsid w:val="00E765C4"/>
    <w:rsid w:val="00E767B2"/>
    <w:rsid w:val="00E7688D"/>
    <w:rsid w:val="00E77180"/>
    <w:rsid w:val="00E77627"/>
    <w:rsid w:val="00E80B05"/>
    <w:rsid w:val="00E81083"/>
    <w:rsid w:val="00E817CF"/>
    <w:rsid w:val="00E822B8"/>
    <w:rsid w:val="00E82CC1"/>
    <w:rsid w:val="00E83A79"/>
    <w:rsid w:val="00E83D5D"/>
    <w:rsid w:val="00E843AD"/>
    <w:rsid w:val="00E844B0"/>
    <w:rsid w:val="00E85016"/>
    <w:rsid w:val="00E85069"/>
    <w:rsid w:val="00E859A6"/>
    <w:rsid w:val="00E85CD5"/>
    <w:rsid w:val="00E869AD"/>
    <w:rsid w:val="00E878A0"/>
    <w:rsid w:val="00E904CA"/>
    <w:rsid w:val="00E906D0"/>
    <w:rsid w:val="00E919A5"/>
    <w:rsid w:val="00E92091"/>
    <w:rsid w:val="00E922AB"/>
    <w:rsid w:val="00E9246E"/>
    <w:rsid w:val="00E92CCF"/>
    <w:rsid w:val="00E92F02"/>
    <w:rsid w:val="00E94863"/>
    <w:rsid w:val="00E95157"/>
    <w:rsid w:val="00E95AB5"/>
    <w:rsid w:val="00E971B9"/>
    <w:rsid w:val="00EA03D3"/>
    <w:rsid w:val="00EA03DD"/>
    <w:rsid w:val="00EA19C5"/>
    <w:rsid w:val="00EA1A3F"/>
    <w:rsid w:val="00EA3623"/>
    <w:rsid w:val="00EA3AF1"/>
    <w:rsid w:val="00EA43E8"/>
    <w:rsid w:val="00EA43F0"/>
    <w:rsid w:val="00EA441D"/>
    <w:rsid w:val="00EA4A29"/>
    <w:rsid w:val="00EA545A"/>
    <w:rsid w:val="00EA599A"/>
    <w:rsid w:val="00EA702D"/>
    <w:rsid w:val="00EA7205"/>
    <w:rsid w:val="00EB0074"/>
    <w:rsid w:val="00EB17F8"/>
    <w:rsid w:val="00EB1CBC"/>
    <w:rsid w:val="00EB22B9"/>
    <w:rsid w:val="00EB29A0"/>
    <w:rsid w:val="00EB30F3"/>
    <w:rsid w:val="00EB3CA5"/>
    <w:rsid w:val="00EB5976"/>
    <w:rsid w:val="00EB59DB"/>
    <w:rsid w:val="00EB5FC6"/>
    <w:rsid w:val="00EB693F"/>
    <w:rsid w:val="00EB6F96"/>
    <w:rsid w:val="00EB78CF"/>
    <w:rsid w:val="00EC0DE9"/>
    <w:rsid w:val="00EC21B2"/>
    <w:rsid w:val="00EC2568"/>
    <w:rsid w:val="00EC2A82"/>
    <w:rsid w:val="00EC319F"/>
    <w:rsid w:val="00EC326A"/>
    <w:rsid w:val="00EC48D0"/>
    <w:rsid w:val="00EC4C8A"/>
    <w:rsid w:val="00EC571B"/>
    <w:rsid w:val="00EC599C"/>
    <w:rsid w:val="00EC60B3"/>
    <w:rsid w:val="00EC60D4"/>
    <w:rsid w:val="00EC64FC"/>
    <w:rsid w:val="00ED0C02"/>
    <w:rsid w:val="00ED0D69"/>
    <w:rsid w:val="00ED15D8"/>
    <w:rsid w:val="00ED1FA8"/>
    <w:rsid w:val="00ED238F"/>
    <w:rsid w:val="00ED2861"/>
    <w:rsid w:val="00ED2FE3"/>
    <w:rsid w:val="00ED39F1"/>
    <w:rsid w:val="00ED447C"/>
    <w:rsid w:val="00ED46F4"/>
    <w:rsid w:val="00EE07CD"/>
    <w:rsid w:val="00EE16F2"/>
    <w:rsid w:val="00EE19D2"/>
    <w:rsid w:val="00EE1CED"/>
    <w:rsid w:val="00EE2B46"/>
    <w:rsid w:val="00EE2E74"/>
    <w:rsid w:val="00EE30CA"/>
    <w:rsid w:val="00EE326B"/>
    <w:rsid w:val="00EE331D"/>
    <w:rsid w:val="00EE3332"/>
    <w:rsid w:val="00EE3CCE"/>
    <w:rsid w:val="00EE3D1D"/>
    <w:rsid w:val="00EE43CA"/>
    <w:rsid w:val="00EE4A9A"/>
    <w:rsid w:val="00EE4E0A"/>
    <w:rsid w:val="00EE5B77"/>
    <w:rsid w:val="00EE5BE9"/>
    <w:rsid w:val="00EE675B"/>
    <w:rsid w:val="00EE6A5A"/>
    <w:rsid w:val="00EE6AC0"/>
    <w:rsid w:val="00EE7D55"/>
    <w:rsid w:val="00EF126C"/>
    <w:rsid w:val="00EF2643"/>
    <w:rsid w:val="00EF27D6"/>
    <w:rsid w:val="00EF300C"/>
    <w:rsid w:val="00EF4510"/>
    <w:rsid w:val="00EF4771"/>
    <w:rsid w:val="00EF49B0"/>
    <w:rsid w:val="00EF5A58"/>
    <w:rsid w:val="00EF5FDF"/>
    <w:rsid w:val="00EF60E9"/>
    <w:rsid w:val="00EF6CC1"/>
    <w:rsid w:val="00EF757E"/>
    <w:rsid w:val="00EF7A6F"/>
    <w:rsid w:val="00EF7BCB"/>
    <w:rsid w:val="00F0017B"/>
    <w:rsid w:val="00F0034B"/>
    <w:rsid w:val="00F013FB"/>
    <w:rsid w:val="00F02E62"/>
    <w:rsid w:val="00F0307F"/>
    <w:rsid w:val="00F0340A"/>
    <w:rsid w:val="00F04A9C"/>
    <w:rsid w:val="00F04B62"/>
    <w:rsid w:val="00F04B9E"/>
    <w:rsid w:val="00F04D4C"/>
    <w:rsid w:val="00F05259"/>
    <w:rsid w:val="00F06FDC"/>
    <w:rsid w:val="00F0751C"/>
    <w:rsid w:val="00F10C7B"/>
    <w:rsid w:val="00F1152C"/>
    <w:rsid w:val="00F118A5"/>
    <w:rsid w:val="00F1202D"/>
    <w:rsid w:val="00F13620"/>
    <w:rsid w:val="00F139D1"/>
    <w:rsid w:val="00F140E1"/>
    <w:rsid w:val="00F15265"/>
    <w:rsid w:val="00F1613B"/>
    <w:rsid w:val="00F16187"/>
    <w:rsid w:val="00F161D1"/>
    <w:rsid w:val="00F162AA"/>
    <w:rsid w:val="00F16A29"/>
    <w:rsid w:val="00F16CB2"/>
    <w:rsid w:val="00F17B70"/>
    <w:rsid w:val="00F17DD3"/>
    <w:rsid w:val="00F203FC"/>
    <w:rsid w:val="00F209B6"/>
    <w:rsid w:val="00F20FE2"/>
    <w:rsid w:val="00F21685"/>
    <w:rsid w:val="00F21686"/>
    <w:rsid w:val="00F216CF"/>
    <w:rsid w:val="00F2199C"/>
    <w:rsid w:val="00F2247E"/>
    <w:rsid w:val="00F225B1"/>
    <w:rsid w:val="00F23102"/>
    <w:rsid w:val="00F2370D"/>
    <w:rsid w:val="00F23DE3"/>
    <w:rsid w:val="00F24C76"/>
    <w:rsid w:val="00F24DE7"/>
    <w:rsid w:val="00F25B16"/>
    <w:rsid w:val="00F27810"/>
    <w:rsid w:val="00F30669"/>
    <w:rsid w:val="00F31998"/>
    <w:rsid w:val="00F335F0"/>
    <w:rsid w:val="00F346DF"/>
    <w:rsid w:val="00F34834"/>
    <w:rsid w:val="00F357B7"/>
    <w:rsid w:val="00F35EC7"/>
    <w:rsid w:val="00F366E9"/>
    <w:rsid w:val="00F36C25"/>
    <w:rsid w:val="00F37171"/>
    <w:rsid w:val="00F37531"/>
    <w:rsid w:val="00F40903"/>
    <w:rsid w:val="00F4199F"/>
    <w:rsid w:val="00F41D6F"/>
    <w:rsid w:val="00F41F22"/>
    <w:rsid w:val="00F42251"/>
    <w:rsid w:val="00F42DC6"/>
    <w:rsid w:val="00F430C9"/>
    <w:rsid w:val="00F436EB"/>
    <w:rsid w:val="00F44A42"/>
    <w:rsid w:val="00F45584"/>
    <w:rsid w:val="00F45C82"/>
    <w:rsid w:val="00F4608D"/>
    <w:rsid w:val="00F50101"/>
    <w:rsid w:val="00F50102"/>
    <w:rsid w:val="00F501BF"/>
    <w:rsid w:val="00F5031A"/>
    <w:rsid w:val="00F5071C"/>
    <w:rsid w:val="00F50794"/>
    <w:rsid w:val="00F50B85"/>
    <w:rsid w:val="00F5119F"/>
    <w:rsid w:val="00F5157F"/>
    <w:rsid w:val="00F521E5"/>
    <w:rsid w:val="00F526D8"/>
    <w:rsid w:val="00F528E1"/>
    <w:rsid w:val="00F52B27"/>
    <w:rsid w:val="00F54BEB"/>
    <w:rsid w:val="00F55416"/>
    <w:rsid w:val="00F56463"/>
    <w:rsid w:val="00F56BBC"/>
    <w:rsid w:val="00F57B15"/>
    <w:rsid w:val="00F60359"/>
    <w:rsid w:val="00F608BC"/>
    <w:rsid w:val="00F60ADD"/>
    <w:rsid w:val="00F61B1C"/>
    <w:rsid w:val="00F6202E"/>
    <w:rsid w:val="00F6362D"/>
    <w:rsid w:val="00F638D4"/>
    <w:rsid w:val="00F63A6E"/>
    <w:rsid w:val="00F64A3D"/>
    <w:rsid w:val="00F64D8F"/>
    <w:rsid w:val="00F652D8"/>
    <w:rsid w:val="00F65ED4"/>
    <w:rsid w:val="00F66493"/>
    <w:rsid w:val="00F668A2"/>
    <w:rsid w:val="00F66BB0"/>
    <w:rsid w:val="00F67007"/>
    <w:rsid w:val="00F70048"/>
    <w:rsid w:val="00F704A4"/>
    <w:rsid w:val="00F706AE"/>
    <w:rsid w:val="00F70A37"/>
    <w:rsid w:val="00F7180E"/>
    <w:rsid w:val="00F7227D"/>
    <w:rsid w:val="00F72624"/>
    <w:rsid w:val="00F72B2D"/>
    <w:rsid w:val="00F72E42"/>
    <w:rsid w:val="00F737DB"/>
    <w:rsid w:val="00F7466C"/>
    <w:rsid w:val="00F751A1"/>
    <w:rsid w:val="00F7528D"/>
    <w:rsid w:val="00F7665C"/>
    <w:rsid w:val="00F777F2"/>
    <w:rsid w:val="00F806FA"/>
    <w:rsid w:val="00F80A66"/>
    <w:rsid w:val="00F80BD6"/>
    <w:rsid w:val="00F817F7"/>
    <w:rsid w:val="00F81F67"/>
    <w:rsid w:val="00F82227"/>
    <w:rsid w:val="00F823C6"/>
    <w:rsid w:val="00F82630"/>
    <w:rsid w:val="00F826BB"/>
    <w:rsid w:val="00F83128"/>
    <w:rsid w:val="00F83143"/>
    <w:rsid w:val="00F831CB"/>
    <w:rsid w:val="00F83E44"/>
    <w:rsid w:val="00F84013"/>
    <w:rsid w:val="00F840ED"/>
    <w:rsid w:val="00F84C9E"/>
    <w:rsid w:val="00F8589C"/>
    <w:rsid w:val="00F85D40"/>
    <w:rsid w:val="00F8620D"/>
    <w:rsid w:val="00F87251"/>
    <w:rsid w:val="00F878A4"/>
    <w:rsid w:val="00F87925"/>
    <w:rsid w:val="00F87B4E"/>
    <w:rsid w:val="00F87C10"/>
    <w:rsid w:val="00F904C2"/>
    <w:rsid w:val="00F91925"/>
    <w:rsid w:val="00F92405"/>
    <w:rsid w:val="00F92EF8"/>
    <w:rsid w:val="00F93247"/>
    <w:rsid w:val="00F9369A"/>
    <w:rsid w:val="00F944F1"/>
    <w:rsid w:val="00F94F70"/>
    <w:rsid w:val="00F952B1"/>
    <w:rsid w:val="00F954CD"/>
    <w:rsid w:val="00F96683"/>
    <w:rsid w:val="00F96AF8"/>
    <w:rsid w:val="00F971AF"/>
    <w:rsid w:val="00F97DF7"/>
    <w:rsid w:val="00FA0065"/>
    <w:rsid w:val="00FA0A18"/>
    <w:rsid w:val="00FA0FB5"/>
    <w:rsid w:val="00FA23A6"/>
    <w:rsid w:val="00FA2A08"/>
    <w:rsid w:val="00FA3272"/>
    <w:rsid w:val="00FA3581"/>
    <w:rsid w:val="00FA3622"/>
    <w:rsid w:val="00FA3C24"/>
    <w:rsid w:val="00FA44BB"/>
    <w:rsid w:val="00FA4664"/>
    <w:rsid w:val="00FA53FE"/>
    <w:rsid w:val="00FA5FE2"/>
    <w:rsid w:val="00FA6B06"/>
    <w:rsid w:val="00FA717B"/>
    <w:rsid w:val="00FA7AD1"/>
    <w:rsid w:val="00FA7F01"/>
    <w:rsid w:val="00FB07F4"/>
    <w:rsid w:val="00FB0A6A"/>
    <w:rsid w:val="00FB0AF9"/>
    <w:rsid w:val="00FB0C5F"/>
    <w:rsid w:val="00FB15A3"/>
    <w:rsid w:val="00FB3499"/>
    <w:rsid w:val="00FB362C"/>
    <w:rsid w:val="00FB4E10"/>
    <w:rsid w:val="00FB5211"/>
    <w:rsid w:val="00FB522A"/>
    <w:rsid w:val="00FB6FF3"/>
    <w:rsid w:val="00FB779F"/>
    <w:rsid w:val="00FB7FE4"/>
    <w:rsid w:val="00FC0CD7"/>
    <w:rsid w:val="00FC0D5A"/>
    <w:rsid w:val="00FC13EE"/>
    <w:rsid w:val="00FC34D7"/>
    <w:rsid w:val="00FC3A08"/>
    <w:rsid w:val="00FC3D04"/>
    <w:rsid w:val="00FC452B"/>
    <w:rsid w:val="00FC4616"/>
    <w:rsid w:val="00FC4D38"/>
    <w:rsid w:val="00FC4DA5"/>
    <w:rsid w:val="00FC536B"/>
    <w:rsid w:val="00FC55FC"/>
    <w:rsid w:val="00FC5C86"/>
    <w:rsid w:val="00FC63F4"/>
    <w:rsid w:val="00FC6EEE"/>
    <w:rsid w:val="00FC7684"/>
    <w:rsid w:val="00FC7E14"/>
    <w:rsid w:val="00FD0317"/>
    <w:rsid w:val="00FD0D72"/>
    <w:rsid w:val="00FD1AAA"/>
    <w:rsid w:val="00FD1FD3"/>
    <w:rsid w:val="00FD21F8"/>
    <w:rsid w:val="00FD343E"/>
    <w:rsid w:val="00FD4457"/>
    <w:rsid w:val="00FD4B76"/>
    <w:rsid w:val="00FD515A"/>
    <w:rsid w:val="00FD5803"/>
    <w:rsid w:val="00FD5CAC"/>
    <w:rsid w:val="00FD5E01"/>
    <w:rsid w:val="00FD5EEF"/>
    <w:rsid w:val="00FD6E27"/>
    <w:rsid w:val="00FD7009"/>
    <w:rsid w:val="00FD738B"/>
    <w:rsid w:val="00FD7FAE"/>
    <w:rsid w:val="00FE0237"/>
    <w:rsid w:val="00FE0FD8"/>
    <w:rsid w:val="00FE193D"/>
    <w:rsid w:val="00FE1F84"/>
    <w:rsid w:val="00FE27DD"/>
    <w:rsid w:val="00FE2F21"/>
    <w:rsid w:val="00FE3849"/>
    <w:rsid w:val="00FE3B3A"/>
    <w:rsid w:val="00FE3E0E"/>
    <w:rsid w:val="00FE3FFE"/>
    <w:rsid w:val="00FE4A3F"/>
    <w:rsid w:val="00FE4BC0"/>
    <w:rsid w:val="00FE5741"/>
    <w:rsid w:val="00FE59D5"/>
    <w:rsid w:val="00FE5A60"/>
    <w:rsid w:val="00FE5E5D"/>
    <w:rsid w:val="00FE6219"/>
    <w:rsid w:val="00FE64E8"/>
    <w:rsid w:val="00FE71EC"/>
    <w:rsid w:val="00FE71ED"/>
    <w:rsid w:val="00FE720E"/>
    <w:rsid w:val="00FF008C"/>
    <w:rsid w:val="00FF0413"/>
    <w:rsid w:val="00FF0946"/>
    <w:rsid w:val="00FF1196"/>
    <w:rsid w:val="00FF146E"/>
    <w:rsid w:val="00FF15D3"/>
    <w:rsid w:val="00FF1D66"/>
    <w:rsid w:val="00FF1F32"/>
    <w:rsid w:val="00FF2D35"/>
    <w:rsid w:val="00FF2D89"/>
    <w:rsid w:val="00FF2E60"/>
    <w:rsid w:val="00FF2F49"/>
    <w:rsid w:val="00FF31DB"/>
    <w:rsid w:val="00FF3947"/>
    <w:rsid w:val="00FF410A"/>
    <w:rsid w:val="00FF4B36"/>
    <w:rsid w:val="00FF5031"/>
    <w:rsid w:val="00FF50EE"/>
    <w:rsid w:val="00FF56DD"/>
    <w:rsid w:val="00FF5D91"/>
    <w:rsid w:val="00FF6D8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07D0C"/>
  <w15:docId w15:val="{085F8D88-63A0-4FD3-9140-16C451D2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AU" w:eastAsia="en-AU"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iPriority="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8" w:unhideWhenUsed="1" w:qFormat="1"/>
    <w:lsdException w:name="List Continue 2" w:semiHidden="1" w:unhideWhenUsed="1"/>
    <w:lsdException w:name="List Continue 3" w:semiHidden="1" w:unhideWhenUsed="1"/>
    <w:lsdException w:name="List Continue 4" w:semiHidden="1" w:unhideWhenUsed="1"/>
    <w:lsdException w:name="Subtitle" w:uiPriority="29"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2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32C0"/>
  </w:style>
  <w:style w:type="paragraph" w:styleId="Heading1">
    <w:name w:val="heading 1"/>
    <w:basedOn w:val="Normal"/>
    <w:next w:val="Normal"/>
    <w:link w:val="Heading1Char"/>
    <w:uiPriority w:val="9"/>
    <w:qFormat/>
    <w:rsid w:val="00484FC0"/>
    <w:pPr>
      <w:keepNext/>
      <w:keepLines/>
      <w:pageBreakBefore/>
      <w:numPr>
        <w:numId w:val="1"/>
      </w:numPr>
      <w:spacing w:after="1120" w:line="216" w:lineRule="auto"/>
      <w:outlineLvl w:val="0"/>
    </w:pPr>
    <w:rPr>
      <w:rFonts w:ascii="Calibri" w:hAnsi="Calibri" w:cs="Calibri"/>
      <w:color w:val="404040"/>
      <w:kern w:val="28"/>
      <w:sz w:val="40"/>
      <w:szCs w:val="22"/>
      <w:lang w:eastAsia="en-US"/>
    </w:rPr>
  </w:style>
  <w:style w:type="paragraph" w:styleId="Heading2">
    <w:name w:val="heading 2"/>
    <w:basedOn w:val="Heading1"/>
    <w:next w:val="Normal"/>
    <w:link w:val="Heading2Char"/>
    <w:uiPriority w:val="9"/>
    <w:qFormat/>
    <w:rsid w:val="00484FC0"/>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9"/>
    <w:qFormat/>
    <w:rsid w:val="00484FC0"/>
    <w:pPr>
      <w:numPr>
        <w:ilvl w:val="2"/>
      </w:numPr>
      <w:spacing w:before="200"/>
      <w:outlineLvl w:val="2"/>
    </w:pPr>
    <w:rPr>
      <w:b/>
      <w:sz w:val="26"/>
    </w:rPr>
  </w:style>
  <w:style w:type="paragraph" w:styleId="Heading4">
    <w:name w:val="heading 4"/>
    <w:basedOn w:val="Heading3"/>
    <w:next w:val="Normal"/>
    <w:link w:val="Heading4Char"/>
    <w:uiPriority w:val="9"/>
    <w:qFormat/>
    <w:rsid w:val="00484FC0"/>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484FC0"/>
    <w:pPr>
      <w:numPr>
        <w:ilvl w:val="4"/>
      </w:numPr>
      <w:outlineLvl w:val="4"/>
    </w:pPr>
    <w:rPr>
      <w:bCs/>
      <w:i/>
      <w:color w:val="404040"/>
    </w:rPr>
  </w:style>
  <w:style w:type="paragraph" w:styleId="Heading6">
    <w:name w:val="heading 6"/>
    <w:basedOn w:val="Heading5"/>
    <w:next w:val="Normal"/>
    <w:link w:val="Heading6Char"/>
    <w:uiPriority w:val="3"/>
    <w:qFormat/>
    <w:rsid w:val="00484FC0"/>
    <w:pPr>
      <w:numPr>
        <w:ilvl w:val="5"/>
      </w:numPr>
      <w:outlineLvl w:val="5"/>
    </w:pPr>
    <w:rPr>
      <w:iCs/>
    </w:rPr>
  </w:style>
  <w:style w:type="paragraph" w:styleId="Heading7">
    <w:name w:val="heading 7"/>
    <w:basedOn w:val="Heading6"/>
    <w:next w:val="Normal"/>
    <w:link w:val="Heading7Char"/>
    <w:uiPriority w:val="3"/>
    <w:qFormat/>
    <w:rsid w:val="00484FC0"/>
    <w:pPr>
      <w:numPr>
        <w:ilvl w:val="6"/>
      </w:numPr>
      <w:outlineLvl w:val="6"/>
    </w:pPr>
    <w:rPr>
      <w:i w:val="0"/>
    </w:rPr>
  </w:style>
  <w:style w:type="paragraph" w:styleId="Heading8">
    <w:name w:val="heading 8"/>
    <w:basedOn w:val="Heading7"/>
    <w:next w:val="Normal"/>
    <w:link w:val="Heading8Char"/>
    <w:uiPriority w:val="3"/>
    <w:qFormat/>
    <w:rsid w:val="00484FC0"/>
    <w:pPr>
      <w:numPr>
        <w:ilvl w:val="7"/>
      </w:numPr>
      <w:outlineLvl w:val="7"/>
    </w:pPr>
    <w:rPr>
      <w:b w:val="0"/>
    </w:rPr>
  </w:style>
  <w:style w:type="paragraph" w:styleId="Heading9">
    <w:name w:val="heading 9"/>
    <w:basedOn w:val="Heading8"/>
    <w:next w:val="Normal"/>
    <w:link w:val="Heading9Char"/>
    <w:uiPriority w:val="3"/>
    <w:qFormat/>
    <w:rsid w:val="00484F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C0"/>
    <w:rPr>
      <w:rFonts w:ascii="Calibri" w:hAnsi="Calibri" w:cs="Calibri"/>
      <w:color w:val="404040"/>
      <w:kern w:val="28"/>
      <w:sz w:val="40"/>
      <w:szCs w:val="22"/>
      <w:lang w:eastAsia="en-US"/>
    </w:rPr>
  </w:style>
  <w:style w:type="character" w:customStyle="1" w:styleId="Heading2Char">
    <w:name w:val="Heading 2 Char"/>
    <w:basedOn w:val="DefaultParagraphFont"/>
    <w:link w:val="Heading2"/>
    <w:uiPriority w:val="9"/>
    <w:rsid w:val="00484FC0"/>
    <w:rPr>
      <w:rFonts w:ascii="Calibri" w:hAnsi="Calibri" w:cs="Calibri"/>
      <w:color w:val="4D4D4D"/>
      <w:kern w:val="28"/>
      <w:sz w:val="30"/>
      <w:szCs w:val="22"/>
      <w:lang w:eastAsia="en-US"/>
    </w:rPr>
  </w:style>
  <w:style w:type="character" w:customStyle="1" w:styleId="Heading3Char">
    <w:name w:val="Heading 3 Char"/>
    <w:basedOn w:val="DefaultParagraphFont"/>
    <w:link w:val="Heading3"/>
    <w:uiPriority w:val="9"/>
    <w:rsid w:val="00484FC0"/>
    <w:rPr>
      <w:rFonts w:ascii="Calibri" w:hAnsi="Calibri" w:cs="Calibri"/>
      <w:b/>
      <w:color w:val="4D4D4D"/>
      <w:kern w:val="28"/>
      <w:sz w:val="26"/>
      <w:szCs w:val="22"/>
      <w:lang w:eastAsia="en-US"/>
    </w:rPr>
  </w:style>
  <w:style w:type="character" w:customStyle="1" w:styleId="Heading4Char">
    <w:name w:val="Heading 4 Char"/>
    <w:basedOn w:val="DefaultParagraphFont"/>
    <w:link w:val="Heading4"/>
    <w:uiPriority w:val="9"/>
    <w:rsid w:val="00484FC0"/>
    <w:rPr>
      <w:rFonts w:ascii="Calibri" w:hAnsi="Calibri" w:cs="Calibri"/>
      <w:b/>
      <w:color w:val="4D4D4D"/>
      <w:kern w:val="28"/>
      <w:sz w:val="22"/>
      <w:szCs w:val="22"/>
      <w:lang w:eastAsia="en-US"/>
    </w:rPr>
  </w:style>
  <w:style w:type="character" w:customStyle="1" w:styleId="Heading5Char">
    <w:name w:val="Heading 5 Char"/>
    <w:basedOn w:val="DefaultParagraphFont"/>
    <w:link w:val="Heading5"/>
    <w:uiPriority w:val="3"/>
    <w:rsid w:val="00484FC0"/>
    <w:rPr>
      <w:rFonts w:ascii="Calibri" w:hAnsi="Calibri" w:cs="Calibri"/>
      <w:b/>
      <w:bCs/>
      <w:i/>
      <w:color w:val="404040"/>
      <w:kern w:val="28"/>
      <w:sz w:val="22"/>
      <w:szCs w:val="22"/>
      <w:lang w:eastAsia="en-US"/>
    </w:rPr>
  </w:style>
  <w:style w:type="character" w:customStyle="1" w:styleId="Heading6Char">
    <w:name w:val="Heading 6 Char"/>
    <w:basedOn w:val="DefaultParagraphFont"/>
    <w:link w:val="Heading6"/>
    <w:uiPriority w:val="3"/>
    <w:rsid w:val="00484FC0"/>
    <w:rPr>
      <w:rFonts w:ascii="Calibri" w:hAnsi="Calibri" w:cs="Calibri"/>
      <w:b/>
      <w:bCs/>
      <w:i/>
      <w:iCs/>
      <w:color w:val="404040"/>
      <w:kern w:val="28"/>
      <w:sz w:val="22"/>
      <w:szCs w:val="22"/>
      <w:lang w:eastAsia="en-US"/>
    </w:rPr>
  </w:style>
  <w:style w:type="character" w:customStyle="1" w:styleId="Heading7Char">
    <w:name w:val="Heading 7 Char"/>
    <w:basedOn w:val="DefaultParagraphFont"/>
    <w:link w:val="Heading7"/>
    <w:uiPriority w:val="3"/>
    <w:rsid w:val="00484FC0"/>
    <w:rPr>
      <w:rFonts w:ascii="Calibri" w:hAnsi="Calibri" w:cs="Calibri"/>
      <w:b/>
      <w:bCs/>
      <w:iCs/>
      <w:color w:val="404040"/>
      <w:kern w:val="28"/>
      <w:sz w:val="22"/>
      <w:szCs w:val="22"/>
      <w:lang w:eastAsia="en-US"/>
    </w:rPr>
  </w:style>
  <w:style w:type="character" w:customStyle="1" w:styleId="Heading8Char">
    <w:name w:val="Heading 8 Char"/>
    <w:basedOn w:val="DefaultParagraphFont"/>
    <w:link w:val="Heading8"/>
    <w:uiPriority w:val="3"/>
    <w:rsid w:val="00484FC0"/>
    <w:rPr>
      <w:rFonts w:ascii="Calibri" w:hAnsi="Calibri" w:cs="Calibri"/>
      <w:bCs/>
      <w:iCs/>
      <w:color w:val="404040"/>
      <w:kern w:val="28"/>
      <w:sz w:val="22"/>
      <w:szCs w:val="22"/>
      <w:lang w:eastAsia="en-US"/>
    </w:rPr>
  </w:style>
  <w:style w:type="character" w:customStyle="1" w:styleId="Heading9Char">
    <w:name w:val="Heading 9 Char"/>
    <w:basedOn w:val="DefaultParagraphFont"/>
    <w:link w:val="Heading9"/>
    <w:uiPriority w:val="3"/>
    <w:rsid w:val="00484FC0"/>
    <w:rPr>
      <w:rFonts w:ascii="Calibri" w:hAnsi="Calibri" w:cs="Calibri"/>
      <w:bCs/>
      <w:iCs/>
      <w:color w:val="404040"/>
      <w:kern w:val="28"/>
      <w:sz w:val="22"/>
      <w:szCs w:val="22"/>
      <w:lang w:eastAsia="en-US"/>
    </w:rPr>
  </w:style>
  <w:style w:type="paragraph" w:customStyle="1" w:styleId="BodyCopyBlack">
    <w:name w:val="Body Copy Black"/>
    <w:basedOn w:val="Normal"/>
    <w:uiPriority w:val="99"/>
    <w:rsid w:val="00B971DE"/>
    <w:pPr>
      <w:widowControl w:val="0"/>
      <w:tabs>
        <w:tab w:val="left" w:pos="283"/>
        <w:tab w:val="left" w:pos="567"/>
      </w:tabs>
      <w:suppressAutoHyphens/>
      <w:autoSpaceDE w:val="0"/>
      <w:autoSpaceDN w:val="0"/>
      <w:adjustRightInd w:val="0"/>
      <w:spacing w:after="113" w:line="270" w:lineRule="atLeast"/>
      <w:textAlignment w:val="center"/>
    </w:pPr>
    <w:rPr>
      <w:rFonts w:ascii="TradeGothic-CondEighteen" w:hAnsi="TradeGothic-CondEighteen" w:cs="TradeGothic-CondEighteen"/>
      <w:color w:val="000000"/>
      <w:sz w:val="21"/>
      <w:szCs w:val="21"/>
      <w:lang w:val="en-GB"/>
    </w:rPr>
  </w:style>
  <w:style w:type="paragraph" w:customStyle="1" w:styleId="HeadingDBlue">
    <w:name w:val="Heading D Blue"/>
    <w:basedOn w:val="BodyCopyBlack"/>
    <w:uiPriority w:val="99"/>
    <w:rsid w:val="00B971DE"/>
    <w:rPr>
      <w:rFonts w:ascii="TradeGothic-BoldCondTwenty" w:hAnsi="TradeGothic-BoldCondTwenty" w:cs="TradeGothic-BoldCondTwenty"/>
      <w:b/>
      <w:bCs/>
      <w:color w:val="66C1CA"/>
    </w:rPr>
  </w:style>
  <w:style w:type="character" w:customStyle="1" w:styleId="BodyCopyItalicBlack">
    <w:name w:val="Body Copy Italic Black"/>
    <w:uiPriority w:val="99"/>
    <w:rsid w:val="00B971DE"/>
    <w:rPr>
      <w:i/>
      <w:iCs/>
    </w:rPr>
  </w:style>
  <w:style w:type="character" w:styleId="Hyperlink">
    <w:name w:val="Hyperlink"/>
    <w:basedOn w:val="DefaultParagraphFont"/>
    <w:uiPriority w:val="99"/>
    <w:unhideWhenUsed/>
    <w:rsid w:val="00B971DE"/>
    <w:rPr>
      <w:color w:val="0000FF" w:themeColor="hyperlink"/>
      <w:u w:val="single"/>
    </w:rPr>
  </w:style>
  <w:style w:type="paragraph" w:styleId="BalloonText">
    <w:name w:val="Balloon Text"/>
    <w:basedOn w:val="Normal"/>
    <w:link w:val="BalloonTextChar"/>
    <w:uiPriority w:val="99"/>
    <w:semiHidden/>
    <w:unhideWhenUsed/>
    <w:rsid w:val="00231E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EFF"/>
    <w:rPr>
      <w:rFonts w:ascii="Lucida Grande" w:hAnsi="Lucida Grande" w:cs="Lucida Grande"/>
      <w:sz w:val="18"/>
      <w:szCs w:val="18"/>
    </w:rPr>
  </w:style>
  <w:style w:type="paragraph" w:styleId="Caption">
    <w:name w:val="caption"/>
    <w:basedOn w:val="Normal"/>
    <w:next w:val="Normal"/>
    <w:link w:val="CaptionChar"/>
    <w:qFormat/>
    <w:rsid w:val="003D31F5"/>
    <w:pPr>
      <w:keepNext/>
      <w:keepLines/>
      <w:tabs>
        <w:tab w:val="left" w:pos="851"/>
      </w:tabs>
      <w:spacing w:before="60" w:after="60" w:line="228" w:lineRule="auto"/>
      <w:ind w:left="794"/>
    </w:pPr>
    <w:rPr>
      <w:rFonts w:ascii="Calibri" w:hAnsi="Calibri" w:cs="Calibri"/>
      <w:b/>
      <w:sz w:val="22"/>
      <w:szCs w:val="22"/>
    </w:rPr>
  </w:style>
  <w:style w:type="character" w:customStyle="1" w:styleId="CaptionChar">
    <w:name w:val="Caption Char"/>
    <w:link w:val="Caption"/>
    <w:rsid w:val="003D31F5"/>
    <w:rPr>
      <w:rFonts w:ascii="Calibri" w:hAnsi="Calibri" w:cs="Calibri"/>
      <w:b/>
      <w:sz w:val="22"/>
      <w:szCs w:val="22"/>
    </w:rPr>
  </w:style>
  <w:style w:type="paragraph" w:styleId="ListNumber">
    <w:name w:val="List Number"/>
    <w:basedOn w:val="Normal"/>
    <w:uiPriority w:val="7"/>
    <w:qFormat/>
    <w:rsid w:val="00484FC0"/>
    <w:pPr>
      <w:numPr>
        <w:numId w:val="2"/>
      </w:numPr>
      <w:spacing w:before="100" w:after="100"/>
      <w:contextualSpacing/>
    </w:pPr>
    <w:rPr>
      <w:rFonts w:ascii="Calibri" w:hAnsi="Calibri" w:cs="Calibri"/>
      <w:sz w:val="22"/>
      <w:szCs w:val="22"/>
    </w:rPr>
  </w:style>
  <w:style w:type="paragraph" w:styleId="Title">
    <w:name w:val="Title"/>
    <w:basedOn w:val="Normal"/>
    <w:link w:val="TitleChar"/>
    <w:uiPriority w:val="10"/>
    <w:qFormat/>
    <w:rsid w:val="00484FC0"/>
    <w:pPr>
      <w:spacing w:after="100" w:line="560" w:lineRule="exact"/>
      <w:ind w:right="3402"/>
    </w:pPr>
    <w:rPr>
      <w:rFonts w:ascii="Calibri" w:hAnsi="Calibri" w:cs="Calibri"/>
      <w:b/>
      <w:color w:val="000000"/>
      <w:sz w:val="60"/>
      <w:szCs w:val="22"/>
    </w:rPr>
  </w:style>
  <w:style w:type="character" w:customStyle="1" w:styleId="TitleChar">
    <w:name w:val="Title Char"/>
    <w:basedOn w:val="DefaultParagraphFont"/>
    <w:link w:val="Title"/>
    <w:uiPriority w:val="10"/>
    <w:rsid w:val="00484FC0"/>
    <w:rPr>
      <w:rFonts w:ascii="Calibri" w:hAnsi="Calibri" w:cs="Calibri"/>
      <w:b/>
      <w:color w:val="000000"/>
      <w:sz w:val="60"/>
      <w:szCs w:val="22"/>
    </w:rPr>
  </w:style>
  <w:style w:type="paragraph" w:styleId="ListContinue">
    <w:name w:val="List Continue"/>
    <w:basedOn w:val="Normal"/>
    <w:uiPriority w:val="8"/>
    <w:qFormat/>
    <w:rsid w:val="00484FC0"/>
    <w:pPr>
      <w:ind w:left="1077"/>
    </w:pPr>
    <w:rPr>
      <w:rFonts w:ascii="Calibri" w:hAnsi="Calibri" w:cs="Calibri"/>
      <w:sz w:val="22"/>
      <w:szCs w:val="22"/>
    </w:rPr>
  </w:style>
  <w:style w:type="paragraph" w:styleId="Subtitle">
    <w:name w:val="Subtitle"/>
    <w:basedOn w:val="Normal"/>
    <w:link w:val="SubtitleChar"/>
    <w:uiPriority w:val="29"/>
    <w:qFormat/>
    <w:rsid w:val="00484FC0"/>
    <w:pPr>
      <w:spacing w:line="440" w:lineRule="exact"/>
    </w:pPr>
    <w:rPr>
      <w:rFonts w:ascii="Calibri" w:hAnsi="Calibri" w:cs="Calibri"/>
      <w:color w:val="000000"/>
      <w:sz w:val="40"/>
    </w:rPr>
  </w:style>
  <w:style w:type="character" w:customStyle="1" w:styleId="SubtitleChar">
    <w:name w:val="Subtitle Char"/>
    <w:basedOn w:val="DefaultParagraphFont"/>
    <w:link w:val="Subtitle"/>
    <w:uiPriority w:val="29"/>
    <w:rsid w:val="00484FC0"/>
    <w:rPr>
      <w:rFonts w:ascii="Calibri" w:hAnsi="Calibri" w:cs="Calibri"/>
      <w:color w:val="000000"/>
      <w:sz w:val="40"/>
      <w:szCs w:val="24"/>
    </w:rPr>
  </w:style>
  <w:style w:type="character" w:styleId="Strong">
    <w:name w:val="Strong"/>
    <w:uiPriority w:val="22"/>
    <w:qFormat/>
    <w:rsid w:val="00484FC0"/>
    <w:rPr>
      <w:b/>
      <w:bCs/>
    </w:rPr>
  </w:style>
  <w:style w:type="character" w:styleId="Emphasis">
    <w:name w:val="Emphasis"/>
    <w:uiPriority w:val="20"/>
    <w:qFormat/>
    <w:rsid w:val="00484FC0"/>
    <w:rPr>
      <w:i/>
      <w:iCs/>
    </w:rPr>
  </w:style>
  <w:style w:type="paragraph" w:styleId="NoSpacing">
    <w:name w:val="No Spacing"/>
    <w:rsid w:val="00484FC0"/>
    <w:pPr>
      <w:widowControl w:val="0"/>
    </w:pPr>
    <w:rPr>
      <w:color w:val="000000"/>
      <w:spacing w:val="-5"/>
      <w:lang w:eastAsia="en-US"/>
    </w:rPr>
  </w:style>
  <w:style w:type="paragraph" w:styleId="ListParagraph">
    <w:name w:val="List Paragraph"/>
    <w:aliases w:val="Bullet points"/>
    <w:basedOn w:val="Normal"/>
    <w:link w:val="ListParagraphChar"/>
    <w:uiPriority w:val="34"/>
    <w:qFormat/>
    <w:rsid w:val="00484FC0"/>
    <w:pPr>
      <w:spacing w:before="100" w:after="100"/>
      <w:ind w:left="720"/>
      <w:contextualSpacing/>
    </w:pPr>
    <w:rPr>
      <w:rFonts w:ascii="Calibri" w:hAnsi="Calibri" w:cs="Calibri"/>
      <w:sz w:val="22"/>
      <w:szCs w:val="22"/>
    </w:rPr>
  </w:style>
  <w:style w:type="character" w:customStyle="1" w:styleId="ListParagraphChar">
    <w:name w:val="List Paragraph Char"/>
    <w:aliases w:val="Bullet points Char"/>
    <w:basedOn w:val="DefaultParagraphFont"/>
    <w:link w:val="ListParagraph"/>
    <w:uiPriority w:val="34"/>
    <w:rsid w:val="00E07B86"/>
    <w:rPr>
      <w:rFonts w:ascii="Calibri" w:hAnsi="Calibri" w:cs="Calibri"/>
      <w:sz w:val="22"/>
      <w:szCs w:val="22"/>
    </w:rPr>
  </w:style>
  <w:style w:type="character" w:styleId="SubtleEmphasis">
    <w:name w:val="Subtle Emphasis"/>
    <w:uiPriority w:val="19"/>
    <w:qFormat/>
    <w:rsid w:val="00484FC0"/>
    <w:rPr>
      <w:i/>
      <w:iCs/>
      <w:color w:val="808080"/>
    </w:rPr>
  </w:style>
  <w:style w:type="character" w:styleId="IntenseEmphasis">
    <w:name w:val="Intense Emphasis"/>
    <w:uiPriority w:val="21"/>
    <w:qFormat/>
    <w:rsid w:val="00484FC0"/>
    <w:rPr>
      <w:b/>
      <w:bCs/>
      <w:i/>
      <w:iCs/>
      <w:color w:val="4F81BD"/>
    </w:rPr>
  </w:style>
  <w:style w:type="character" w:styleId="SubtleReference">
    <w:name w:val="Subtle Reference"/>
    <w:uiPriority w:val="31"/>
    <w:qFormat/>
    <w:rsid w:val="00484FC0"/>
    <w:rPr>
      <w:smallCaps/>
      <w:color w:val="C0504D"/>
      <w:u w:val="single"/>
    </w:rPr>
  </w:style>
  <w:style w:type="character" w:styleId="IntenseReference">
    <w:name w:val="Intense Reference"/>
    <w:uiPriority w:val="32"/>
    <w:qFormat/>
    <w:rsid w:val="00484FC0"/>
    <w:rPr>
      <w:b/>
      <w:bCs/>
      <w:smallCaps/>
      <w:color w:val="C0504D"/>
      <w:spacing w:val="5"/>
      <w:u w:val="single"/>
    </w:rPr>
  </w:style>
  <w:style w:type="character" w:styleId="BookTitle">
    <w:name w:val="Book Title"/>
    <w:uiPriority w:val="33"/>
    <w:qFormat/>
    <w:rsid w:val="00484FC0"/>
    <w:rPr>
      <w:rFonts w:ascii="Calibri" w:hAnsi="Calibri"/>
      <w:b/>
      <w:bCs/>
      <w:smallCaps/>
      <w:spacing w:val="5"/>
    </w:rPr>
  </w:style>
  <w:style w:type="paragraph" w:styleId="TOCHeading">
    <w:name w:val="TOC Heading"/>
    <w:uiPriority w:val="29"/>
    <w:qFormat/>
    <w:rsid w:val="00C116AB"/>
    <w:pPr>
      <w:keepNext/>
      <w:pageBreakBefore/>
      <w:spacing w:after="1200"/>
    </w:pPr>
    <w:rPr>
      <w:rFonts w:ascii="Calibri" w:hAnsi="Calibri" w:cs="Calibri"/>
      <w:color w:val="4C4C4C"/>
      <w:kern w:val="28"/>
      <w:sz w:val="40"/>
      <w:szCs w:val="22"/>
    </w:rPr>
  </w:style>
  <w:style w:type="paragraph" w:customStyle="1" w:styleId="Bullet1">
    <w:name w:val="Bullet 1"/>
    <w:basedOn w:val="Normal"/>
    <w:uiPriority w:val="11"/>
    <w:qFormat/>
    <w:rsid w:val="00484FC0"/>
    <w:pPr>
      <w:numPr>
        <w:numId w:val="3"/>
      </w:numPr>
      <w:spacing w:before="80" w:after="80"/>
    </w:pPr>
    <w:rPr>
      <w:rFonts w:ascii="Calibri" w:hAnsi="Calibri" w:cs="Calibri"/>
      <w:sz w:val="22"/>
      <w:szCs w:val="22"/>
    </w:rPr>
  </w:style>
  <w:style w:type="paragraph" w:customStyle="1" w:styleId="NormalIndentItalics">
    <w:name w:val="Normal Indent Italics"/>
    <w:basedOn w:val="NormalIndent"/>
    <w:uiPriority w:val="13"/>
    <w:qFormat/>
    <w:rsid w:val="00484FC0"/>
    <w:pPr>
      <w:spacing w:before="100" w:after="100" w:line="240" w:lineRule="exact"/>
      <w:ind w:left="1077" w:right="284"/>
    </w:pPr>
    <w:rPr>
      <w:rFonts w:ascii="Calibri" w:hAnsi="Calibri" w:cs="Calibri"/>
      <w:i/>
      <w:sz w:val="22"/>
      <w:szCs w:val="22"/>
    </w:rPr>
  </w:style>
  <w:style w:type="paragraph" w:styleId="NormalIndent">
    <w:name w:val="Normal Indent"/>
    <w:basedOn w:val="Normal"/>
    <w:uiPriority w:val="99"/>
    <w:semiHidden/>
    <w:unhideWhenUsed/>
    <w:rsid w:val="00484FC0"/>
    <w:pPr>
      <w:ind w:left="720"/>
    </w:pPr>
  </w:style>
  <w:style w:type="paragraph" w:customStyle="1" w:styleId="TableBullet">
    <w:name w:val="Table Bullet"/>
    <w:basedOn w:val="Normal"/>
    <w:uiPriority w:val="10"/>
    <w:qFormat/>
    <w:rsid w:val="00A15393"/>
    <w:pPr>
      <w:numPr>
        <w:numId w:val="4"/>
      </w:numPr>
    </w:pPr>
    <w:rPr>
      <w:rFonts w:ascii="Calibri" w:hAnsi="Calibri" w:cs="Calibri"/>
      <w:sz w:val="20"/>
      <w:szCs w:val="22"/>
    </w:rPr>
  </w:style>
  <w:style w:type="paragraph" w:customStyle="1" w:styleId="Spacer">
    <w:name w:val="Spacer"/>
    <w:basedOn w:val="Normal"/>
    <w:uiPriority w:val="13"/>
    <w:semiHidden/>
    <w:unhideWhenUsed/>
    <w:qFormat/>
    <w:rsid w:val="00484FC0"/>
    <w:pPr>
      <w:spacing w:line="120" w:lineRule="atLeast"/>
    </w:pPr>
    <w:rPr>
      <w:rFonts w:ascii="Calibri" w:hAnsi="Calibri" w:cs="Calibri"/>
      <w:sz w:val="12"/>
      <w:szCs w:val="22"/>
    </w:rPr>
  </w:style>
  <w:style w:type="paragraph" w:customStyle="1" w:styleId="Pictwide">
    <w:name w:val="Pict wide"/>
    <w:basedOn w:val="Normal"/>
    <w:next w:val="Normal"/>
    <w:uiPriority w:val="13"/>
    <w:semiHidden/>
    <w:unhideWhenUsed/>
    <w:qFormat/>
    <w:rsid w:val="00484FC0"/>
    <w:pPr>
      <w:widowControl w:val="0"/>
      <w:spacing w:before="160" w:after="320"/>
      <w:ind w:left="794"/>
    </w:pPr>
    <w:rPr>
      <w:rFonts w:ascii="Calibri" w:hAnsi="Calibri" w:cs="Calibri"/>
      <w:szCs w:val="22"/>
    </w:rPr>
  </w:style>
  <w:style w:type="paragraph" w:customStyle="1" w:styleId="TableText">
    <w:name w:val="Table Text"/>
    <w:basedOn w:val="Normal"/>
    <w:link w:val="TableTextChar"/>
    <w:uiPriority w:val="15"/>
    <w:qFormat/>
    <w:rsid w:val="000B20B5"/>
    <w:pPr>
      <w:spacing w:before="20" w:after="20"/>
    </w:pPr>
    <w:rPr>
      <w:rFonts w:ascii="Calibri" w:eastAsiaTheme="minorHAnsi" w:hAnsi="Calibri" w:cs="Calibri"/>
      <w:sz w:val="20"/>
      <w:szCs w:val="20"/>
      <w:lang w:val="en-US" w:eastAsia="en-US"/>
    </w:rPr>
  </w:style>
  <w:style w:type="character" w:customStyle="1" w:styleId="TableTextChar">
    <w:name w:val="Table Text Char"/>
    <w:basedOn w:val="DefaultParagraphFont"/>
    <w:link w:val="TableText"/>
    <w:uiPriority w:val="15"/>
    <w:rsid w:val="000B20B5"/>
    <w:rPr>
      <w:rFonts w:ascii="Calibri" w:eastAsiaTheme="minorHAnsi" w:hAnsi="Calibri" w:cs="Calibri"/>
      <w:sz w:val="20"/>
      <w:szCs w:val="20"/>
      <w:lang w:val="en-US" w:eastAsia="en-US"/>
    </w:rPr>
  </w:style>
  <w:style w:type="paragraph" w:customStyle="1" w:styleId="TableHeader">
    <w:name w:val="Table Header"/>
    <w:basedOn w:val="TableText"/>
    <w:link w:val="TableHeaderChar"/>
    <w:uiPriority w:val="15"/>
    <w:qFormat/>
    <w:rsid w:val="000B20B5"/>
    <w:pPr>
      <w:keepNext/>
      <w:spacing w:before="40" w:after="40"/>
    </w:pPr>
    <w:rPr>
      <w:sz w:val="24"/>
      <w:szCs w:val="24"/>
    </w:rPr>
  </w:style>
  <w:style w:type="paragraph" w:customStyle="1" w:styleId="Heading1NoNum">
    <w:name w:val="Heading 1 NoNum"/>
    <w:basedOn w:val="Heading1"/>
    <w:next w:val="Normal"/>
    <w:uiPriority w:val="4"/>
    <w:qFormat/>
    <w:rsid w:val="00484FC0"/>
    <w:pPr>
      <w:numPr>
        <w:numId w:val="0"/>
      </w:numPr>
      <w:ind w:left="794"/>
    </w:pPr>
  </w:style>
  <w:style w:type="paragraph" w:customStyle="1" w:styleId="Heading2NoNum">
    <w:name w:val="Heading 2 NoNum"/>
    <w:basedOn w:val="Heading2"/>
    <w:next w:val="Normal"/>
    <w:link w:val="Heading2NoNumChar"/>
    <w:uiPriority w:val="4"/>
    <w:qFormat/>
    <w:rsid w:val="00484FC0"/>
    <w:pPr>
      <w:numPr>
        <w:ilvl w:val="0"/>
        <w:numId w:val="0"/>
      </w:numPr>
      <w:ind w:left="794"/>
    </w:pPr>
  </w:style>
  <w:style w:type="character" w:customStyle="1" w:styleId="Heading2NoNumChar">
    <w:name w:val="Heading 2 NoNum Char"/>
    <w:basedOn w:val="Heading2Char"/>
    <w:link w:val="Heading2NoNum"/>
    <w:uiPriority w:val="4"/>
    <w:rsid w:val="00D6356B"/>
    <w:rPr>
      <w:rFonts w:ascii="Calibri" w:hAnsi="Calibri" w:cs="Calibri"/>
      <w:color w:val="4D4D4D"/>
      <w:kern w:val="28"/>
      <w:sz w:val="30"/>
      <w:szCs w:val="22"/>
      <w:lang w:eastAsia="en-US"/>
    </w:rPr>
  </w:style>
  <w:style w:type="paragraph" w:customStyle="1" w:styleId="Heading3NoNum">
    <w:name w:val="Heading 3 NoNum"/>
    <w:basedOn w:val="Heading3"/>
    <w:next w:val="Normal"/>
    <w:uiPriority w:val="4"/>
    <w:qFormat/>
    <w:rsid w:val="00484FC0"/>
    <w:pPr>
      <w:numPr>
        <w:ilvl w:val="0"/>
        <w:numId w:val="0"/>
      </w:numPr>
      <w:ind w:left="794"/>
    </w:pPr>
  </w:style>
  <w:style w:type="paragraph" w:customStyle="1" w:styleId="Attachment1">
    <w:name w:val="Attachment 1"/>
    <w:next w:val="Normal"/>
    <w:uiPriority w:val="19"/>
    <w:qFormat/>
    <w:rsid w:val="00484FC0"/>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Heading4NoNum">
    <w:name w:val="Heading 4 NoNum"/>
    <w:basedOn w:val="Heading4"/>
    <w:uiPriority w:val="4"/>
    <w:qFormat/>
    <w:rsid w:val="00484FC0"/>
    <w:pPr>
      <w:numPr>
        <w:ilvl w:val="0"/>
        <w:numId w:val="0"/>
      </w:numPr>
      <w:ind w:left="794"/>
    </w:pPr>
  </w:style>
  <w:style w:type="paragraph" w:customStyle="1" w:styleId="Normal1">
    <w:name w:val="Normal1"/>
    <w:basedOn w:val="Normal"/>
    <w:link w:val="NormalChar"/>
    <w:qFormat/>
    <w:rsid w:val="00E41631"/>
    <w:pPr>
      <w:spacing w:before="100" w:after="100"/>
      <w:ind w:left="794"/>
    </w:pPr>
    <w:rPr>
      <w:rFonts w:ascii="Calibri" w:hAnsi="Calibri" w:cs="Calibri"/>
      <w:sz w:val="22"/>
      <w:szCs w:val="22"/>
    </w:rPr>
  </w:style>
  <w:style w:type="character" w:customStyle="1" w:styleId="NormalChar">
    <w:name w:val="Normal Char"/>
    <w:basedOn w:val="DefaultParagraphFont"/>
    <w:link w:val="Normal1"/>
    <w:rsid w:val="00E41631"/>
    <w:rPr>
      <w:rFonts w:ascii="Calibri" w:hAnsi="Calibri" w:cs="Calibri"/>
      <w:sz w:val="22"/>
      <w:szCs w:val="22"/>
    </w:rPr>
  </w:style>
  <w:style w:type="paragraph" w:styleId="Header">
    <w:name w:val="header"/>
    <w:basedOn w:val="Normal"/>
    <w:link w:val="HeaderChar"/>
    <w:uiPriority w:val="99"/>
    <w:unhideWhenUsed/>
    <w:rsid w:val="009F4D80"/>
    <w:pPr>
      <w:tabs>
        <w:tab w:val="center" w:pos="4513"/>
        <w:tab w:val="right" w:pos="9026"/>
      </w:tabs>
    </w:pPr>
  </w:style>
  <w:style w:type="character" w:customStyle="1" w:styleId="HeaderChar">
    <w:name w:val="Header Char"/>
    <w:basedOn w:val="DefaultParagraphFont"/>
    <w:link w:val="Header"/>
    <w:uiPriority w:val="99"/>
    <w:rsid w:val="009F4D80"/>
  </w:style>
  <w:style w:type="paragraph" w:styleId="TableofFigures">
    <w:name w:val="table of figures"/>
    <w:basedOn w:val="Normal"/>
    <w:next w:val="Normal"/>
    <w:uiPriority w:val="99"/>
    <w:unhideWhenUsed/>
    <w:rsid w:val="00F50102"/>
    <w:pPr>
      <w:ind w:left="720"/>
    </w:pPr>
    <w:rPr>
      <w:rFonts w:asciiTheme="majorHAnsi" w:hAnsiTheme="majorHAnsi"/>
      <w:sz w:val="20"/>
    </w:rPr>
  </w:style>
  <w:style w:type="paragraph" w:styleId="TOC1">
    <w:name w:val="toc 1"/>
    <w:basedOn w:val="Normal"/>
    <w:next w:val="Normal"/>
    <w:autoRedefine/>
    <w:uiPriority w:val="39"/>
    <w:unhideWhenUsed/>
    <w:rsid w:val="00F92EF8"/>
    <w:pPr>
      <w:tabs>
        <w:tab w:val="right" w:leader="dot" w:pos="9632"/>
      </w:tabs>
      <w:spacing w:after="100"/>
    </w:pPr>
    <w:rPr>
      <w:rFonts w:asciiTheme="majorHAnsi" w:hAnsiTheme="majorHAnsi"/>
    </w:rPr>
  </w:style>
  <w:style w:type="paragraph" w:styleId="TOC2">
    <w:name w:val="toc 2"/>
    <w:basedOn w:val="Normal"/>
    <w:next w:val="Normal"/>
    <w:autoRedefine/>
    <w:uiPriority w:val="39"/>
    <w:unhideWhenUsed/>
    <w:rsid w:val="00A61178"/>
    <w:pPr>
      <w:spacing w:after="100"/>
      <w:ind w:left="200"/>
    </w:pPr>
    <w:rPr>
      <w:rFonts w:asciiTheme="majorHAnsi" w:hAnsiTheme="majorHAnsi"/>
      <w:sz w:val="20"/>
    </w:rPr>
  </w:style>
  <w:style w:type="paragraph" w:styleId="TOC3">
    <w:name w:val="toc 3"/>
    <w:basedOn w:val="Normal"/>
    <w:next w:val="Normal"/>
    <w:autoRedefine/>
    <w:uiPriority w:val="39"/>
    <w:unhideWhenUsed/>
    <w:rsid w:val="009F4D80"/>
    <w:pPr>
      <w:spacing w:after="100"/>
      <w:ind w:left="400"/>
    </w:pPr>
    <w:rPr>
      <w:rFonts w:asciiTheme="majorHAnsi" w:hAnsiTheme="majorHAnsi"/>
    </w:rPr>
  </w:style>
  <w:style w:type="paragraph" w:styleId="Footer">
    <w:name w:val="footer"/>
    <w:basedOn w:val="Normal"/>
    <w:link w:val="FooterChar"/>
    <w:uiPriority w:val="99"/>
    <w:unhideWhenUsed/>
    <w:rsid w:val="009F4D80"/>
    <w:pPr>
      <w:tabs>
        <w:tab w:val="center" w:pos="4513"/>
        <w:tab w:val="right" w:pos="9026"/>
      </w:tabs>
    </w:pPr>
  </w:style>
  <w:style w:type="character" w:customStyle="1" w:styleId="FooterChar">
    <w:name w:val="Footer Char"/>
    <w:basedOn w:val="DefaultParagraphFont"/>
    <w:link w:val="Footer"/>
    <w:uiPriority w:val="99"/>
    <w:rsid w:val="009F4D80"/>
  </w:style>
  <w:style w:type="character" w:customStyle="1" w:styleId="Italic">
    <w:name w:val="Italic"/>
    <w:uiPriority w:val="99"/>
    <w:rsid w:val="0043686D"/>
    <w:rPr>
      <w:i/>
      <w:iCs/>
    </w:rPr>
  </w:style>
  <w:style w:type="character" w:styleId="CommentReference">
    <w:name w:val="annotation reference"/>
    <w:basedOn w:val="DefaultParagraphFont"/>
    <w:uiPriority w:val="99"/>
    <w:unhideWhenUsed/>
    <w:rsid w:val="005D5A96"/>
    <w:rPr>
      <w:sz w:val="16"/>
      <w:szCs w:val="16"/>
    </w:rPr>
  </w:style>
  <w:style w:type="paragraph" w:styleId="CommentText">
    <w:name w:val="annotation text"/>
    <w:basedOn w:val="Normal"/>
    <w:link w:val="CommentTextChar"/>
    <w:uiPriority w:val="99"/>
    <w:unhideWhenUsed/>
    <w:rsid w:val="005D5A96"/>
  </w:style>
  <w:style w:type="character" w:customStyle="1" w:styleId="CommentTextChar">
    <w:name w:val="Comment Text Char"/>
    <w:basedOn w:val="DefaultParagraphFont"/>
    <w:link w:val="CommentText"/>
    <w:uiPriority w:val="99"/>
    <w:rsid w:val="005D5A96"/>
  </w:style>
  <w:style w:type="paragraph" w:styleId="CommentSubject">
    <w:name w:val="annotation subject"/>
    <w:basedOn w:val="CommentText"/>
    <w:next w:val="CommentText"/>
    <w:link w:val="CommentSubjectChar"/>
    <w:uiPriority w:val="99"/>
    <w:semiHidden/>
    <w:unhideWhenUsed/>
    <w:rsid w:val="005D5A96"/>
    <w:rPr>
      <w:b/>
      <w:bCs/>
    </w:rPr>
  </w:style>
  <w:style w:type="character" w:customStyle="1" w:styleId="CommentSubjectChar">
    <w:name w:val="Comment Subject Char"/>
    <w:basedOn w:val="CommentTextChar"/>
    <w:link w:val="CommentSubject"/>
    <w:uiPriority w:val="99"/>
    <w:semiHidden/>
    <w:rsid w:val="005D5A96"/>
    <w:rPr>
      <w:b/>
      <w:bCs/>
    </w:rPr>
  </w:style>
  <w:style w:type="table" w:styleId="TableGrid">
    <w:name w:val="Table Grid"/>
    <w:basedOn w:val="TableNormal"/>
    <w:uiPriority w:val="39"/>
    <w:rsid w:val="005D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5A96"/>
    <w:pPr>
      <w:spacing w:before="100" w:beforeAutospacing="1" w:after="100" w:afterAutospacing="1"/>
    </w:pPr>
    <w:rPr>
      <w:rFonts w:ascii="Times New Roman" w:hAnsi="Times New Roman"/>
    </w:rPr>
  </w:style>
  <w:style w:type="paragraph" w:customStyle="1" w:styleId="Default">
    <w:name w:val="Default"/>
    <w:rsid w:val="00AD19F6"/>
    <w:pPr>
      <w:autoSpaceDE w:val="0"/>
      <w:autoSpaceDN w:val="0"/>
      <w:adjustRightInd w:val="0"/>
    </w:pPr>
    <w:rPr>
      <w:rFonts w:ascii="Calibri" w:hAnsi="Calibri" w:cs="Calibri"/>
      <w:color w:val="000000"/>
    </w:rPr>
  </w:style>
  <w:style w:type="paragraph" w:styleId="Revision">
    <w:name w:val="Revision"/>
    <w:hidden/>
    <w:uiPriority w:val="99"/>
    <w:semiHidden/>
    <w:rsid w:val="002E16AA"/>
  </w:style>
  <w:style w:type="character" w:customStyle="1" w:styleId="apple-converted-space">
    <w:name w:val="apple-converted-space"/>
    <w:basedOn w:val="DefaultParagraphFont"/>
    <w:rsid w:val="00F57B15"/>
  </w:style>
  <w:style w:type="character" w:customStyle="1" w:styleId="st">
    <w:name w:val="st"/>
    <w:basedOn w:val="DefaultParagraphFont"/>
    <w:rsid w:val="00BC4CDD"/>
  </w:style>
  <w:style w:type="paragraph" w:styleId="FootnoteText">
    <w:name w:val="footnote text"/>
    <w:basedOn w:val="Normal"/>
    <w:link w:val="FootnoteTextChar"/>
    <w:rsid w:val="001869C0"/>
    <w:rPr>
      <w:sz w:val="20"/>
      <w:szCs w:val="20"/>
    </w:rPr>
  </w:style>
  <w:style w:type="character" w:customStyle="1" w:styleId="FootnoteTextChar">
    <w:name w:val="Footnote Text Char"/>
    <w:basedOn w:val="DefaultParagraphFont"/>
    <w:link w:val="FootnoteText"/>
    <w:rsid w:val="001869C0"/>
    <w:rPr>
      <w:sz w:val="20"/>
      <w:szCs w:val="20"/>
    </w:rPr>
  </w:style>
  <w:style w:type="character" w:styleId="FootnoteReference">
    <w:name w:val="footnote reference"/>
    <w:basedOn w:val="DefaultParagraphFont"/>
    <w:rsid w:val="001869C0"/>
    <w:rPr>
      <w:vertAlign w:val="superscript"/>
    </w:rPr>
  </w:style>
  <w:style w:type="paragraph" w:styleId="EndnoteText">
    <w:name w:val="endnote text"/>
    <w:basedOn w:val="Normal"/>
    <w:link w:val="EndnoteTextChar"/>
    <w:rsid w:val="001869C0"/>
    <w:rPr>
      <w:sz w:val="20"/>
      <w:szCs w:val="20"/>
    </w:rPr>
  </w:style>
  <w:style w:type="character" w:customStyle="1" w:styleId="EndnoteTextChar">
    <w:name w:val="Endnote Text Char"/>
    <w:basedOn w:val="DefaultParagraphFont"/>
    <w:link w:val="EndnoteText"/>
    <w:rsid w:val="001869C0"/>
    <w:rPr>
      <w:sz w:val="20"/>
      <w:szCs w:val="20"/>
    </w:rPr>
  </w:style>
  <w:style w:type="character" w:styleId="EndnoteReference">
    <w:name w:val="endnote reference"/>
    <w:basedOn w:val="DefaultParagraphFont"/>
    <w:rsid w:val="001869C0"/>
    <w:rPr>
      <w:vertAlign w:val="superscript"/>
    </w:rPr>
  </w:style>
  <w:style w:type="paragraph" w:customStyle="1" w:styleId="BodyCopy">
    <w:name w:val="Body Copy"/>
    <w:basedOn w:val="Normal"/>
    <w:uiPriority w:val="99"/>
    <w:rsid w:val="00817F5B"/>
    <w:pPr>
      <w:widowControl w:val="0"/>
      <w:tabs>
        <w:tab w:val="left" w:pos="283"/>
        <w:tab w:val="left" w:pos="567"/>
        <w:tab w:val="left" w:pos="850"/>
      </w:tabs>
      <w:suppressAutoHyphens/>
      <w:autoSpaceDE w:val="0"/>
      <w:autoSpaceDN w:val="0"/>
      <w:adjustRightInd w:val="0"/>
      <w:spacing w:after="113" w:line="270" w:lineRule="atLeast"/>
    </w:pPr>
    <w:rPr>
      <w:rFonts w:eastAsiaTheme="minorEastAsia" w:cs="TradeGothic-Light"/>
      <w:color w:val="000000"/>
      <w:spacing w:val="-2"/>
      <w:sz w:val="20"/>
      <w:szCs w:val="20"/>
      <w:lang w:eastAsia="en-US"/>
    </w:rPr>
  </w:style>
  <w:style w:type="character" w:styleId="FollowedHyperlink">
    <w:name w:val="FollowedHyperlink"/>
    <w:basedOn w:val="DefaultParagraphFont"/>
    <w:rsid w:val="009D12F0"/>
    <w:rPr>
      <w:color w:val="800080" w:themeColor="followedHyperlink"/>
      <w:u w:val="single"/>
    </w:rPr>
  </w:style>
  <w:style w:type="character" w:customStyle="1" w:styleId="content">
    <w:name w:val="content"/>
    <w:basedOn w:val="DefaultParagraphFont"/>
    <w:rsid w:val="00E07B86"/>
  </w:style>
  <w:style w:type="paragraph" w:customStyle="1" w:styleId="Bullet2">
    <w:name w:val="Bullet 2"/>
    <w:basedOn w:val="Bullet1"/>
    <w:uiPriority w:val="11"/>
    <w:qFormat/>
    <w:rsid w:val="004C7894"/>
    <w:pPr>
      <w:tabs>
        <w:tab w:val="clear" w:pos="1077"/>
        <w:tab w:val="num" w:pos="274"/>
      </w:tabs>
      <w:ind w:left="274"/>
    </w:pPr>
    <w:rPr>
      <w:sz w:val="24"/>
      <w:szCs w:val="24"/>
    </w:rPr>
  </w:style>
  <w:style w:type="paragraph" w:customStyle="1" w:styleId="Bullet3">
    <w:name w:val="Bullet 3"/>
    <w:basedOn w:val="Bullet2"/>
    <w:uiPriority w:val="11"/>
    <w:qFormat/>
    <w:rsid w:val="00E07B86"/>
    <w:pPr>
      <w:tabs>
        <w:tab w:val="num" w:pos="1644"/>
      </w:tabs>
      <w:ind w:left="1644"/>
    </w:pPr>
  </w:style>
  <w:style w:type="paragraph" w:customStyle="1" w:styleId="DHHSNumberText">
    <w:name w:val="DHHS Number Text"/>
    <w:basedOn w:val="Normal"/>
    <w:uiPriority w:val="99"/>
    <w:rsid w:val="00805F89"/>
    <w:pPr>
      <w:numPr>
        <w:numId w:val="6"/>
      </w:numPr>
      <w:spacing w:after="120" w:line="270" w:lineRule="exact"/>
    </w:pPr>
    <w:rPr>
      <w:rFonts w:ascii="Calibri" w:hAnsi="Calibri"/>
      <w:sz w:val="22"/>
      <w:szCs w:val="20"/>
      <w:lang w:eastAsia="en-US"/>
    </w:rPr>
  </w:style>
  <w:style w:type="paragraph" w:customStyle="1" w:styleId="Subscriptnote">
    <w:name w:val="Subscript note"/>
    <w:basedOn w:val="BodyText3"/>
    <w:link w:val="SubscriptnoteChar"/>
    <w:qFormat/>
    <w:rsid w:val="001D1766"/>
    <w:pPr>
      <w:spacing w:before="40"/>
      <w:ind w:left="720"/>
    </w:pPr>
    <w:rPr>
      <w:sz w:val="20"/>
      <w:szCs w:val="20"/>
    </w:rPr>
  </w:style>
  <w:style w:type="paragraph" w:styleId="BodyText3">
    <w:name w:val="Body Text 3"/>
    <w:basedOn w:val="Normal"/>
    <w:link w:val="BodyText3Char"/>
    <w:rsid w:val="001D1766"/>
    <w:pPr>
      <w:spacing w:after="120"/>
    </w:pPr>
    <w:rPr>
      <w:sz w:val="16"/>
      <w:szCs w:val="16"/>
    </w:rPr>
  </w:style>
  <w:style w:type="character" w:customStyle="1" w:styleId="BodyText3Char">
    <w:name w:val="Body Text 3 Char"/>
    <w:basedOn w:val="DefaultParagraphFont"/>
    <w:link w:val="BodyText3"/>
    <w:rsid w:val="001D1766"/>
    <w:rPr>
      <w:sz w:val="16"/>
      <w:szCs w:val="16"/>
    </w:rPr>
  </w:style>
  <w:style w:type="character" w:customStyle="1" w:styleId="SubscriptnoteChar">
    <w:name w:val="Subscript note Char"/>
    <w:basedOn w:val="Heading2NoNumChar"/>
    <w:link w:val="Subscriptnote"/>
    <w:rsid w:val="001D1766"/>
    <w:rPr>
      <w:rFonts w:ascii="Calibri" w:hAnsi="Calibri" w:cs="Calibri"/>
      <w:color w:val="4D4D4D"/>
      <w:kern w:val="28"/>
      <w:sz w:val="20"/>
      <w:szCs w:val="20"/>
      <w:lang w:eastAsia="en-US"/>
    </w:rPr>
  </w:style>
  <w:style w:type="paragraph" w:customStyle="1" w:styleId="HeadingC">
    <w:name w:val="Heading C"/>
    <w:basedOn w:val="Normal"/>
    <w:uiPriority w:val="99"/>
    <w:rsid w:val="00B233EF"/>
    <w:pPr>
      <w:widowControl w:val="0"/>
      <w:suppressAutoHyphens/>
      <w:autoSpaceDE w:val="0"/>
      <w:autoSpaceDN w:val="0"/>
      <w:adjustRightInd w:val="0"/>
      <w:spacing w:before="113" w:after="170" w:line="280" w:lineRule="atLeast"/>
      <w:ind w:left="794"/>
      <w:textAlignment w:val="center"/>
    </w:pPr>
    <w:rPr>
      <w:rFonts w:ascii="Calibri" w:hAnsi="Calibri" w:cs="VIC-SemiBold"/>
      <w:b/>
      <w:bCs/>
      <w:color w:val="000000"/>
      <w:sz w:val="26"/>
      <w:szCs w:val="26"/>
    </w:rPr>
  </w:style>
  <w:style w:type="character" w:customStyle="1" w:styleId="tgc">
    <w:name w:val="_tgc"/>
    <w:basedOn w:val="DefaultParagraphFont"/>
    <w:rsid w:val="00853907"/>
  </w:style>
  <w:style w:type="paragraph" w:customStyle="1" w:styleId="Sectionintro">
    <w:name w:val="Section intro"/>
    <w:basedOn w:val="Normal1"/>
    <w:link w:val="SectionintroChar"/>
    <w:qFormat/>
    <w:rsid w:val="00853907"/>
    <w:rPr>
      <w:bCs/>
      <w:sz w:val="28"/>
      <w:szCs w:val="28"/>
    </w:rPr>
  </w:style>
  <w:style w:type="character" w:customStyle="1" w:styleId="SectionintroChar">
    <w:name w:val="Section intro Char"/>
    <w:basedOn w:val="NormalChar"/>
    <w:link w:val="Sectionintro"/>
    <w:rsid w:val="00853907"/>
    <w:rPr>
      <w:rFonts w:ascii="Calibri" w:hAnsi="Calibri" w:cs="Calibri"/>
      <w:bCs/>
      <w:sz w:val="28"/>
      <w:szCs w:val="28"/>
    </w:rPr>
  </w:style>
  <w:style w:type="table" w:customStyle="1" w:styleId="PlainTable31">
    <w:name w:val="Plain Table 31"/>
    <w:basedOn w:val="TableNormal"/>
    <w:uiPriority w:val="43"/>
    <w:rsid w:val="009332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1">
    <w:name w:val="Grid Table 31"/>
    <w:basedOn w:val="TableNormal"/>
    <w:uiPriority w:val="48"/>
    <w:rsid w:val="009332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5Dark-Accent41">
    <w:name w:val="Grid Table 5 Dark - Accent 41"/>
    <w:basedOn w:val="TableNormal"/>
    <w:uiPriority w:val="50"/>
    <w:rsid w:val="009332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31">
    <w:name w:val="Grid Table 5 Dark - Accent 31"/>
    <w:basedOn w:val="TableNormal"/>
    <w:uiPriority w:val="50"/>
    <w:rsid w:val="00F10C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1">
    <w:name w:val="Grid Table 4 - Accent 31"/>
    <w:basedOn w:val="TableNormal"/>
    <w:uiPriority w:val="49"/>
    <w:rsid w:val="00603BC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Mention1">
    <w:name w:val="Mention1"/>
    <w:basedOn w:val="DefaultParagraphFont"/>
    <w:uiPriority w:val="99"/>
    <w:semiHidden/>
    <w:unhideWhenUsed/>
    <w:rsid w:val="006646F6"/>
    <w:rPr>
      <w:color w:val="2B579A"/>
      <w:shd w:val="clear" w:color="auto" w:fill="E6E6E6"/>
    </w:rPr>
  </w:style>
  <w:style w:type="character" w:customStyle="1" w:styleId="UnresolvedMention1">
    <w:name w:val="Unresolved Mention1"/>
    <w:basedOn w:val="DefaultParagraphFont"/>
    <w:uiPriority w:val="99"/>
    <w:semiHidden/>
    <w:unhideWhenUsed/>
    <w:rsid w:val="00E51616"/>
    <w:rPr>
      <w:color w:val="808080"/>
      <w:shd w:val="clear" w:color="auto" w:fill="E6E6E6"/>
    </w:rPr>
  </w:style>
  <w:style w:type="table" w:customStyle="1" w:styleId="GridTable5Dark-Accent32">
    <w:name w:val="Grid Table 5 Dark - Accent 32"/>
    <w:basedOn w:val="TableNormal"/>
    <w:uiPriority w:val="50"/>
    <w:rsid w:val="007955B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sblebullet">
    <w:name w:val="tasble bullet"/>
    <w:basedOn w:val="TableText"/>
    <w:link w:val="tasblebulletChar"/>
    <w:qFormat/>
    <w:rsid w:val="005C4F4A"/>
    <w:pPr>
      <w:numPr>
        <w:numId w:val="7"/>
      </w:numPr>
      <w:ind w:left="316" w:hanging="283"/>
    </w:pPr>
    <w:rPr>
      <w:sz w:val="22"/>
      <w:szCs w:val="22"/>
    </w:rPr>
  </w:style>
  <w:style w:type="character" w:customStyle="1" w:styleId="tasblebulletChar">
    <w:name w:val="tasble bullet Char"/>
    <w:basedOn w:val="TableTextChar"/>
    <w:link w:val="tasblebullet"/>
    <w:rsid w:val="005C4F4A"/>
    <w:rPr>
      <w:rFonts w:ascii="Calibri" w:eastAsiaTheme="minorHAnsi" w:hAnsi="Calibri" w:cs="Calibri"/>
      <w:sz w:val="22"/>
      <w:szCs w:val="22"/>
      <w:lang w:val="en-US" w:eastAsia="en-US"/>
    </w:rPr>
  </w:style>
  <w:style w:type="paragraph" w:customStyle="1" w:styleId="Tablenumbers">
    <w:name w:val="Table numbers"/>
    <w:basedOn w:val="Normal"/>
    <w:link w:val="TablenumbersChar"/>
    <w:qFormat/>
    <w:rsid w:val="000B20B5"/>
    <w:pPr>
      <w:jc w:val="right"/>
    </w:pPr>
    <w:rPr>
      <w:rFonts w:ascii="Calibri" w:eastAsiaTheme="minorHAnsi" w:hAnsi="Calibri" w:cstheme="minorBidi"/>
      <w:color w:val="000000"/>
      <w:sz w:val="20"/>
      <w:szCs w:val="20"/>
      <w:lang w:val="en-US" w:eastAsia="en-US"/>
    </w:rPr>
  </w:style>
  <w:style w:type="character" w:customStyle="1" w:styleId="TablenumbersChar">
    <w:name w:val="Table numbers Char"/>
    <w:basedOn w:val="DefaultParagraphFont"/>
    <w:link w:val="Tablenumbers"/>
    <w:rsid w:val="000B20B5"/>
    <w:rPr>
      <w:rFonts w:ascii="Calibri" w:eastAsiaTheme="minorHAnsi" w:hAnsi="Calibri" w:cstheme="minorBidi"/>
      <w:color w:val="000000"/>
      <w:sz w:val="20"/>
      <w:szCs w:val="20"/>
      <w:lang w:val="en-US" w:eastAsia="en-US"/>
    </w:rPr>
  </w:style>
  <w:style w:type="table" w:customStyle="1" w:styleId="TableGridLight1">
    <w:name w:val="Table Grid Light1"/>
    <w:basedOn w:val="TableNormal"/>
    <w:rsid w:val="000001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x">
    <w:name w:val="text box"/>
    <w:basedOn w:val="Normal1"/>
    <w:link w:val="textboxChar"/>
    <w:qFormat/>
    <w:rsid w:val="000C3B64"/>
    <w:pPr>
      <w:ind w:left="0"/>
    </w:pPr>
    <w:rPr>
      <w:sz w:val="21"/>
      <w:szCs w:val="21"/>
    </w:rPr>
  </w:style>
  <w:style w:type="character" w:customStyle="1" w:styleId="textboxChar">
    <w:name w:val="text box Char"/>
    <w:basedOn w:val="DefaultParagraphFont"/>
    <w:link w:val="textbox"/>
    <w:rsid w:val="000C3B64"/>
    <w:rPr>
      <w:rFonts w:ascii="Calibri" w:hAnsi="Calibri" w:cs="Calibri"/>
      <w:sz w:val="21"/>
      <w:szCs w:val="21"/>
    </w:rPr>
  </w:style>
  <w:style w:type="table" w:customStyle="1" w:styleId="PlainTable21">
    <w:name w:val="Plain Table 21"/>
    <w:basedOn w:val="TableNormal"/>
    <w:rsid w:val="00C967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2E2E5E"/>
    <w:rPr>
      <w:color w:val="808080"/>
      <w:shd w:val="clear" w:color="auto" w:fill="E6E6E6"/>
    </w:rPr>
  </w:style>
  <w:style w:type="character" w:customStyle="1" w:styleId="UnresolvedMention3">
    <w:name w:val="Unresolved Mention3"/>
    <w:basedOn w:val="DefaultParagraphFont"/>
    <w:uiPriority w:val="99"/>
    <w:semiHidden/>
    <w:unhideWhenUsed/>
    <w:rsid w:val="00B45C4C"/>
    <w:rPr>
      <w:color w:val="808080"/>
      <w:shd w:val="clear" w:color="auto" w:fill="E6E6E6"/>
    </w:rPr>
  </w:style>
  <w:style w:type="paragraph" w:customStyle="1" w:styleId="FigureHeading">
    <w:name w:val="Figure Heading"/>
    <w:basedOn w:val="Heading4"/>
    <w:next w:val="Normal"/>
    <w:rsid w:val="00BC2531"/>
    <w:pPr>
      <w:keepLines w:val="0"/>
      <w:widowControl/>
      <w:numPr>
        <w:numId w:val="8"/>
      </w:numPr>
      <w:spacing w:before="280" w:after="80" w:line="240" w:lineRule="auto"/>
    </w:pPr>
    <w:rPr>
      <w:rFonts w:ascii="Corbel" w:eastAsia="Times" w:hAnsi="Corbel" w:cs="Times New Roman"/>
      <w:bCs/>
      <w:i/>
      <w:caps/>
      <w:color w:val="DD5D2B"/>
      <w:kern w:val="0"/>
      <w:sz w:val="18"/>
      <w:szCs w:val="18"/>
      <w:lang w:val="en-US"/>
    </w:rPr>
  </w:style>
  <w:style w:type="paragraph" w:customStyle="1" w:styleId="PulloutHeadingC">
    <w:name w:val="Pullout Heading C"/>
    <w:basedOn w:val="Normal"/>
    <w:qFormat/>
    <w:rsid w:val="00BC2531"/>
    <w:pPr>
      <w:spacing w:after="240"/>
    </w:pPr>
    <w:rPr>
      <w:rFonts w:eastAsiaTheme="minorEastAsia" w:cstheme="minorBidi"/>
      <w:b/>
      <w:bCs/>
      <w:caps/>
      <w:lang w:val="en-US" w:eastAsia="en-US"/>
    </w:rPr>
  </w:style>
  <w:style w:type="table" w:customStyle="1" w:styleId="PlainTable11">
    <w:name w:val="Plain Table 11"/>
    <w:basedOn w:val="TableNormal"/>
    <w:rsid w:val="003058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1">
    <w:name w:val="Grid Table 21"/>
    <w:basedOn w:val="TableNormal"/>
    <w:rsid w:val="003058E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491EC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ilfuvd">
    <w:name w:val="ilfuvd"/>
    <w:basedOn w:val="DefaultParagraphFont"/>
    <w:rsid w:val="00477B20"/>
  </w:style>
  <w:style w:type="paragraph" w:styleId="BodyTextIndent">
    <w:name w:val="Body Text Indent"/>
    <w:basedOn w:val="Normal"/>
    <w:link w:val="BodyTextIndentChar"/>
    <w:semiHidden/>
    <w:unhideWhenUsed/>
    <w:rsid w:val="005E4AF7"/>
    <w:pPr>
      <w:spacing w:after="120"/>
      <w:ind w:left="283"/>
    </w:pPr>
  </w:style>
  <w:style w:type="character" w:customStyle="1" w:styleId="BodyTextIndentChar">
    <w:name w:val="Body Text Indent Char"/>
    <w:basedOn w:val="DefaultParagraphFont"/>
    <w:link w:val="BodyTextIndent"/>
    <w:semiHidden/>
    <w:rsid w:val="005E4AF7"/>
  </w:style>
  <w:style w:type="paragraph" w:styleId="BodyTextFirstIndent2">
    <w:name w:val="Body Text First Indent 2"/>
    <w:basedOn w:val="BodyTextIndent"/>
    <w:link w:val="BodyTextFirstIndent2Char"/>
    <w:semiHidden/>
    <w:unhideWhenUsed/>
    <w:rsid w:val="005E4AF7"/>
    <w:pPr>
      <w:spacing w:after="0"/>
      <w:ind w:left="360" w:firstLine="360"/>
    </w:pPr>
  </w:style>
  <w:style w:type="character" w:customStyle="1" w:styleId="BodyTextFirstIndent2Char">
    <w:name w:val="Body Text First Indent 2 Char"/>
    <w:basedOn w:val="BodyTextIndentChar"/>
    <w:link w:val="BodyTextFirstIndent2"/>
    <w:semiHidden/>
    <w:rsid w:val="005E4AF7"/>
  </w:style>
  <w:style w:type="paragraph" w:customStyle="1" w:styleId="Tablenote">
    <w:name w:val="Table note"/>
    <w:basedOn w:val="Normal1"/>
    <w:link w:val="TablenoteChar"/>
    <w:rsid w:val="00D30F13"/>
    <w:rPr>
      <w:sz w:val="20"/>
      <w:szCs w:val="20"/>
    </w:rPr>
  </w:style>
  <w:style w:type="character" w:customStyle="1" w:styleId="TablenoteChar">
    <w:name w:val="Table note Char"/>
    <w:basedOn w:val="NormalChar"/>
    <w:link w:val="Tablenote"/>
    <w:rsid w:val="00D30F13"/>
    <w:rPr>
      <w:rFonts w:ascii="Calibri" w:hAnsi="Calibri" w:cs="Calibri"/>
      <w:sz w:val="20"/>
      <w:szCs w:val="20"/>
    </w:rPr>
  </w:style>
  <w:style w:type="paragraph" w:customStyle="1" w:styleId="tablenote0">
    <w:name w:val="table note"/>
    <w:basedOn w:val="Tablenotes"/>
    <w:link w:val="tablenoteChar0"/>
    <w:rsid w:val="005B2E7F"/>
  </w:style>
  <w:style w:type="paragraph" w:customStyle="1" w:styleId="Tablenotes">
    <w:name w:val="Table notes"/>
    <w:basedOn w:val="Normal"/>
    <w:link w:val="TablenotesChar"/>
    <w:qFormat/>
    <w:rsid w:val="00D30E1B"/>
    <w:pPr>
      <w:spacing w:before="20"/>
      <w:ind w:left="851"/>
      <w:contextualSpacing/>
    </w:pPr>
    <w:rPr>
      <w:rFonts w:ascii="Calibri" w:eastAsia="Calibri" w:hAnsi="Calibri"/>
      <w:spacing w:val="-2"/>
      <w:sz w:val="18"/>
      <w:szCs w:val="18"/>
      <w:lang w:eastAsia="en-US"/>
    </w:rPr>
  </w:style>
  <w:style w:type="character" w:customStyle="1" w:styleId="TablenotesChar">
    <w:name w:val="Table notes Char"/>
    <w:basedOn w:val="DefaultParagraphFont"/>
    <w:link w:val="Tablenotes"/>
    <w:rsid w:val="00D30E1B"/>
    <w:rPr>
      <w:rFonts w:ascii="Calibri" w:eastAsia="Calibri" w:hAnsi="Calibri"/>
      <w:spacing w:val="-2"/>
      <w:sz w:val="18"/>
      <w:szCs w:val="18"/>
      <w:lang w:eastAsia="en-US"/>
    </w:rPr>
  </w:style>
  <w:style w:type="character" w:customStyle="1" w:styleId="tablenoteChar0">
    <w:name w:val="table note Char"/>
    <w:basedOn w:val="NormalChar"/>
    <w:link w:val="tablenote0"/>
    <w:rsid w:val="005B2E7F"/>
    <w:rPr>
      <w:rFonts w:ascii="Calibri" w:eastAsia="Calibri" w:hAnsi="Calibri" w:cs="Calibri"/>
      <w:spacing w:val="-2"/>
      <w:sz w:val="16"/>
      <w:szCs w:val="16"/>
      <w:lang w:eastAsia="en-US"/>
    </w:rPr>
  </w:style>
  <w:style w:type="character" w:customStyle="1" w:styleId="s1">
    <w:name w:val="s1"/>
    <w:basedOn w:val="DefaultParagraphFont"/>
    <w:rsid w:val="000C3B64"/>
  </w:style>
  <w:style w:type="character" w:customStyle="1" w:styleId="UnresolvedMention4">
    <w:name w:val="Unresolved Mention4"/>
    <w:basedOn w:val="DefaultParagraphFont"/>
    <w:uiPriority w:val="99"/>
    <w:semiHidden/>
    <w:unhideWhenUsed/>
    <w:rsid w:val="006A3D64"/>
    <w:rPr>
      <w:color w:val="605E5C"/>
      <w:shd w:val="clear" w:color="auto" w:fill="E1DFDD"/>
    </w:rPr>
  </w:style>
  <w:style w:type="character" w:styleId="UnresolvedMention">
    <w:name w:val="Unresolved Mention"/>
    <w:basedOn w:val="DefaultParagraphFont"/>
    <w:uiPriority w:val="99"/>
    <w:semiHidden/>
    <w:unhideWhenUsed/>
    <w:rsid w:val="00E40C72"/>
    <w:rPr>
      <w:color w:val="605E5C"/>
      <w:shd w:val="clear" w:color="auto" w:fill="E1DFDD"/>
    </w:rPr>
  </w:style>
  <w:style w:type="character" w:customStyle="1" w:styleId="go">
    <w:name w:val="go"/>
    <w:basedOn w:val="DefaultParagraphFont"/>
    <w:rsid w:val="00D51A87"/>
  </w:style>
  <w:style w:type="table" w:styleId="GridTable4-Accent3">
    <w:name w:val="Grid Table 4 Accent 3"/>
    <w:basedOn w:val="TableNormal"/>
    <w:uiPriority w:val="49"/>
    <w:rsid w:val="00EC59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TableNormal"/>
    <w:next w:val="TableGrid"/>
    <w:uiPriority w:val="39"/>
    <w:rsid w:val="00EC599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fheader">
    <w:name w:val="Perf header"/>
    <w:basedOn w:val="TableHeader"/>
    <w:link w:val="PerfheaderChar"/>
    <w:qFormat/>
    <w:rsid w:val="00F751A1"/>
    <w:rPr>
      <w:rFonts w:ascii="Calibri Light" w:hAnsi="Calibri Light" w:cs="Calibri Light"/>
      <w:color w:val="1F497D" w:themeColor="text2"/>
    </w:rPr>
  </w:style>
  <w:style w:type="character" w:customStyle="1" w:styleId="TableHeaderChar">
    <w:name w:val="Table Header Char"/>
    <w:basedOn w:val="TableTextChar"/>
    <w:link w:val="TableHeader"/>
    <w:uiPriority w:val="15"/>
    <w:rsid w:val="000B20B5"/>
    <w:rPr>
      <w:rFonts w:ascii="Calibri" w:eastAsiaTheme="minorHAnsi" w:hAnsi="Calibri" w:cs="Calibri"/>
      <w:sz w:val="20"/>
      <w:szCs w:val="20"/>
      <w:lang w:val="en-US" w:eastAsia="en-US"/>
    </w:rPr>
  </w:style>
  <w:style w:type="character" w:customStyle="1" w:styleId="PerfheaderChar">
    <w:name w:val="Perf header Char"/>
    <w:basedOn w:val="TableHeaderChar"/>
    <w:link w:val="Perfheader"/>
    <w:rsid w:val="00F751A1"/>
    <w:rPr>
      <w:rFonts w:ascii="Calibri Light" w:eastAsiaTheme="minorHAnsi" w:hAnsi="Calibri Light" w:cs="Calibri Light"/>
      <w:b w:val="0"/>
      <w:color w:val="1F497D" w:themeColor="text2"/>
      <w:sz w:val="20"/>
      <w:szCs w:val="20"/>
      <w:lang w:val="en-US" w:eastAsia="en-US"/>
    </w:rPr>
  </w:style>
  <w:style w:type="character" w:customStyle="1" w:styleId="DHHSbodyChar">
    <w:name w:val="DHHS body Char"/>
    <w:link w:val="DHHSbody"/>
    <w:locked/>
    <w:rsid w:val="00F45584"/>
    <w:rPr>
      <w:rFonts w:eastAsia="Times" w:cs="Arial"/>
    </w:rPr>
  </w:style>
  <w:style w:type="paragraph" w:customStyle="1" w:styleId="DHHSbody">
    <w:name w:val="DHHS body"/>
    <w:link w:val="DHHSbodyChar"/>
    <w:rsid w:val="00F45584"/>
    <w:pPr>
      <w:spacing w:after="120" w:line="270" w:lineRule="atLeast"/>
    </w:pPr>
    <w:rPr>
      <w:rFonts w:eastAsia="Times" w:cs="Arial"/>
    </w:rPr>
  </w:style>
  <w:style w:type="character" w:customStyle="1" w:styleId="im">
    <w:name w:val="im"/>
    <w:basedOn w:val="DefaultParagraphFont"/>
    <w:rsid w:val="003618D4"/>
  </w:style>
  <w:style w:type="paragraph" w:customStyle="1" w:styleId="tabletext0">
    <w:name w:val="table text"/>
    <w:basedOn w:val="Heading4"/>
    <w:link w:val="tabletextChar0"/>
    <w:rsid w:val="0040259C"/>
    <w:pPr>
      <w:widowControl/>
      <w:numPr>
        <w:ilvl w:val="0"/>
        <w:numId w:val="0"/>
      </w:numPr>
      <w:spacing w:before="40" w:after="0" w:line="240" w:lineRule="auto"/>
      <w:outlineLvl w:val="9"/>
    </w:pPr>
    <w:rPr>
      <w:rFonts w:asciiTheme="minorHAnsi" w:eastAsiaTheme="majorEastAsia" w:hAnsiTheme="minorHAnsi" w:cstheme="minorHAnsi"/>
      <w:b w:val="0"/>
      <w:sz w:val="20"/>
      <w:szCs w:val="20"/>
    </w:rPr>
  </w:style>
  <w:style w:type="character" w:customStyle="1" w:styleId="tabletextChar0">
    <w:name w:val="table text Char"/>
    <w:basedOn w:val="Heading4Char"/>
    <w:link w:val="tabletext0"/>
    <w:rsid w:val="0040259C"/>
    <w:rPr>
      <w:rFonts w:asciiTheme="minorHAnsi" w:eastAsiaTheme="majorEastAsia" w:hAnsiTheme="minorHAnsi" w:cstheme="minorHAnsi"/>
      <w:b w:val="0"/>
      <w:color w:val="4D4D4D"/>
      <w:kern w:val="28"/>
      <w:sz w:val="20"/>
      <w:szCs w:val="20"/>
      <w:lang w:eastAsia="en-US"/>
    </w:rPr>
  </w:style>
  <w:style w:type="paragraph" w:customStyle="1" w:styleId="m-4893766230979644016normal1">
    <w:name w:val="m_-4893766230979644016normal1"/>
    <w:basedOn w:val="Normal"/>
    <w:rsid w:val="00480887"/>
    <w:pPr>
      <w:spacing w:before="100" w:beforeAutospacing="1" w:after="100" w:afterAutospacing="1"/>
    </w:pPr>
    <w:rPr>
      <w:rFonts w:ascii="Times New Roman" w:hAnsi="Times New Roman"/>
      <w:lang w:val="en-US" w:eastAsia="en-US"/>
    </w:rPr>
  </w:style>
  <w:style w:type="character" w:customStyle="1" w:styleId="e24kjd">
    <w:name w:val="e24kjd"/>
    <w:basedOn w:val="DefaultParagraphFont"/>
    <w:rsid w:val="00AA2356"/>
  </w:style>
  <w:style w:type="paragraph" w:customStyle="1" w:styleId="Listnum3">
    <w:name w:val="List num 3"/>
    <w:basedOn w:val="Normal"/>
    <w:uiPriority w:val="1"/>
    <w:rsid w:val="004A053E"/>
    <w:pPr>
      <w:numPr>
        <w:ilvl w:val="2"/>
        <w:numId w:val="15"/>
      </w:numPr>
      <w:spacing w:before="160" w:after="100" w:line="276" w:lineRule="auto"/>
    </w:pPr>
    <w:rPr>
      <w:rFonts w:asciiTheme="minorHAnsi" w:eastAsiaTheme="minorEastAsia" w:hAnsiTheme="minorHAnsi" w:cstheme="minorBidi"/>
      <w:spacing w:val="2"/>
      <w:sz w:val="22"/>
      <w:szCs w:val="20"/>
    </w:rPr>
  </w:style>
  <w:style w:type="paragraph" w:customStyle="1" w:styleId="Listnum">
    <w:name w:val="List num"/>
    <w:basedOn w:val="Normal"/>
    <w:uiPriority w:val="1"/>
    <w:qFormat/>
    <w:rsid w:val="004A053E"/>
    <w:pPr>
      <w:numPr>
        <w:numId w:val="15"/>
      </w:numPr>
      <w:spacing w:before="160" w:after="100" w:line="276" w:lineRule="auto"/>
    </w:pPr>
    <w:rPr>
      <w:rFonts w:asciiTheme="minorHAnsi" w:eastAsiaTheme="minorEastAsia" w:hAnsiTheme="minorHAnsi" w:cstheme="minorBidi"/>
      <w:spacing w:val="2"/>
      <w:sz w:val="21"/>
      <w:szCs w:val="20"/>
    </w:rPr>
  </w:style>
  <w:style w:type="paragraph" w:customStyle="1" w:styleId="Listnum2">
    <w:name w:val="List num 2"/>
    <w:basedOn w:val="Normal"/>
    <w:uiPriority w:val="1"/>
    <w:qFormat/>
    <w:rsid w:val="004A053E"/>
    <w:pPr>
      <w:numPr>
        <w:ilvl w:val="1"/>
        <w:numId w:val="15"/>
      </w:numPr>
      <w:spacing w:before="160" w:after="100" w:line="276" w:lineRule="auto"/>
    </w:pPr>
    <w:rPr>
      <w:rFonts w:asciiTheme="minorHAnsi" w:eastAsiaTheme="minorEastAsia" w:hAnsiTheme="minorHAnsi" w:cstheme="minorBidi"/>
      <w:spacing w:val="2"/>
      <w:sz w:val="22"/>
      <w:szCs w:val="20"/>
    </w:rPr>
  </w:style>
  <w:style w:type="character" w:customStyle="1" w:styleId="normaltextrun">
    <w:name w:val="normaltextrun"/>
    <w:basedOn w:val="DefaultParagraphFont"/>
    <w:rsid w:val="00E56036"/>
  </w:style>
  <w:style w:type="paragraph" w:customStyle="1" w:styleId="bullets">
    <w:name w:val="bullets"/>
    <w:basedOn w:val="ListParagraph"/>
    <w:link w:val="bulletsChar"/>
    <w:rsid w:val="00FF50EE"/>
    <w:pPr>
      <w:numPr>
        <w:numId w:val="17"/>
      </w:numPr>
      <w:autoSpaceDE w:val="0"/>
      <w:autoSpaceDN w:val="0"/>
      <w:spacing w:before="60" w:after="60"/>
      <w:ind w:left="284" w:hanging="284"/>
      <w:contextualSpacing w:val="0"/>
    </w:pPr>
    <w:rPr>
      <w:rFonts w:asciiTheme="minorHAnsi" w:hAnsiTheme="minorHAnsi" w:cstheme="minorHAnsi"/>
    </w:rPr>
  </w:style>
  <w:style w:type="character" w:customStyle="1" w:styleId="bulletsChar">
    <w:name w:val="bullets Char"/>
    <w:basedOn w:val="DefaultParagraphFont"/>
    <w:link w:val="bullets"/>
    <w:rsid w:val="00FF50EE"/>
    <w:rPr>
      <w:rFonts w:asciiTheme="minorHAnsi" w:hAnsiTheme="minorHAnsi" w:cstheme="minorHAnsi"/>
      <w:sz w:val="22"/>
      <w:szCs w:val="22"/>
    </w:rPr>
  </w:style>
  <w:style w:type="character" w:customStyle="1" w:styleId="il">
    <w:name w:val="il"/>
    <w:basedOn w:val="DefaultParagraphFont"/>
    <w:rsid w:val="00D15839"/>
  </w:style>
  <w:style w:type="character" w:customStyle="1" w:styleId="hgkelc">
    <w:name w:val="hgkelc"/>
    <w:basedOn w:val="DefaultParagraphFont"/>
    <w:rsid w:val="009117E3"/>
  </w:style>
  <w:style w:type="paragraph" w:customStyle="1" w:styleId="Tabletext1">
    <w:name w:val="Table text +"/>
    <w:basedOn w:val="TableText"/>
    <w:link w:val="TabletextChar1"/>
    <w:qFormat/>
    <w:rsid w:val="00ED447C"/>
    <w:rPr>
      <w:sz w:val="22"/>
      <w:szCs w:val="22"/>
    </w:rPr>
  </w:style>
  <w:style w:type="paragraph" w:customStyle="1" w:styleId="Tablebullet0">
    <w:name w:val="Table bullet +"/>
    <w:basedOn w:val="tasblebullet"/>
    <w:link w:val="TablebulletChar"/>
    <w:qFormat/>
    <w:rsid w:val="000B20B5"/>
    <w:rPr>
      <w:sz w:val="20"/>
      <w:szCs w:val="20"/>
    </w:rPr>
  </w:style>
  <w:style w:type="character" w:customStyle="1" w:styleId="TabletextChar1">
    <w:name w:val="Table text + Char"/>
    <w:basedOn w:val="TableTextChar"/>
    <w:link w:val="Tabletext1"/>
    <w:rsid w:val="00ED447C"/>
    <w:rPr>
      <w:rFonts w:ascii="Calibri" w:eastAsiaTheme="minorHAnsi" w:hAnsi="Calibri" w:cs="Calibri"/>
      <w:sz w:val="22"/>
      <w:szCs w:val="22"/>
      <w:lang w:val="en-US" w:eastAsia="en-US"/>
    </w:rPr>
  </w:style>
  <w:style w:type="character" w:customStyle="1" w:styleId="TablebulletChar">
    <w:name w:val="Table bullet + Char"/>
    <w:basedOn w:val="tasblebulletChar"/>
    <w:link w:val="Tablebullet0"/>
    <w:rsid w:val="000B20B5"/>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592">
      <w:bodyDiv w:val="1"/>
      <w:marLeft w:val="0"/>
      <w:marRight w:val="0"/>
      <w:marTop w:val="0"/>
      <w:marBottom w:val="0"/>
      <w:divBdr>
        <w:top w:val="none" w:sz="0" w:space="0" w:color="auto"/>
        <w:left w:val="none" w:sz="0" w:space="0" w:color="auto"/>
        <w:bottom w:val="none" w:sz="0" w:space="0" w:color="auto"/>
        <w:right w:val="none" w:sz="0" w:space="0" w:color="auto"/>
      </w:divBdr>
    </w:div>
    <w:div w:id="23137308">
      <w:bodyDiv w:val="1"/>
      <w:marLeft w:val="0"/>
      <w:marRight w:val="0"/>
      <w:marTop w:val="0"/>
      <w:marBottom w:val="0"/>
      <w:divBdr>
        <w:top w:val="none" w:sz="0" w:space="0" w:color="auto"/>
        <w:left w:val="none" w:sz="0" w:space="0" w:color="auto"/>
        <w:bottom w:val="none" w:sz="0" w:space="0" w:color="auto"/>
        <w:right w:val="none" w:sz="0" w:space="0" w:color="auto"/>
      </w:divBdr>
    </w:div>
    <w:div w:id="45951688">
      <w:bodyDiv w:val="1"/>
      <w:marLeft w:val="0"/>
      <w:marRight w:val="0"/>
      <w:marTop w:val="0"/>
      <w:marBottom w:val="0"/>
      <w:divBdr>
        <w:top w:val="none" w:sz="0" w:space="0" w:color="auto"/>
        <w:left w:val="none" w:sz="0" w:space="0" w:color="auto"/>
        <w:bottom w:val="none" w:sz="0" w:space="0" w:color="auto"/>
        <w:right w:val="none" w:sz="0" w:space="0" w:color="auto"/>
      </w:divBdr>
    </w:div>
    <w:div w:id="49153314">
      <w:bodyDiv w:val="1"/>
      <w:marLeft w:val="0"/>
      <w:marRight w:val="0"/>
      <w:marTop w:val="0"/>
      <w:marBottom w:val="0"/>
      <w:divBdr>
        <w:top w:val="none" w:sz="0" w:space="0" w:color="auto"/>
        <w:left w:val="none" w:sz="0" w:space="0" w:color="auto"/>
        <w:bottom w:val="none" w:sz="0" w:space="0" w:color="auto"/>
        <w:right w:val="none" w:sz="0" w:space="0" w:color="auto"/>
      </w:divBdr>
    </w:div>
    <w:div w:id="65299305">
      <w:bodyDiv w:val="1"/>
      <w:marLeft w:val="0"/>
      <w:marRight w:val="0"/>
      <w:marTop w:val="0"/>
      <w:marBottom w:val="0"/>
      <w:divBdr>
        <w:top w:val="none" w:sz="0" w:space="0" w:color="auto"/>
        <w:left w:val="none" w:sz="0" w:space="0" w:color="auto"/>
        <w:bottom w:val="none" w:sz="0" w:space="0" w:color="auto"/>
        <w:right w:val="none" w:sz="0" w:space="0" w:color="auto"/>
      </w:divBdr>
    </w:div>
    <w:div w:id="94134886">
      <w:bodyDiv w:val="1"/>
      <w:marLeft w:val="0"/>
      <w:marRight w:val="0"/>
      <w:marTop w:val="0"/>
      <w:marBottom w:val="0"/>
      <w:divBdr>
        <w:top w:val="none" w:sz="0" w:space="0" w:color="auto"/>
        <w:left w:val="none" w:sz="0" w:space="0" w:color="auto"/>
        <w:bottom w:val="none" w:sz="0" w:space="0" w:color="auto"/>
        <w:right w:val="none" w:sz="0" w:space="0" w:color="auto"/>
      </w:divBdr>
    </w:div>
    <w:div w:id="97062189">
      <w:bodyDiv w:val="1"/>
      <w:marLeft w:val="0"/>
      <w:marRight w:val="0"/>
      <w:marTop w:val="0"/>
      <w:marBottom w:val="0"/>
      <w:divBdr>
        <w:top w:val="none" w:sz="0" w:space="0" w:color="auto"/>
        <w:left w:val="none" w:sz="0" w:space="0" w:color="auto"/>
        <w:bottom w:val="none" w:sz="0" w:space="0" w:color="auto"/>
        <w:right w:val="none" w:sz="0" w:space="0" w:color="auto"/>
      </w:divBdr>
    </w:div>
    <w:div w:id="103156842">
      <w:bodyDiv w:val="1"/>
      <w:marLeft w:val="0"/>
      <w:marRight w:val="0"/>
      <w:marTop w:val="0"/>
      <w:marBottom w:val="0"/>
      <w:divBdr>
        <w:top w:val="none" w:sz="0" w:space="0" w:color="auto"/>
        <w:left w:val="none" w:sz="0" w:space="0" w:color="auto"/>
        <w:bottom w:val="none" w:sz="0" w:space="0" w:color="auto"/>
        <w:right w:val="none" w:sz="0" w:space="0" w:color="auto"/>
      </w:divBdr>
    </w:div>
    <w:div w:id="119229600">
      <w:bodyDiv w:val="1"/>
      <w:marLeft w:val="0"/>
      <w:marRight w:val="0"/>
      <w:marTop w:val="0"/>
      <w:marBottom w:val="0"/>
      <w:divBdr>
        <w:top w:val="none" w:sz="0" w:space="0" w:color="auto"/>
        <w:left w:val="none" w:sz="0" w:space="0" w:color="auto"/>
        <w:bottom w:val="none" w:sz="0" w:space="0" w:color="auto"/>
        <w:right w:val="none" w:sz="0" w:space="0" w:color="auto"/>
      </w:divBdr>
    </w:div>
    <w:div w:id="120613052">
      <w:bodyDiv w:val="1"/>
      <w:marLeft w:val="0"/>
      <w:marRight w:val="0"/>
      <w:marTop w:val="0"/>
      <w:marBottom w:val="0"/>
      <w:divBdr>
        <w:top w:val="none" w:sz="0" w:space="0" w:color="auto"/>
        <w:left w:val="none" w:sz="0" w:space="0" w:color="auto"/>
        <w:bottom w:val="none" w:sz="0" w:space="0" w:color="auto"/>
        <w:right w:val="none" w:sz="0" w:space="0" w:color="auto"/>
      </w:divBdr>
    </w:div>
    <w:div w:id="127359990">
      <w:bodyDiv w:val="1"/>
      <w:marLeft w:val="0"/>
      <w:marRight w:val="0"/>
      <w:marTop w:val="0"/>
      <w:marBottom w:val="0"/>
      <w:divBdr>
        <w:top w:val="none" w:sz="0" w:space="0" w:color="auto"/>
        <w:left w:val="none" w:sz="0" w:space="0" w:color="auto"/>
        <w:bottom w:val="none" w:sz="0" w:space="0" w:color="auto"/>
        <w:right w:val="none" w:sz="0" w:space="0" w:color="auto"/>
      </w:divBdr>
      <w:divsChild>
        <w:div w:id="7291048">
          <w:marLeft w:val="547"/>
          <w:marRight w:val="0"/>
          <w:marTop w:val="0"/>
          <w:marBottom w:val="0"/>
          <w:divBdr>
            <w:top w:val="none" w:sz="0" w:space="0" w:color="auto"/>
            <w:left w:val="none" w:sz="0" w:space="0" w:color="auto"/>
            <w:bottom w:val="none" w:sz="0" w:space="0" w:color="auto"/>
            <w:right w:val="none" w:sz="0" w:space="0" w:color="auto"/>
          </w:divBdr>
        </w:div>
      </w:divsChild>
    </w:div>
    <w:div w:id="142888647">
      <w:bodyDiv w:val="1"/>
      <w:marLeft w:val="0"/>
      <w:marRight w:val="0"/>
      <w:marTop w:val="0"/>
      <w:marBottom w:val="0"/>
      <w:divBdr>
        <w:top w:val="none" w:sz="0" w:space="0" w:color="auto"/>
        <w:left w:val="none" w:sz="0" w:space="0" w:color="auto"/>
        <w:bottom w:val="none" w:sz="0" w:space="0" w:color="auto"/>
        <w:right w:val="none" w:sz="0" w:space="0" w:color="auto"/>
      </w:divBdr>
      <w:divsChild>
        <w:div w:id="1760444788">
          <w:marLeft w:val="547"/>
          <w:marRight w:val="0"/>
          <w:marTop w:val="0"/>
          <w:marBottom w:val="0"/>
          <w:divBdr>
            <w:top w:val="none" w:sz="0" w:space="0" w:color="auto"/>
            <w:left w:val="none" w:sz="0" w:space="0" w:color="auto"/>
            <w:bottom w:val="none" w:sz="0" w:space="0" w:color="auto"/>
            <w:right w:val="none" w:sz="0" w:space="0" w:color="auto"/>
          </w:divBdr>
        </w:div>
      </w:divsChild>
    </w:div>
    <w:div w:id="152332257">
      <w:bodyDiv w:val="1"/>
      <w:marLeft w:val="0"/>
      <w:marRight w:val="0"/>
      <w:marTop w:val="0"/>
      <w:marBottom w:val="0"/>
      <w:divBdr>
        <w:top w:val="none" w:sz="0" w:space="0" w:color="auto"/>
        <w:left w:val="none" w:sz="0" w:space="0" w:color="auto"/>
        <w:bottom w:val="none" w:sz="0" w:space="0" w:color="auto"/>
        <w:right w:val="none" w:sz="0" w:space="0" w:color="auto"/>
      </w:divBdr>
    </w:div>
    <w:div w:id="152843833">
      <w:bodyDiv w:val="1"/>
      <w:marLeft w:val="0"/>
      <w:marRight w:val="0"/>
      <w:marTop w:val="0"/>
      <w:marBottom w:val="0"/>
      <w:divBdr>
        <w:top w:val="none" w:sz="0" w:space="0" w:color="auto"/>
        <w:left w:val="none" w:sz="0" w:space="0" w:color="auto"/>
        <w:bottom w:val="none" w:sz="0" w:space="0" w:color="auto"/>
        <w:right w:val="none" w:sz="0" w:space="0" w:color="auto"/>
      </w:divBdr>
    </w:div>
    <w:div w:id="154885721">
      <w:bodyDiv w:val="1"/>
      <w:marLeft w:val="0"/>
      <w:marRight w:val="0"/>
      <w:marTop w:val="0"/>
      <w:marBottom w:val="0"/>
      <w:divBdr>
        <w:top w:val="none" w:sz="0" w:space="0" w:color="auto"/>
        <w:left w:val="none" w:sz="0" w:space="0" w:color="auto"/>
        <w:bottom w:val="none" w:sz="0" w:space="0" w:color="auto"/>
        <w:right w:val="none" w:sz="0" w:space="0" w:color="auto"/>
      </w:divBdr>
    </w:div>
    <w:div w:id="160199089">
      <w:bodyDiv w:val="1"/>
      <w:marLeft w:val="0"/>
      <w:marRight w:val="0"/>
      <w:marTop w:val="0"/>
      <w:marBottom w:val="0"/>
      <w:divBdr>
        <w:top w:val="none" w:sz="0" w:space="0" w:color="auto"/>
        <w:left w:val="none" w:sz="0" w:space="0" w:color="auto"/>
        <w:bottom w:val="none" w:sz="0" w:space="0" w:color="auto"/>
        <w:right w:val="none" w:sz="0" w:space="0" w:color="auto"/>
      </w:divBdr>
    </w:div>
    <w:div w:id="169637893">
      <w:bodyDiv w:val="1"/>
      <w:marLeft w:val="0"/>
      <w:marRight w:val="0"/>
      <w:marTop w:val="0"/>
      <w:marBottom w:val="0"/>
      <w:divBdr>
        <w:top w:val="none" w:sz="0" w:space="0" w:color="auto"/>
        <w:left w:val="none" w:sz="0" w:space="0" w:color="auto"/>
        <w:bottom w:val="none" w:sz="0" w:space="0" w:color="auto"/>
        <w:right w:val="none" w:sz="0" w:space="0" w:color="auto"/>
      </w:divBdr>
    </w:div>
    <w:div w:id="176576165">
      <w:bodyDiv w:val="1"/>
      <w:marLeft w:val="0"/>
      <w:marRight w:val="0"/>
      <w:marTop w:val="0"/>
      <w:marBottom w:val="0"/>
      <w:divBdr>
        <w:top w:val="none" w:sz="0" w:space="0" w:color="auto"/>
        <w:left w:val="none" w:sz="0" w:space="0" w:color="auto"/>
        <w:bottom w:val="none" w:sz="0" w:space="0" w:color="auto"/>
        <w:right w:val="none" w:sz="0" w:space="0" w:color="auto"/>
      </w:divBdr>
    </w:div>
    <w:div w:id="220604501">
      <w:bodyDiv w:val="1"/>
      <w:marLeft w:val="0"/>
      <w:marRight w:val="0"/>
      <w:marTop w:val="0"/>
      <w:marBottom w:val="0"/>
      <w:divBdr>
        <w:top w:val="none" w:sz="0" w:space="0" w:color="auto"/>
        <w:left w:val="none" w:sz="0" w:space="0" w:color="auto"/>
        <w:bottom w:val="none" w:sz="0" w:space="0" w:color="auto"/>
        <w:right w:val="none" w:sz="0" w:space="0" w:color="auto"/>
      </w:divBdr>
    </w:div>
    <w:div w:id="226574453">
      <w:bodyDiv w:val="1"/>
      <w:marLeft w:val="0"/>
      <w:marRight w:val="0"/>
      <w:marTop w:val="0"/>
      <w:marBottom w:val="0"/>
      <w:divBdr>
        <w:top w:val="none" w:sz="0" w:space="0" w:color="auto"/>
        <w:left w:val="none" w:sz="0" w:space="0" w:color="auto"/>
        <w:bottom w:val="none" w:sz="0" w:space="0" w:color="auto"/>
        <w:right w:val="none" w:sz="0" w:space="0" w:color="auto"/>
      </w:divBdr>
    </w:div>
    <w:div w:id="226918337">
      <w:bodyDiv w:val="1"/>
      <w:marLeft w:val="0"/>
      <w:marRight w:val="0"/>
      <w:marTop w:val="0"/>
      <w:marBottom w:val="0"/>
      <w:divBdr>
        <w:top w:val="none" w:sz="0" w:space="0" w:color="auto"/>
        <w:left w:val="none" w:sz="0" w:space="0" w:color="auto"/>
        <w:bottom w:val="none" w:sz="0" w:space="0" w:color="auto"/>
        <w:right w:val="none" w:sz="0" w:space="0" w:color="auto"/>
      </w:divBdr>
    </w:div>
    <w:div w:id="273251316">
      <w:bodyDiv w:val="1"/>
      <w:marLeft w:val="0"/>
      <w:marRight w:val="0"/>
      <w:marTop w:val="0"/>
      <w:marBottom w:val="0"/>
      <w:divBdr>
        <w:top w:val="none" w:sz="0" w:space="0" w:color="auto"/>
        <w:left w:val="none" w:sz="0" w:space="0" w:color="auto"/>
        <w:bottom w:val="none" w:sz="0" w:space="0" w:color="auto"/>
        <w:right w:val="none" w:sz="0" w:space="0" w:color="auto"/>
      </w:divBdr>
    </w:div>
    <w:div w:id="282465733">
      <w:bodyDiv w:val="1"/>
      <w:marLeft w:val="0"/>
      <w:marRight w:val="0"/>
      <w:marTop w:val="0"/>
      <w:marBottom w:val="0"/>
      <w:divBdr>
        <w:top w:val="none" w:sz="0" w:space="0" w:color="auto"/>
        <w:left w:val="none" w:sz="0" w:space="0" w:color="auto"/>
        <w:bottom w:val="none" w:sz="0" w:space="0" w:color="auto"/>
        <w:right w:val="none" w:sz="0" w:space="0" w:color="auto"/>
      </w:divBdr>
    </w:div>
    <w:div w:id="301227923">
      <w:bodyDiv w:val="1"/>
      <w:marLeft w:val="0"/>
      <w:marRight w:val="0"/>
      <w:marTop w:val="0"/>
      <w:marBottom w:val="0"/>
      <w:divBdr>
        <w:top w:val="none" w:sz="0" w:space="0" w:color="auto"/>
        <w:left w:val="none" w:sz="0" w:space="0" w:color="auto"/>
        <w:bottom w:val="none" w:sz="0" w:space="0" w:color="auto"/>
        <w:right w:val="none" w:sz="0" w:space="0" w:color="auto"/>
      </w:divBdr>
      <w:divsChild>
        <w:div w:id="1612544356">
          <w:marLeft w:val="0"/>
          <w:marRight w:val="0"/>
          <w:marTop w:val="0"/>
          <w:marBottom w:val="0"/>
          <w:divBdr>
            <w:top w:val="none" w:sz="0" w:space="0" w:color="auto"/>
            <w:left w:val="none" w:sz="0" w:space="0" w:color="auto"/>
            <w:bottom w:val="none" w:sz="0" w:space="0" w:color="auto"/>
            <w:right w:val="none" w:sz="0" w:space="0" w:color="auto"/>
          </w:divBdr>
        </w:div>
      </w:divsChild>
    </w:div>
    <w:div w:id="309291680">
      <w:bodyDiv w:val="1"/>
      <w:marLeft w:val="0"/>
      <w:marRight w:val="0"/>
      <w:marTop w:val="0"/>
      <w:marBottom w:val="0"/>
      <w:divBdr>
        <w:top w:val="none" w:sz="0" w:space="0" w:color="auto"/>
        <w:left w:val="none" w:sz="0" w:space="0" w:color="auto"/>
        <w:bottom w:val="none" w:sz="0" w:space="0" w:color="auto"/>
        <w:right w:val="none" w:sz="0" w:space="0" w:color="auto"/>
      </w:divBdr>
    </w:div>
    <w:div w:id="311836064">
      <w:bodyDiv w:val="1"/>
      <w:marLeft w:val="0"/>
      <w:marRight w:val="0"/>
      <w:marTop w:val="0"/>
      <w:marBottom w:val="0"/>
      <w:divBdr>
        <w:top w:val="none" w:sz="0" w:space="0" w:color="auto"/>
        <w:left w:val="none" w:sz="0" w:space="0" w:color="auto"/>
        <w:bottom w:val="none" w:sz="0" w:space="0" w:color="auto"/>
        <w:right w:val="none" w:sz="0" w:space="0" w:color="auto"/>
      </w:divBdr>
    </w:div>
    <w:div w:id="314183985">
      <w:bodyDiv w:val="1"/>
      <w:marLeft w:val="0"/>
      <w:marRight w:val="0"/>
      <w:marTop w:val="0"/>
      <w:marBottom w:val="0"/>
      <w:divBdr>
        <w:top w:val="none" w:sz="0" w:space="0" w:color="auto"/>
        <w:left w:val="none" w:sz="0" w:space="0" w:color="auto"/>
        <w:bottom w:val="none" w:sz="0" w:space="0" w:color="auto"/>
        <w:right w:val="none" w:sz="0" w:space="0" w:color="auto"/>
      </w:divBdr>
    </w:div>
    <w:div w:id="318002563">
      <w:bodyDiv w:val="1"/>
      <w:marLeft w:val="0"/>
      <w:marRight w:val="0"/>
      <w:marTop w:val="0"/>
      <w:marBottom w:val="0"/>
      <w:divBdr>
        <w:top w:val="none" w:sz="0" w:space="0" w:color="auto"/>
        <w:left w:val="none" w:sz="0" w:space="0" w:color="auto"/>
        <w:bottom w:val="none" w:sz="0" w:space="0" w:color="auto"/>
        <w:right w:val="none" w:sz="0" w:space="0" w:color="auto"/>
      </w:divBdr>
    </w:div>
    <w:div w:id="358432905">
      <w:bodyDiv w:val="1"/>
      <w:marLeft w:val="0"/>
      <w:marRight w:val="0"/>
      <w:marTop w:val="0"/>
      <w:marBottom w:val="0"/>
      <w:divBdr>
        <w:top w:val="none" w:sz="0" w:space="0" w:color="auto"/>
        <w:left w:val="none" w:sz="0" w:space="0" w:color="auto"/>
        <w:bottom w:val="none" w:sz="0" w:space="0" w:color="auto"/>
        <w:right w:val="none" w:sz="0" w:space="0" w:color="auto"/>
      </w:divBdr>
    </w:div>
    <w:div w:id="385642601">
      <w:bodyDiv w:val="1"/>
      <w:marLeft w:val="0"/>
      <w:marRight w:val="0"/>
      <w:marTop w:val="0"/>
      <w:marBottom w:val="0"/>
      <w:divBdr>
        <w:top w:val="none" w:sz="0" w:space="0" w:color="auto"/>
        <w:left w:val="none" w:sz="0" w:space="0" w:color="auto"/>
        <w:bottom w:val="none" w:sz="0" w:space="0" w:color="auto"/>
        <w:right w:val="none" w:sz="0" w:space="0" w:color="auto"/>
      </w:divBdr>
    </w:div>
    <w:div w:id="389309600">
      <w:bodyDiv w:val="1"/>
      <w:marLeft w:val="0"/>
      <w:marRight w:val="0"/>
      <w:marTop w:val="0"/>
      <w:marBottom w:val="0"/>
      <w:divBdr>
        <w:top w:val="none" w:sz="0" w:space="0" w:color="auto"/>
        <w:left w:val="none" w:sz="0" w:space="0" w:color="auto"/>
        <w:bottom w:val="none" w:sz="0" w:space="0" w:color="auto"/>
        <w:right w:val="none" w:sz="0" w:space="0" w:color="auto"/>
      </w:divBdr>
    </w:div>
    <w:div w:id="394209048">
      <w:bodyDiv w:val="1"/>
      <w:marLeft w:val="0"/>
      <w:marRight w:val="0"/>
      <w:marTop w:val="0"/>
      <w:marBottom w:val="0"/>
      <w:divBdr>
        <w:top w:val="none" w:sz="0" w:space="0" w:color="auto"/>
        <w:left w:val="none" w:sz="0" w:space="0" w:color="auto"/>
        <w:bottom w:val="none" w:sz="0" w:space="0" w:color="auto"/>
        <w:right w:val="none" w:sz="0" w:space="0" w:color="auto"/>
      </w:divBdr>
    </w:div>
    <w:div w:id="421225385">
      <w:bodyDiv w:val="1"/>
      <w:marLeft w:val="0"/>
      <w:marRight w:val="0"/>
      <w:marTop w:val="0"/>
      <w:marBottom w:val="0"/>
      <w:divBdr>
        <w:top w:val="none" w:sz="0" w:space="0" w:color="auto"/>
        <w:left w:val="none" w:sz="0" w:space="0" w:color="auto"/>
        <w:bottom w:val="none" w:sz="0" w:space="0" w:color="auto"/>
        <w:right w:val="none" w:sz="0" w:space="0" w:color="auto"/>
      </w:divBdr>
    </w:div>
    <w:div w:id="422385547">
      <w:bodyDiv w:val="1"/>
      <w:marLeft w:val="0"/>
      <w:marRight w:val="0"/>
      <w:marTop w:val="0"/>
      <w:marBottom w:val="0"/>
      <w:divBdr>
        <w:top w:val="none" w:sz="0" w:space="0" w:color="auto"/>
        <w:left w:val="none" w:sz="0" w:space="0" w:color="auto"/>
        <w:bottom w:val="none" w:sz="0" w:space="0" w:color="auto"/>
        <w:right w:val="none" w:sz="0" w:space="0" w:color="auto"/>
      </w:divBdr>
    </w:div>
    <w:div w:id="432676659">
      <w:bodyDiv w:val="1"/>
      <w:marLeft w:val="0"/>
      <w:marRight w:val="0"/>
      <w:marTop w:val="0"/>
      <w:marBottom w:val="0"/>
      <w:divBdr>
        <w:top w:val="none" w:sz="0" w:space="0" w:color="auto"/>
        <w:left w:val="none" w:sz="0" w:space="0" w:color="auto"/>
        <w:bottom w:val="none" w:sz="0" w:space="0" w:color="auto"/>
        <w:right w:val="none" w:sz="0" w:space="0" w:color="auto"/>
      </w:divBdr>
    </w:div>
    <w:div w:id="439953399">
      <w:bodyDiv w:val="1"/>
      <w:marLeft w:val="0"/>
      <w:marRight w:val="0"/>
      <w:marTop w:val="0"/>
      <w:marBottom w:val="0"/>
      <w:divBdr>
        <w:top w:val="none" w:sz="0" w:space="0" w:color="auto"/>
        <w:left w:val="none" w:sz="0" w:space="0" w:color="auto"/>
        <w:bottom w:val="none" w:sz="0" w:space="0" w:color="auto"/>
        <w:right w:val="none" w:sz="0" w:space="0" w:color="auto"/>
      </w:divBdr>
    </w:div>
    <w:div w:id="440493448">
      <w:bodyDiv w:val="1"/>
      <w:marLeft w:val="0"/>
      <w:marRight w:val="0"/>
      <w:marTop w:val="0"/>
      <w:marBottom w:val="0"/>
      <w:divBdr>
        <w:top w:val="none" w:sz="0" w:space="0" w:color="auto"/>
        <w:left w:val="none" w:sz="0" w:space="0" w:color="auto"/>
        <w:bottom w:val="none" w:sz="0" w:space="0" w:color="auto"/>
        <w:right w:val="none" w:sz="0" w:space="0" w:color="auto"/>
      </w:divBdr>
      <w:divsChild>
        <w:div w:id="1881238236">
          <w:marLeft w:val="0"/>
          <w:marRight w:val="0"/>
          <w:marTop w:val="0"/>
          <w:marBottom w:val="0"/>
          <w:divBdr>
            <w:top w:val="none" w:sz="0" w:space="0" w:color="auto"/>
            <w:left w:val="none" w:sz="0" w:space="0" w:color="auto"/>
            <w:bottom w:val="none" w:sz="0" w:space="0" w:color="auto"/>
            <w:right w:val="none" w:sz="0" w:space="0" w:color="auto"/>
          </w:divBdr>
        </w:div>
      </w:divsChild>
    </w:div>
    <w:div w:id="448623313">
      <w:bodyDiv w:val="1"/>
      <w:marLeft w:val="0"/>
      <w:marRight w:val="0"/>
      <w:marTop w:val="0"/>
      <w:marBottom w:val="0"/>
      <w:divBdr>
        <w:top w:val="none" w:sz="0" w:space="0" w:color="auto"/>
        <w:left w:val="none" w:sz="0" w:space="0" w:color="auto"/>
        <w:bottom w:val="none" w:sz="0" w:space="0" w:color="auto"/>
        <w:right w:val="none" w:sz="0" w:space="0" w:color="auto"/>
      </w:divBdr>
    </w:div>
    <w:div w:id="454493747">
      <w:bodyDiv w:val="1"/>
      <w:marLeft w:val="0"/>
      <w:marRight w:val="0"/>
      <w:marTop w:val="0"/>
      <w:marBottom w:val="0"/>
      <w:divBdr>
        <w:top w:val="none" w:sz="0" w:space="0" w:color="auto"/>
        <w:left w:val="none" w:sz="0" w:space="0" w:color="auto"/>
        <w:bottom w:val="none" w:sz="0" w:space="0" w:color="auto"/>
        <w:right w:val="none" w:sz="0" w:space="0" w:color="auto"/>
      </w:divBdr>
    </w:div>
    <w:div w:id="477652110">
      <w:bodyDiv w:val="1"/>
      <w:marLeft w:val="0"/>
      <w:marRight w:val="0"/>
      <w:marTop w:val="0"/>
      <w:marBottom w:val="0"/>
      <w:divBdr>
        <w:top w:val="none" w:sz="0" w:space="0" w:color="auto"/>
        <w:left w:val="none" w:sz="0" w:space="0" w:color="auto"/>
        <w:bottom w:val="none" w:sz="0" w:space="0" w:color="auto"/>
        <w:right w:val="none" w:sz="0" w:space="0" w:color="auto"/>
      </w:divBdr>
    </w:div>
    <w:div w:id="492912837">
      <w:bodyDiv w:val="1"/>
      <w:marLeft w:val="0"/>
      <w:marRight w:val="0"/>
      <w:marTop w:val="0"/>
      <w:marBottom w:val="0"/>
      <w:divBdr>
        <w:top w:val="none" w:sz="0" w:space="0" w:color="auto"/>
        <w:left w:val="none" w:sz="0" w:space="0" w:color="auto"/>
        <w:bottom w:val="none" w:sz="0" w:space="0" w:color="auto"/>
        <w:right w:val="none" w:sz="0" w:space="0" w:color="auto"/>
      </w:divBdr>
    </w:div>
    <w:div w:id="501044471">
      <w:bodyDiv w:val="1"/>
      <w:marLeft w:val="0"/>
      <w:marRight w:val="0"/>
      <w:marTop w:val="0"/>
      <w:marBottom w:val="0"/>
      <w:divBdr>
        <w:top w:val="none" w:sz="0" w:space="0" w:color="auto"/>
        <w:left w:val="none" w:sz="0" w:space="0" w:color="auto"/>
        <w:bottom w:val="none" w:sz="0" w:space="0" w:color="auto"/>
        <w:right w:val="none" w:sz="0" w:space="0" w:color="auto"/>
      </w:divBdr>
    </w:div>
    <w:div w:id="506485775">
      <w:bodyDiv w:val="1"/>
      <w:marLeft w:val="0"/>
      <w:marRight w:val="0"/>
      <w:marTop w:val="0"/>
      <w:marBottom w:val="0"/>
      <w:divBdr>
        <w:top w:val="none" w:sz="0" w:space="0" w:color="auto"/>
        <w:left w:val="none" w:sz="0" w:space="0" w:color="auto"/>
        <w:bottom w:val="none" w:sz="0" w:space="0" w:color="auto"/>
        <w:right w:val="none" w:sz="0" w:space="0" w:color="auto"/>
      </w:divBdr>
    </w:div>
    <w:div w:id="520120846">
      <w:bodyDiv w:val="1"/>
      <w:marLeft w:val="0"/>
      <w:marRight w:val="0"/>
      <w:marTop w:val="0"/>
      <w:marBottom w:val="0"/>
      <w:divBdr>
        <w:top w:val="none" w:sz="0" w:space="0" w:color="auto"/>
        <w:left w:val="none" w:sz="0" w:space="0" w:color="auto"/>
        <w:bottom w:val="none" w:sz="0" w:space="0" w:color="auto"/>
        <w:right w:val="none" w:sz="0" w:space="0" w:color="auto"/>
      </w:divBdr>
    </w:div>
    <w:div w:id="527837708">
      <w:bodyDiv w:val="1"/>
      <w:marLeft w:val="0"/>
      <w:marRight w:val="0"/>
      <w:marTop w:val="0"/>
      <w:marBottom w:val="0"/>
      <w:divBdr>
        <w:top w:val="none" w:sz="0" w:space="0" w:color="auto"/>
        <w:left w:val="none" w:sz="0" w:space="0" w:color="auto"/>
        <w:bottom w:val="none" w:sz="0" w:space="0" w:color="auto"/>
        <w:right w:val="none" w:sz="0" w:space="0" w:color="auto"/>
      </w:divBdr>
    </w:div>
    <w:div w:id="546140386">
      <w:bodyDiv w:val="1"/>
      <w:marLeft w:val="0"/>
      <w:marRight w:val="0"/>
      <w:marTop w:val="0"/>
      <w:marBottom w:val="0"/>
      <w:divBdr>
        <w:top w:val="none" w:sz="0" w:space="0" w:color="auto"/>
        <w:left w:val="none" w:sz="0" w:space="0" w:color="auto"/>
        <w:bottom w:val="none" w:sz="0" w:space="0" w:color="auto"/>
        <w:right w:val="none" w:sz="0" w:space="0" w:color="auto"/>
      </w:divBdr>
    </w:div>
    <w:div w:id="569656554">
      <w:bodyDiv w:val="1"/>
      <w:marLeft w:val="0"/>
      <w:marRight w:val="0"/>
      <w:marTop w:val="0"/>
      <w:marBottom w:val="0"/>
      <w:divBdr>
        <w:top w:val="none" w:sz="0" w:space="0" w:color="auto"/>
        <w:left w:val="none" w:sz="0" w:space="0" w:color="auto"/>
        <w:bottom w:val="none" w:sz="0" w:space="0" w:color="auto"/>
        <w:right w:val="none" w:sz="0" w:space="0" w:color="auto"/>
      </w:divBdr>
    </w:div>
    <w:div w:id="571742044">
      <w:bodyDiv w:val="1"/>
      <w:marLeft w:val="0"/>
      <w:marRight w:val="0"/>
      <w:marTop w:val="0"/>
      <w:marBottom w:val="0"/>
      <w:divBdr>
        <w:top w:val="none" w:sz="0" w:space="0" w:color="auto"/>
        <w:left w:val="none" w:sz="0" w:space="0" w:color="auto"/>
        <w:bottom w:val="none" w:sz="0" w:space="0" w:color="auto"/>
        <w:right w:val="none" w:sz="0" w:space="0" w:color="auto"/>
      </w:divBdr>
      <w:divsChild>
        <w:div w:id="728382232">
          <w:marLeft w:val="547"/>
          <w:marRight w:val="0"/>
          <w:marTop w:val="0"/>
          <w:marBottom w:val="0"/>
          <w:divBdr>
            <w:top w:val="none" w:sz="0" w:space="0" w:color="auto"/>
            <w:left w:val="none" w:sz="0" w:space="0" w:color="auto"/>
            <w:bottom w:val="none" w:sz="0" w:space="0" w:color="auto"/>
            <w:right w:val="none" w:sz="0" w:space="0" w:color="auto"/>
          </w:divBdr>
        </w:div>
      </w:divsChild>
    </w:div>
    <w:div w:id="621420535">
      <w:bodyDiv w:val="1"/>
      <w:marLeft w:val="0"/>
      <w:marRight w:val="0"/>
      <w:marTop w:val="0"/>
      <w:marBottom w:val="0"/>
      <w:divBdr>
        <w:top w:val="none" w:sz="0" w:space="0" w:color="auto"/>
        <w:left w:val="none" w:sz="0" w:space="0" w:color="auto"/>
        <w:bottom w:val="none" w:sz="0" w:space="0" w:color="auto"/>
        <w:right w:val="none" w:sz="0" w:space="0" w:color="auto"/>
      </w:divBdr>
    </w:div>
    <w:div w:id="632364739">
      <w:bodyDiv w:val="1"/>
      <w:marLeft w:val="0"/>
      <w:marRight w:val="0"/>
      <w:marTop w:val="0"/>
      <w:marBottom w:val="0"/>
      <w:divBdr>
        <w:top w:val="none" w:sz="0" w:space="0" w:color="auto"/>
        <w:left w:val="none" w:sz="0" w:space="0" w:color="auto"/>
        <w:bottom w:val="none" w:sz="0" w:space="0" w:color="auto"/>
        <w:right w:val="none" w:sz="0" w:space="0" w:color="auto"/>
      </w:divBdr>
    </w:div>
    <w:div w:id="637954705">
      <w:bodyDiv w:val="1"/>
      <w:marLeft w:val="0"/>
      <w:marRight w:val="0"/>
      <w:marTop w:val="0"/>
      <w:marBottom w:val="0"/>
      <w:divBdr>
        <w:top w:val="none" w:sz="0" w:space="0" w:color="auto"/>
        <w:left w:val="none" w:sz="0" w:space="0" w:color="auto"/>
        <w:bottom w:val="none" w:sz="0" w:space="0" w:color="auto"/>
        <w:right w:val="none" w:sz="0" w:space="0" w:color="auto"/>
      </w:divBdr>
    </w:div>
    <w:div w:id="638925827">
      <w:bodyDiv w:val="1"/>
      <w:marLeft w:val="0"/>
      <w:marRight w:val="0"/>
      <w:marTop w:val="0"/>
      <w:marBottom w:val="0"/>
      <w:divBdr>
        <w:top w:val="none" w:sz="0" w:space="0" w:color="auto"/>
        <w:left w:val="none" w:sz="0" w:space="0" w:color="auto"/>
        <w:bottom w:val="none" w:sz="0" w:space="0" w:color="auto"/>
        <w:right w:val="none" w:sz="0" w:space="0" w:color="auto"/>
      </w:divBdr>
    </w:div>
    <w:div w:id="641347913">
      <w:bodyDiv w:val="1"/>
      <w:marLeft w:val="0"/>
      <w:marRight w:val="0"/>
      <w:marTop w:val="0"/>
      <w:marBottom w:val="0"/>
      <w:divBdr>
        <w:top w:val="none" w:sz="0" w:space="0" w:color="auto"/>
        <w:left w:val="none" w:sz="0" w:space="0" w:color="auto"/>
        <w:bottom w:val="none" w:sz="0" w:space="0" w:color="auto"/>
        <w:right w:val="none" w:sz="0" w:space="0" w:color="auto"/>
      </w:divBdr>
    </w:div>
    <w:div w:id="660888780">
      <w:bodyDiv w:val="1"/>
      <w:marLeft w:val="0"/>
      <w:marRight w:val="0"/>
      <w:marTop w:val="0"/>
      <w:marBottom w:val="0"/>
      <w:divBdr>
        <w:top w:val="none" w:sz="0" w:space="0" w:color="auto"/>
        <w:left w:val="none" w:sz="0" w:space="0" w:color="auto"/>
        <w:bottom w:val="none" w:sz="0" w:space="0" w:color="auto"/>
        <w:right w:val="none" w:sz="0" w:space="0" w:color="auto"/>
      </w:divBdr>
    </w:div>
    <w:div w:id="670721391">
      <w:bodyDiv w:val="1"/>
      <w:marLeft w:val="0"/>
      <w:marRight w:val="0"/>
      <w:marTop w:val="0"/>
      <w:marBottom w:val="0"/>
      <w:divBdr>
        <w:top w:val="none" w:sz="0" w:space="0" w:color="auto"/>
        <w:left w:val="none" w:sz="0" w:space="0" w:color="auto"/>
        <w:bottom w:val="none" w:sz="0" w:space="0" w:color="auto"/>
        <w:right w:val="none" w:sz="0" w:space="0" w:color="auto"/>
      </w:divBdr>
    </w:div>
    <w:div w:id="719549607">
      <w:bodyDiv w:val="1"/>
      <w:marLeft w:val="0"/>
      <w:marRight w:val="0"/>
      <w:marTop w:val="0"/>
      <w:marBottom w:val="0"/>
      <w:divBdr>
        <w:top w:val="none" w:sz="0" w:space="0" w:color="auto"/>
        <w:left w:val="none" w:sz="0" w:space="0" w:color="auto"/>
        <w:bottom w:val="none" w:sz="0" w:space="0" w:color="auto"/>
        <w:right w:val="none" w:sz="0" w:space="0" w:color="auto"/>
      </w:divBdr>
    </w:div>
    <w:div w:id="744305047">
      <w:bodyDiv w:val="1"/>
      <w:marLeft w:val="0"/>
      <w:marRight w:val="0"/>
      <w:marTop w:val="0"/>
      <w:marBottom w:val="0"/>
      <w:divBdr>
        <w:top w:val="none" w:sz="0" w:space="0" w:color="auto"/>
        <w:left w:val="none" w:sz="0" w:space="0" w:color="auto"/>
        <w:bottom w:val="none" w:sz="0" w:space="0" w:color="auto"/>
        <w:right w:val="none" w:sz="0" w:space="0" w:color="auto"/>
      </w:divBdr>
    </w:div>
    <w:div w:id="748424517">
      <w:bodyDiv w:val="1"/>
      <w:marLeft w:val="0"/>
      <w:marRight w:val="0"/>
      <w:marTop w:val="0"/>
      <w:marBottom w:val="0"/>
      <w:divBdr>
        <w:top w:val="none" w:sz="0" w:space="0" w:color="auto"/>
        <w:left w:val="none" w:sz="0" w:space="0" w:color="auto"/>
        <w:bottom w:val="none" w:sz="0" w:space="0" w:color="auto"/>
        <w:right w:val="none" w:sz="0" w:space="0" w:color="auto"/>
      </w:divBdr>
      <w:divsChild>
        <w:div w:id="1968730074">
          <w:marLeft w:val="547"/>
          <w:marRight w:val="0"/>
          <w:marTop w:val="0"/>
          <w:marBottom w:val="0"/>
          <w:divBdr>
            <w:top w:val="none" w:sz="0" w:space="0" w:color="auto"/>
            <w:left w:val="none" w:sz="0" w:space="0" w:color="auto"/>
            <w:bottom w:val="none" w:sz="0" w:space="0" w:color="auto"/>
            <w:right w:val="none" w:sz="0" w:space="0" w:color="auto"/>
          </w:divBdr>
        </w:div>
      </w:divsChild>
    </w:div>
    <w:div w:id="762071379">
      <w:bodyDiv w:val="1"/>
      <w:marLeft w:val="0"/>
      <w:marRight w:val="0"/>
      <w:marTop w:val="0"/>
      <w:marBottom w:val="0"/>
      <w:divBdr>
        <w:top w:val="none" w:sz="0" w:space="0" w:color="auto"/>
        <w:left w:val="none" w:sz="0" w:space="0" w:color="auto"/>
        <w:bottom w:val="none" w:sz="0" w:space="0" w:color="auto"/>
        <w:right w:val="none" w:sz="0" w:space="0" w:color="auto"/>
      </w:divBdr>
    </w:div>
    <w:div w:id="784999617">
      <w:bodyDiv w:val="1"/>
      <w:marLeft w:val="0"/>
      <w:marRight w:val="0"/>
      <w:marTop w:val="0"/>
      <w:marBottom w:val="0"/>
      <w:divBdr>
        <w:top w:val="none" w:sz="0" w:space="0" w:color="auto"/>
        <w:left w:val="none" w:sz="0" w:space="0" w:color="auto"/>
        <w:bottom w:val="none" w:sz="0" w:space="0" w:color="auto"/>
        <w:right w:val="none" w:sz="0" w:space="0" w:color="auto"/>
      </w:divBdr>
    </w:div>
    <w:div w:id="793065306">
      <w:bodyDiv w:val="1"/>
      <w:marLeft w:val="0"/>
      <w:marRight w:val="0"/>
      <w:marTop w:val="0"/>
      <w:marBottom w:val="0"/>
      <w:divBdr>
        <w:top w:val="none" w:sz="0" w:space="0" w:color="auto"/>
        <w:left w:val="none" w:sz="0" w:space="0" w:color="auto"/>
        <w:bottom w:val="none" w:sz="0" w:space="0" w:color="auto"/>
        <w:right w:val="none" w:sz="0" w:space="0" w:color="auto"/>
      </w:divBdr>
    </w:div>
    <w:div w:id="797726401">
      <w:bodyDiv w:val="1"/>
      <w:marLeft w:val="0"/>
      <w:marRight w:val="0"/>
      <w:marTop w:val="0"/>
      <w:marBottom w:val="0"/>
      <w:divBdr>
        <w:top w:val="none" w:sz="0" w:space="0" w:color="auto"/>
        <w:left w:val="none" w:sz="0" w:space="0" w:color="auto"/>
        <w:bottom w:val="none" w:sz="0" w:space="0" w:color="auto"/>
        <w:right w:val="none" w:sz="0" w:space="0" w:color="auto"/>
      </w:divBdr>
    </w:div>
    <w:div w:id="819462561">
      <w:bodyDiv w:val="1"/>
      <w:marLeft w:val="0"/>
      <w:marRight w:val="0"/>
      <w:marTop w:val="0"/>
      <w:marBottom w:val="0"/>
      <w:divBdr>
        <w:top w:val="none" w:sz="0" w:space="0" w:color="auto"/>
        <w:left w:val="none" w:sz="0" w:space="0" w:color="auto"/>
        <w:bottom w:val="none" w:sz="0" w:space="0" w:color="auto"/>
        <w:right w:val="none" w:sz="0" w:space="0" w:color="auto"/>
      </w:divBdr>
    </w:div>
    <w:div w:id="834757827">
      <w:bodyDiv w:val="1"/>
      <w:marLeft w:val="0"/>
      <w:marRight w:val="0"/>
      <w:marTop w:val="0"/>
      <w:marBottom w:val="0"/>
      <w:divBdr>
        <w:top w:val="none" w:sz="0" w:space="0" w:color="auto"/>
        <w:left w:val="none" w:sz="0" w:space="0" w:color="auto"/>
        <w:bottom w:val="none" w:sz="0" w:space="0" w:color="auto"/>
        <w:right w:val="none" w:sz="0" w:space="0" w:color="auto"/>
      </w:divBdr>
    </w:div>
    <w:div w:id="835653963">
      <w:bodyDiv w:val="1"/>
      <w:marLeft w:val="0"/>
      <w:marRight w:val="0"/>
      <w:marTop w:val="0"/>
      <w:marBottom w:val="0"/>
      <w:divBdr>
        <w:top w:val="none" w:sz="0" w:space="0" w:color="auto"/>
        <w:left w:val="none" w:sz="0" w:space="0" w:color="auto"/>
        <w:bottom w:val="none" w:sz="0" w:space="0" w:color="auto"/>
        <w:right w:val="none" w:sz="0" w:space="0" w:color="auto"/>
      </w:divBdr>
    </w:div>
    <w:div w:id="842014805">
      <w:bodyDiv w:val="1"/>
      <w:marLeft w:val="0"/>
      <w:marRight w:val="0"/>
      <w:marTop w:val="0"/>
      <w:marBottom w:val="0"/>
      <w:divBdr>
        <w:top w:val="none" w:sz="0" w:space="0" w:color="auto"/>
        <w:left w:val="none" w:sz="0" w:space="0" w:color="auto"/>
        <w:bottom w:val="none" w:sz="0" w:space="0" w:color="auto"/>
        <w:right w:val="none" w:sz="0" w:space="0" w:color="auto"/>
      </w:divBdr>
      <w:divsChild>
        <w:div w:id="1796678426">
          <w:marLeft w:val="547"/>
          <w:marRight w:val="0"/>
          <w:marTop w:val="0"/>
          <w:marBottom w:val="0"/>
          <w:divBdr>
            <w:top w:val="none" w:sz="0" w:space="0" w:color="auto"/>
            <w:left w:val="none" w:sz="0" w:space="0" w:color="auto"/>
            <w:bottom w:val="none" w:sz="0" w:space="0" w:color="auto"/>
            <w:right w:val="none" w:sz="0" w:space="0" w:color="auto"/>
          </w:divBdr>
        </w:div>
      </w:divsChild>
    </w:div>
    <w:div w:id="846478639">
      <w:bodyDiv w:val="1"/>
      <w:marLeft w:val="0"/>
      <w:marRight w:val="0"/>
      <w:marTop w:val="0"/>
      <w:marBottom w:val="0"/>
      <w:divBdr>
        <w:top w:val="none" w:sz="0" w:space="0" w:color="auto"/>
        <w:left w:val="none" w:sz="0" w:space="0" w:color="auto"/>
        <w:bottom w:val="none" w:sz="0" w:space="0" w:color="auto"/>
        <w:right w:val="none" w:sz="0" w:space="0" w:color="auto"/>
      </w:divBdr>
    </w:div>
    <w:div w:id="849611449">
      <w:bodyDiv w:val="1"/>
      <w:marLeft w:val="0"/>
      <w:marRight w:val="0"/>
      <w:marTop w:val="0"/>
      <w:marBottom w:val="0"/>
      <w:divBdr>
        <w:top w:val="none" w:sz="0" w:space="0" w:color="auto"/>
        <w:left w:val="none" w:sz="0" w:space="0" w:color="auto"/>
        <w:bottom w:val="none" w:sz="0" w:space="0" w:color="auto"/>
        <w:right w:val="none" w:sz="0" w:space="0" w:color="auto"/>
      </w:divBdr>
    </w:div>
    <w:div w:id="857700620">
      <w:bodyDiv w:val="1"/>
      <w:marLeft w:val="0"/>
      <w:marRight w:val="0"/>
      <w:marTop w:val="0"/>
      <w:marBottom w:val="0"/>
      <w:divBdr>
        <w:top w:val="none" w:sz="0" w:space="0" w:color="auto"/>
        <w:left w:val="none" w:sz="0" w:space="0" w:color="auto"/>
        <w:bottom w:val="none" w:sz="0" w:space="0" w:color="auto"/>
        <w:right w:val="none" w:sz="0" w:space="0" w:color="auto"/>
      </w:divBdr>
    </w:div>
    <w:div w:id="906185090">
      <w:bodyDiv w:val="1"/>
      <w:marLeft w:val="0"/>
      <w:marRight w:val="0"/>
      <w:marTop w:val="0"/>
      <w:marBottom w:val="0"/>
      <w:divBdr>
        <w:top w:val="none" w:sz="0" w:space="0" w:color="auto"/>
        <w:left w:val="none" w:sz="0" w:space="0" w:color="auto"/>
        <w:bottom w:val="none" w:sz="0" w:space="0" w:color="auto"/>
        <w:right w:val="none" w:sz="0" w:space="0" w:color="auto"/>
      </w:divBdr>
    </w:div>
    <w:div w:id="934554843">
      <w:bodyDiv w:val="1"/>
      <w:marLeft w:val="0"/>
      <w:marRight w:val="0"/>
      <w:marTop w:val="0"/>
      <w:marBottom w:val="0"/>
      <w:divBdr>
        <w:top w:val="none" w:sz="0" w:space="0" w:color="auto"/>
        <w:left w:val="none" w:sz="0" w:space="0" w:color="auto"/>
        <w:bottom w:val="none" w:sz="0" w:space="0" w:color="auto"/>
        <w:right w:val="none" w:sz="0" w:space="0" w:color="auto"/>
      </w:divBdr>
    </w:div>
    <w:div w:id="936524872">
      <w:bodyDiv w:val="1"/>
      <w:marLeft w:val="0"/>
      <w:marRight w:val="0"/>
      <w:marTop w:val="0"/>
      <w:marBottom w:val="0"/>
      <w:divBdr>
        <w:top w:val="none" w:sz="0" w:space="0" w:color="auto"/>
        <w:left w:val="none" w:sz="0" w:space="0" w:color="auto"/>
        <w:bottom w:val="none" w:sz="0" w:space="0" w:color="auto"/>
        <w:right w:val="none" w:sz="0" w:space="0" w:color="auto"/>
      </w:divBdr>
    </w:div>
    <w:div w:id="983586256">
      <w:bodyDiv w:val="1"/>
      <w:marLeft w:val="0"/>
      <w:marRight w:val="0"/>
      <w:marTop w:val="0"/>
      <w:marBottom w:val="0"/>
      <w:divBdr>
        <w:top w:val="none" w:sz="0" w:space="0" w:color="auto"/>
        <w:left w:val="none" w:sz="0" w:space="0" w:color="auto"/>
        <w:bottom w:val="none" w:sz="0" w:space="0" w:color="auto"/>
        <w:right w:val="none" w:sz="0" w:space="0" w:color="auto"/>
      </w:divBdr>
    </w:div>
    <w:div w:id="986982295">
      <w:bodyDiv w:val="1"/>
      <w:marLeft w:val="0"/>
      <w:marRight w:val="0"/>
      <w:marTop w:val="0"/>
      <w:marBottom w:val="0"/>
      <w:divBdr>
        <w:top w:val="none" w:sz="0" w:space="0" w:color="auto"/>
        <w:left w:val="none" w:sz="0" w:space="0" w:color="auto"/>
        <w:bottom w:val="none" w:sz="0" w:space="0" w:color="auto"/>
        <w:right w:val="none" w:sz="0" w:space="0" w:color="auto"/>
      </w:divBdr>
      <w:divsChild>
        <w:div w:id="252399346">
          <w:marLeft w:val="0"/>
          <w:marRight w:val="0"/>
          <w:marTop w:val="0"/>
          <w:marBottom w:val="0"/>
          <w:divBdr>
            <w:top w:val="none" w:sz="0" w:space="0" w:color="auto"/>
            <w:left w:val="none" w:sz="0" w:space="0" w:color="auto"/>
            <w:bottom w:val="none" w:sz="0" w:space="0" w:color="auto"/>
            <w:right w:val="none" w:sz="0" w:space="0" w:color="auto"/>
          </w:divBdr>
        </w:div>
      </w:divsChild>
    </w:div>
    <w:div w:id="987897930">
      <w:bodyDiv w:val="1"/>
      <w:marLeft w:val="0"/>
      <w:marRight w:val="0"/>
      <w:marTop w:val="0"/>
      <w:marBottom w:val="0"/>
      <w:divBdr>
        <w:top w:val="none" w:sz="0" w:space="0" w:color="auto"/>
        <w:left w:val="none" w:sz="0" w:space="0" w:color="auto"/>
        <w:bottom w:val="none" w:sz="0" w:space="0" w:color="auto"/>
        <w:right w:val="none" w:sz="0" w:space="0" w:color="auto"/>
      </w:divBdr>
    </w:div>
    <w:div w:id="1020012000">
      <w:bodyDiv w:val="1"/>
      <w:marLeft w:val="0"/>
      <w:marRight w:val="0"/>
      <w:marTop w:val="0"/>
      <w:marBottom w:val="0"/>
      <w:divBdr>
        <w:top w:val="none" w:sz="0" w:space="0" w:color="auto"/>
        <w:left w:val="none" w:sz="0" w:space="0" w:color="auto"/>
        <w:bottom w:val="none" w:sz="0" w:space="0" w:color="auto"/>
        <w:right w:val="none" w:sz="0" w:space="0" w:color="auto"/>
      </w:divBdr>
    </w:div>
    <w:div w:id="1030302079">
      <w:bodyDiv w:val="1"/>
      <w:marLeft w:val="0"/>
      <w:marRight w:val="0"/>
      <w:marTop w:val="0"/>
      <w:marBottom w:val="0"/>
      <w:divBdr>
        <w:top w:val="none" w:sz="0" w:space="0" w:color="auto"/>
        <w:left w:val="none" w:sz="0" w:space="0" w:color="auto"/>
        <w:bottom w:val="none" w:sz="0" w:space="0" w:color="auto"/>
        <w:right w:val="none" w:sz="0" w:space="0" w:color="auto"/>
      </w:divBdr>
    </w:div>
    <w:div w:id="1044596544">
      <w:bodyDiv w:val="1"/>
      <w:marLeft w:val="0"/>
      <w:marRight w:val="0"/>
      <w:marTop w:val="0"/>
      <w:marBottom w:val="0"/>
      <w:divBdr>
        <w:top w:val="none" w:sz="0" w:space="0" w:color="auto"/>
        <w:left w:val="none" w:sz="0" w:space="0" w:color="auto"/>
        <w:bottom w:val="none" w:sz="0" w:space="0" w:color="auto"/>
        <w:right w:val="none" w:sz="0" w:space="0" w:color="auto"/>
      </w:divBdr>
    </w:div>
    <w:div w:id="1060397552">
      <w:bodyDiv w:val="1"/>
      <w:marLeft w:val="0"/>
      <w:marRight w:val="0"/>
      <w:marTop w:val="0"/>
      <w:marBottom w:val="0"/>
      <w:divBdr>
        <w:top w:val="none" w:sz="0" w:space="0" w:color="auto"/>
        <w:left w:val="none" w:sz="0" w:space="0" w:color="auto"/>
        <w:bottom w:val="none" w:sz="0" w:space="0" w:color="auto"/>
        <w:right w:val="none" w:sz="0" w:space="0" w:color="auto"/>
      </w:divBdr>
    </w:div>
    <w:div w:id="1079210738">
      <w:bodyDiv w:val="1"/>
      <w:marLeft w:val="0"/>
      <w:marRight w:val="0"/>
      <w:marTop w:val="0"/>
      <w:marBottom w:val="0"/>
      <w:divBdr>
        <w:top w:val="none" w:sz="0" w:space="0" w:color="auto"/>
        <w:left w:val="none" w:sz="0" w:space="0" w:color="auto"/>
        <w:bottom w:val="none" w:sz="0" w:space="0" w:color="auto"/>
        <w:right w:val="none" w:sz="0" w:space="0" w:color="auto"/>
      </w:divBdr>
    </w:div>
    <w:div w:id="1080103827">
      <w:bodyDiv w:val="1"/>
      <w:marLeft w:val="0"/>
      <w:marRight w:val="0"/>
      <w:marTop w:val="0"/>
      <w:marBottom w:val="0"/>
      <w:divBdr>
        <w:top w:val="none" w:sz="0" w:space="0" w:color="auto"/>
        <w:left w:val="none" w:sz="0" w:space="0" w:color="auto"/>
        <w:bottom w:val="none" w:sz="0" w:space="0" w:color="auto"/>
        <w:right w:val="none" w:sz="0" w:space="0" w:color="auto"/>
      </w:divBdr>
    </w:div>
    <w:div w:id="1092319454">
      <w:bodyDiv w:val="1"/>
      <w:marLeft w:val="0"/>
      <w:marRight w:val="0"/>
      <w:marTop w:val="0"/>
      <w:marBottom w:val="0"/>
      <w:divBdr>
        <w:top w:val="none" w:sz="0" w:space="0" w:color="auto"/>
        <w:left w:val="none" w:sz="0" w:space="0" w:color="auto"/>
        <w:bottom w:val="none" w:sz="0" w:space="0" w:color="auto"/>
        <w:right w:val="none" w:sz="0" w:space="0" w:color="auto"/>
      </w:divBdr>
    </w:div>
    <w:div w:id="1097597295">
      <w:bodyDiv w:val="1"/>
      <w:marLeft w:val="0"/>
      <w:marRight w:val="0"/>
      <w:marTop w:val="0"/>
      <w:marBottom w:val="0"/>
      <w:divBdr>
        <w:top w:val="none" w:sz="0" w:space="0" w:color="auto"/>
        <w:left w:val="none" w:sz="0" w:space="0" w:color="auto"/>
        <w:bottom w:val="none" w:sz="0" w:space="0" w:color="auto"/>
        <w:right w:val="none" w:sz="0" w:space="0" w:color="auto"/>
      </w:divBdr>
    </w:div>
    <w:div w:id="1104960922">
      <w:bodyDiv w:val="1"/>
      <w:marLeft w:val="0"/>
      <w:marRight w:val="0"/>
      <w:marTop w:val="0"/>
      <w:marBottom w:val="0"/>
      <w:divBdr>
        <w:top w:val="none" w:sz="0" w:space="0" w:color="auto"/>
        <w:left w:val="none" w:sz="0" w:space="0" w:color="auto"/>
        <w:bottom w:val="none" w:sz="0" w:space="0" w:color="auto"/>
        <w:right w:val="none" w:sz="0" w:space="0" w:color="auto"/>
      </w:divBdr>
      <w:divsChild>
        <w:div w:id="19357942">
          <w:marLeft w:val="0"/>
          <w:marRight w:val="0"/>
          <w:marTop w:val="0"/>
          <w:marBottom w:val="0"/>
          <w:divBdr>
            <w:top w:val="none" w:sz="0" w:space="0" w:color="auto"/>
            <w:left w:val="none" w:sz="0" w:space="0" w:color="auto"/>
            <w:bottom w:val="none" w:sz="0" w:space="0" w:color="auto"/>
            <w:right w:val="none" w:sz="0" w:space="0" w:color="auto"/>
          </w:divBdr>
        </w:div>
        <w:div w:id="1947999339">
          <w:marLeft w:val="0"/>
          <w:marRight w:val="0"/>
          <w:marTop w:val="0"/>
          <w:marBottom w:val="0"/>
          <w:divBdr>
            <w:top w:val="none" w:sz="0" w:space="0" w:color="auto"/>
            <w:left w:val="none" w:sz="0" w:space="0" w:color="auto"/>
            <w:bottom w:val="none" w:sz="0" w:space="0" w:color="auto"/>
            <w:right w:val="none" w:sz="0" w:space="0" w:color="auto"/>
          </w:divBdr>
        </w:div>
      </w:divsChild>
    </w:div>
    <w:div w:id="1114209455">
      <w:bodyDiv w:val="1"/>
      <w:marLeft w:val="0"/>
      <w:marRight w:val="0"/>
      <w:marTop w:val="0"/>
      <w:marBottom w:val="0"/>
      <w:divBdr>
        <w:top w:val="none" w:sz="0" w:space="0" w:color="auto"/>
        <w:left w:val="none" w:sz="0" w:space="0" w:color="auto"/>
        <w:bottom w:val="none" w:sz="0" w:space="0" w:color="auto"/>
        <w:right w:val="none" w:sz="0" w:space="0" w:color="auto"/>
      </w:divBdr>
    </w:div>
    <w:div w:id="1130365812">
      <w:bodyDiv w:val="1"/>
      <w:marLeft w:val="0"/>
      <w:marRight w:val="0"/>
      <w:marTop w:val="0"/>
      <w:marBottom w:val="0"/>
      <w:divBdr>
        <w:top w:val="none" w:sz="0" w:space="0" w:color="auto"/>
        <w:left w:val="none" w:sz="0" w:space="0" w:color="auto"/>
        <w:bottom w:val="none" w:sz="0" w:space="0" w:color="auto"/>
        <w:right w:val="none" w:sz="0" w:space="0" w:color="auto"/>
      </w:divBdr>
    </w:div>
    <w:div w:id="1134059496">
      <w:bodyDiv w:val="1"/>
      <w:marLeft w:val="0"/>
      <w:marRight w:val="0"/>
      <w:marTop w:val="0"/>
      <w:marBottom w:val="0"/>
      <w:divBdr>
        <w:top w:val="none" w:sz="0" w:space="0" w:color="auto"/>
        <w:left w:val="none" w:sz="0" w:space="0" w:color="auto"/>
        <w:bottom w:val="none" w:sz="0" w:space="0" w:color="auto"/>
        <w:right w:val="none" w:sz="0" w:space="0" w:color="auto"/>
      </w:divBdr>
    </w:div>
    <w:div w:id="1136610247">
      <w:bodyDiv w:val="1"/>
      <w:marLeft w:val="0"/>
      <w:marRight w:val="0"/>
      <w:marTop w:val="0"/>
      <w:marBottom w:val="0"/>
      <w:divBdr>
        <w:top w:val="none" w:sz="0" w:space="0" w:color="auto"/>
        <w:left w:val="none" w:sz="0" w:space="0" w:color="auto"/>
        <w:bottom w:val="none" w:sz="0" w:space="0" w:color="auto"/>
        <w:right w:val="none" w:sz="0" w:space="0" w:color="auto"/>
      </w:divBdr>
    </w:div>
    <w:div w:id="1141339608">
      <w:bodyDiv w:val="1"/>
      <w:marLeft w:val="0"/>
      <w:marRight w:val="0"/>
      <w:marTop w:val="0"/>
      <w:marBottom w:val="0"/>
      <w:divBdr>
        <w:top w:val="none" w:sz="0" w:space="0" w:color="auto"/>
        <w:left w:val="none" w:sz="0" w:space="0" w:color="auto"/>
        <w:bottom w:val="none" w:sz="0" w:space="0" w:color="auto"/>
        <w:right w:val="none" w:sz="0" w:space="0" w:color="auto"/>
      </w:divBdr>
    </w:div>
    <w:div w:id="1144926893">
      <w:bodyDiv w:val="1"/>
      <w:marLeft w:val="0"/>
      <w:marRight w:val="0"/>
      <w:marTop w:val="0"/>
      <w:marBottom w:val="0"/>
      <w:divBdr>
        <w:top w:val="none" w:sz="0" w:space="0" w:color="auto"/>
        <w:left w:val="none" w:sz="0" w:space="0" w:color="auto"/>
        <w:bottom w:val="none" w:sz="0" w:space="0" w:color="auto"/>
        <w:right w:val="none" w:sz="0" w:space="0" w:color="auto"/>
      </w:divBdr>
    </w:div>
    <w:div w:id="1165897365">
      <w:bodyDiv w:val="1"/>
      <w:marLeft w:val="0"/>
      <w:marRight w:val="0"/>
      <w:marTop w:val="0"/>
      <w:marBottom w:val="0"/>
      <w:divBdr>
        <w:top w:val="none" w:sz="0" w:space="0" w:color="auto"/>
        <w:left w:val="none" w:sz="0" w:space="0" w:color="auto"/>
        <w:bottom w:val="none" w:sz="0" w:space="0" w:color="auto"/>
        <w:right w:val="none" w:sz="0" w:space="0" w:color="auto"/>
      </w:divBdr>
    </w:div>
    <w:div w:id="1167358684">
      <w:bodyDiv w:val="1"/>
      <w:marLeft w:val="0"/>
      <w:marRight w:val="0"/>
      <w:marTop w:val="0"/>
      <w:marBottom w:val="0"/>
      <w:divBdr>
        <w:top w:val="none" w:sz="0" w:space="0" w:color="auto"/>
        <w:left w:val="none" w:sz="0" w:space="0" w:color="auto"/>
        <w:bottom w:val="none" w:sz="0" w:space="0" w:color="auto"/>
        <w:right w:val="none" w:sz="0" w:space="0" w:color="auto"/>
      </w:divBdr>
    </w:div>
    <w:div w:id="1221597372">
      <w:bodyDiv w:val="1"/>
      <w:marLeft w:val="0"/>
      <w:marRight w:val="0"/>
      <w:marTop w:val="0"/>
      <w:marBottom w:val="0"/>
      <w:divBdr>
        <w:top w:val="none" w:sz="0" w:space="0" w:color="auto"/>
        <w:left w:val="none" w:sz="0" w:space="0" w:color="auto"/>
        <w:bottom w:val="none" w:sz="0" w:space="0" w:color="auto"/>
        <w:right w:val="none" w:sz="0" w:space="0" w:color="auto"/>
      </w:divBdr>
    </w:div>
    <w:div w:id="1233353535">
      <w:bodyDiv w:val="1"/>
      <w:marLeft w:val="0"/>
      <w:marRight w:val="0"/>
      <w:marTop w:val="0"/>
      <w:marBottom w:val="0"/>
      <w:divBdr>
        <w:top w:val="none" w:sz="0" w:space="0" w:color="auto"/>
        <w:left w:val="none" w:sz="0" w:space="0" w:color="auto"/>
        <w:bottom w:val="none" w:sz="0" w:space="0" w:color="auto"/>
        <w:right w:val="none" w:sz="0" w:space="0" w:color="auto"/>
      </w:divBdr>
    </w:div>
    <w:div w:id="1241403580">
      <w:bodyDiv w:val="1"/>
      <w:marLeft w:val="0"/>
      <w:marRight w:val="0"/>
      <w:marTop w:val="0"/>
      <w:marBottom w:val="0"/>
      <w:divBdr>
        <w:top w:val="none" w:sz="0" w:space="0" w:color="auto"/>
        <w:left w:val="none" w:sz="0" w:space="0" w:color="auto"/>
        <w:bottom w:val="none" w:sz="0" w:space="0" w:color="auto"/>
        <w:right w:val="none" w:sz="0" w:space="0" w:color="auto"/>
      </w:divBdr>
    </w:div>
    <w:div w:id="1241718834">
      <w:bodyDiv w:val="1"/>
      <w:marLeft w:val="0"/>
      <w:marRight w:val="0"/>
      <w:marTop w:val="0"/>
      <w:marBottom w:val="0"/>
      <w:divBdr>
        <w:top w:val="none" w:sz="0" w:space="0" w:color="auto"/>
        <w:left w:val="none" w:sz="0" w:space="0" w:color="auto"/>
        <w:bottom w:val="none" w:sz="0" w:space="0" w:color="auto"/>
        <w:right w:val="none" w:sz="0" w:space="0" w:color="auto"/>
      </w:divBdr>
    </w:div>
    <w:div w:id="1249264903">
      <w:bodyDiv w:val="1"/>
      <w:marLeft w:val="0"/>
      <w:marRight w:val="0"/>
      <w:marTop w:val="0"/>
      <w:marBottom w:val="0"/>
      <w:divBdr>
        <w:top w:val="none" w:sz="0" w:space="0" w:color="auto"/>
        <w:left w:val="none" w:sz="0" w:space="0" w:color="auto"/>
        <w:bottom w:val="none" w:sz="0" w:space="0" w:color="auto"/>
        <w:right w:val="none" w:sz="0" w:space="0" w:color="auto"/>
      </w:divBdr>
    </w:div>
    <w:div w:id="1251694095">
      <w:bodyDiv w:val="1"/>
      <w:marLeft w:val="0"/>
      <w:marRight w:val="0"/>
      <w:marTop w:val="0"/>
      <w:marBottom w:val="0"/>
      <w:divBdr>
        <w:top w:val="none" w:sz="0" w:space="0" w:color="auto"/>
        <w:left w:val="none" w:sz="0" w:space="0" w:color="auto"/>
        <w:bottom w:val="none" w:sz="0" w:space="0" w:color="auto"/>
        <w:right w:val="none" w:sz="0" w:space="0" w:color="auto"/>
      </w:divBdr>
    </w:div>
    <w:div w:id="1253201253">
      <w:bodyDiv w:val="1"/>
      <w:marLeft w:val="0"/>
      <w:marRight w:val="0"/>
      <w:marTop w:val="0"/>
      <w:marBottom w:val="0"/>
      <w:divBdr>
        <w:top w:val="none" w:sz="0" w:space="0" w:color="auto"/>
        <w:left w:val="none" w:sz="0" w:space="0" w:color="auto"/>
        <w:bottom w:val="none" w:sz="0" w:space="0" w:color="auto"/>
        <w:right w:val="none" w:sz="0" w:space="0" w:color="auto"/>
      </w:divBdr>
    </w:div>
    <w:div w:id="1254701265">
      <w:bodyDiv w:val="1"/>
      <w:marLeft w:val="0"/>
      <w:marRight w:val="0"/>
      <w:marTop w:val="0"/>
      <w:marBottom w:val="0"/>
      <w:divBdr>
        <w:top w:val="none" w:sz="0" w:space="0" w:color="auto"/>
        <w:left w:val="none" w:sz="0" w:space="0" w:color="auto"/>
        <w:bottom w:val="none" w:sz="0" w:space="0" w:color="auto"/>
        <w:right w:val="none" w:sz="0" w:space="0" w:color="auto"/>
      </w:divBdr>
    </w:div>
    <w:div w:id="1259561992">
      <w:bodyDiv w:val="1"/>
      <w:marLeft w:val="0"/>
      <w:marRight w:val="0"/>
      <w:marTop w:val="0"/>
      <w:marBottom w:val="0"/>
      <w:divBdr>
        <w:top w:val="none" w:sz="0" w:space="0" w:color="auto"/>
        <w:left w:val="none" w:sz="0" w:space="0" w:color="auto"/>
        <w:bottom w:val="none" w:sz="0" w:space="0" w:color="auto"/>
        <w:right w:val="none" w:sz="0" w:space="0" w:color="auto"/>
      </w:divBdr>
    </w:div>
    <w:div w:id="1273518558">
      <w:bodyDiv w:val="1"/>
      <w:marLeft w:val="0"/>
      <w:marRight w:val="0"/>
      <w:marTop w:val="0"/>
      <w:marBottom w:val="0"/>
      <w:divBdr>
        <w:top w:val="none" w:sz="0" w:space="0" w:color="auto"/>
        <w:left w:val="none" w:sz="0" w:space="0" w:color="auto"/>
        <w:bottom w:val="none" w:sz="0" w:space="0" w:color="auto"/>
        <w:right w:val="none" w:sz="0" w:space="0" w:color="auto"/>
      </w:divBdr>
    </w:div>
    <w:div w:id="1276249826">
      <w:bodyDiv w:val="1"/>
      <w:marLeft w:val="0"/>
      <w:marRight w:val="0"/>
      <w:marTop w:val="0"/>
      <w:marBottom w:val="0"/>
      <w:divBdr>
        <w:top w:val="none" w:sz="0" w:space="0" w:color="auto"/>
        <w:left w:val="none" w:sz="0" w:space="0" w:color="auto"/>
        <w:bottom w:val="none" w:sz="0" w:space="0" w:color="auto"/>
        <w:right w:val="none" w:sz="0" w:space="0" w:color="auto"/>
      </w:divBdr>
    </w:div>
    <w:div w:id="1281760927">
      <w:bodyDiv w:val="1"/>
      <w:marLeft w:val="0"/>
      <w:marRight w:val="0"/>
      <w:marTop w:val="0"/>
      <w:marBottom w:val="0"/>
      <w:divBdr>
        <w:top w:val="none" w:sz="0" w:space="0" w:color="auto"/>
        <w:left w:val="none" w:sz="0" w:space="0" w:color="auto"/>
        <w:bottom w:val="none" w:sz="0" w:space="0" w:color="auto"/>
        <w:right w:val="none" w:sz="0" w:space="0" w:color="auto"/>
      </w:divBdr>
    </w:div>
    <w:div w:id="1315453140">
      <w:bodyDiv w:val="1"/>
      <w:marLeft w:val="0"/>
      <w:marRight w:val="0"/>
      <w:marTop w:val="0"/>
      <w:marBottom w:val="0"/>
      <w:divBdr>
        <w:top w:val="none" w:sz="0" w:space="0" w:color="auto"/>
        <w:left w:val="none" w:sz="0" w:space="0" w:color="auto"/>
        <w:bottom w:val="none" w:sz="0" w:space="0" w:color="auto"/>
        <w:right w:val="none" w:sz="0" w:space="0" w:color="auto"/>
      </w:divBdr>
    </w:div>
    <w:div w:id="1339192134">
      <w:bodyDiv w:val="1"/>
      <w:marLeft w:val="0"/>
      <w:marRight w:val="0"/>
      <w:marTop w:val="0"/>
      <w:marBottom w:val="0"/>
      <w:divBdr>
        <w:top w:val="none" w:sz="0" w:space="0" w:color="auto"/>
        <w:left w:val="none" w:sz="0" w:space="0" w:color="auto"/>
        <w:bottom w:val="none" w:sz="0" w:space="0" w:color="auto"/>
        <w:right w:val="none" w:sz="0" w:space="0" w:color="auto"/>
      </w:divBdr>
    </w:div>
    <w:div w:id="1348097109">
      <w:bodyDiv w:val="1"/>
      <w:marLeft w:val="0"/>
      <w:marRight w:val="0"/>
      <w:marTop w:val="0"/>
      <w:marBottom w:val="0"/>
      <w:divBdr>
        <w:top w:val="none" w:sz="0" w:space="0" w:color="auto"/>
        <w:left w:val="none" w:sz="0" w:space="0" w:color="auto"/>
        <w:bottom w:val="none" w:sz="0" w:space="0" w:color="auto"/>
        <w:right w:val="none" w:sz="0" w:space="0" w:color="auto"/>
      </w:divBdr>
    </w:div>
    <w:div w:id="1349984665">
      <w:bodyDiv w:val="1"/>
      <w:marLeft w:val="0"/>
      <w:marRight w:val="0"/>
      <w:marTop w:val="0"/>
      <w:marBottom w:val="0"/>
      <w:divBdr>
        <w:top w:val="none" w:sz="0" w:space="0" w:color="auto"/>
        <w:left w:val="none" w:sz="0" w:space="0" w:color="auto"/>
        <w:bottom w:val="none" w:sz="0" w:space="0" w:color="auto"/>
        <w:right w:val="none" w:sz="0" w:space="0" w:color="auto"/>
      </w:divBdr>
      <w:divsChild>
        <w:div w:id="476383925">
          <w:marLeft w:val="547"/>
          <w:marRight w:val="0"/>
          <w:marTop w:val="0"/>
          <w:marBottom w:val="0"/>
          <w:divBdr>
            <w:top w:val="none" w:sz="0" w:space="0" w:color="auto"/>
            <w:left w:val="none" w:sz="0" w:space="0" w:color="auto"/>
            <w:bottom w:val="none" w:sz="0" w:space="0" w:color="auto"/>
            <w:right w:val="none" w:sz="0" w:space="0" w:color="auto"/>
          </w:divBdr>
        </w:div>
      </w:divsChild>
    </w:div>
    <w:div w:id="1364863603">
      <w:bodyDiv w:val="1"/>
      <w:marLeft w:val="0"/>
      <w:marRight w:val="0"/>
      <w:marTop w:val="0"/>
      <w:marBottom w:val="0"/>
      <w:divBdr>
        <w:top w:val="none" w:sz="0" w:space="0" w:color="auto"/>
        <w:left w:val="none" w:sz="0" w:space="0" w:color="auto"/>
        <w:bottom w:val="none" w:sz="0" w:space="0" w:color="auto"/>
        <w:right w:val="none" w:sz="0" w:space="0" w:color="auto"/>
      </w:divBdr>
    </w:div>
    <w:div w:id="1379165465">
      <w:bodyDiv w:val="1"/>
      <w:marLeft w:val="0"/>
      <w:marRight w:val="0"/>
      <w:marTop w:val="0"/>
      <w:marBottom w:val="0"/>
      <w:divBdr>
        <w:top w:val="none" w:sz="0" w:space="0" w:color="auto"/>
        <w:left w:val="none" w:sz="0" w:space="0" w:color="auto"/>
        <w:bottom w:val="none" w:sz="0" w:space="0" w:color="auto"/>
        <w:right w:val="none" w:sz="0" w:space="0" w:color="auto"/>
      </w:divBdr>
    </w:div>
    <w:div w:id="1388335768">
      <w:bodyDiv w:val="1"/>
      <w:marLeft w:val="0"/>
      <w:marRight w:val="0"/>
      <w:marTop w:val="0"/>
      <w:marBottom w:val="0"/>
      <w:divBdr>
        <w:top w:val="none" w:sz="0" w:space="0" w:color="auto"/>
        <w:left w:val="none" w:sz="0" w:space="0" w:color="auto"/>
        <w:bottom w:val="none" w:sz="0" w:space="0" w:color="auto"/>
        <w:right w:val="none" w:sz="0" w:space="0" w:color="auto"/>
      </w:divBdr>
    </w:div>
    <w:div w:id="1399523233">
      <w:bodyDiv w:val="1"/>
      <w:marLeft w:val="0"/>
      <w:marRight w:val="0"/>
      <w:marTop w:val="0"/>
      <w:marBottom w:val="0"/>
      <w:divBdr>
        <w:top w:val="none" w:sz="0" w:space="0" w:color="auto"/>
        <w:left w:val="none" w:sz="0" w:space="0" w:color="auto"/>
        <w:bottom w:val="none" w:sz="0" w:space="0" w:color="auto"/>
        <w:right w:val="none" w:sz="0" w:space="0" w:color="auto"/>
      </w:divBdr>
    </w:div>
    <w:div w:id="1403214673">
      <w:bodyDiv w:val="1"/>
      <w:marLeft w:val="0"/>
      <w:marRight w:val="0"/>
      <w:marTop w:val="0"/>
      <w:marBottom w:val="0"/>
      <w:divBdr>
        <w:top w:val="none" w:sz="0" w:space="0" w:color="auto"/>
        <w:left w:val="none" w:sz="0" w:space="0" w:color="auto"/>
        <w:bottom w:val="none" w:sz="0" w:space="0" w:color="auto"/>
        <w:right w:val="none" w:sz="0" w:space="0" w:color="auto"/>
      </w:divBdr>
    </w:div>
    <w:div w:id="1409110894">
      <w:bodyDiv w:val="1"/>
      <w:marLeft w:val="0"/>
      <w:marRight w:val="0"/>
      <w:marTop w:val="0"/>
      <w:marBottom w:val="0"/>
      <w:divBdr>
        <w:top w:val="none" w:sz="0" w:space="0" w:color="auto"/>
        <w:left w:val="none" w:sz="0" w:space="0" w:color="auto"/>
        <w:bottom w:val="none" w:sz="0" w:space="0" w:color="auto"/>
        <w:right w:val="none" w:sz="0" w:space="0" w:color="auto"/>
      </w:divBdr>
    </w:div>
    <w:div w:id="1411731964">
      <w:bodyDiv w:val="1"/>
      <w:marLeft w:val="0"/>
      <w:marRight w:val="0"/>
      <w:marTop w:val="0"/>
      <w:marBottom w:val="0"/>
      <w:divBdr>
        <w:top w:val="none" w:sz="0" w:space="0" w:color="auto"/>
        <w:left w:val="none" w:sz="0" w:space="0" w:color="auto"/>
        <w:bottom w:val="none" w:sz="0" w:space="0" w:color="auto"/>
        <w:right w:val="none" w:sz="0" w:space="0" w:color="auto"/>
      </w:divBdr>
    </w:div>
    <w:div w:id="1417093277">
      <w:bodyDiv w:val="1"/>
      <w:marLeft w:val="0"/>
      <w:marRight w:val="0"/>
      <w:marTop w:val="0"/>
      <w:marBottom w:val="0"/>
      <w:divBdr>
        <w:top w:val="none" w:sz="0" w:space="0" w:color="auto"/>
        <w:left w:val="none" w:sz="0" w:space="0" w:color="auto"/>
        <w:bottom w:val="none" w:sz="0" w:space="0" w:color="auto"/>
        <w:right w:val="none" w:sz="0" w:space="0" w:color="auto"/>
      </w:divBdr>
    </w:div>
    <w:div w:id="1444572579">
      <w:bodyDiv w:val="1"/>
      <w:marLeft w:val="0"/>
      <w:marRight w:val="0"/>
      <w:marTop w:val="0"/>
      <w:marBottom w:val="0"/>
      <w:divBdr>
        <w:top w:val="none" w:sz="0" w:space="0" w:color="auto"/>
        <w:left w:val="none" w:sz="0" w:space="0" w:color="auto"/>
        <w:bottom w:val="none" w:sz="0" w:space="0" w:color="auto"/>
        <w:right w:val="none" w:sz="0" w:space="0" w:color="auto"/>
      </w:divBdr>
    </w:div>
    <w:div w:id="1450663301">
      <w:bodyDiv w:val="1"/>
      <w:marLeft w:val="0"/>
      <w:marRight w:val="0"/>
      <w:marTop w:val="0"/>
      <w:marBottom w:val="0"/>
      <w:divBdr>
        <w:top w:val="none" w:sz="0" w:space="0" w:color="auto"/>
        <w:left w:val="none" w:sz="0" w:space="0" w:color="auto"/>
        <w:bottom w:val="none" w:sz="0" w:space="0" w:color="auto"/>
        <w:right w:val="none" w:sz="0" w:space="0" w:color="auto"/>
      </w:divBdr>
    </w:div>
    <w:div w:id="1470705420">
      <w:bodyDiv w:val="1"/>
      <w:marLeft w:val="0"/>
      <w:marRight w:val="0"/>
      <w:marTop w:val="0"/>
      <w:marBottom w:val="0"/>
      <w:divBdr>
        <w:top w:val="none" w:sz="0" w:space="0" w:color="auto"/>
        <w:left w:val="none" w:sz="0" w:space="0" w:color="auto"/>
        <w:bottom w:val="none" w:sz="0" w:space="0" w:color="auto"/>
        <w:right w:val="none" w:sz="0" w:space="0" w:color="auto"/>
      </w:divBdr>
    </w:div>
    <w:div w:id="1477721604">
      <w:bodyDiv w:val="1"/>
      <w:marLeft w:val="0"/>
      <w:marRight w:val="0"/>
      <w:marTop w:val="0"/>
      <w:marBottom w:val="0"/>
      <w:divBdr>
        <w:top w:val="none" w:sz="0" w:space="0" w:color="auto"/>
        <w:left w:val="none" w:sz="0" w:space="0" w:color="auto"/>
        <w:bottom w:val="none" w:sz="0" w:space="0" w:color="auto"/>
        <w:right w:val="none" w:sz="0" w:space="0" w:color="auto"/>
      </w:divBdr>
    </w:div>
    <w:div w:id="1506819159">
      <w:bodyDiv w:val="1"/>
      <w:marLeft w:val="0"/>
      <w:marRight w:val="0"/>
      <w:marTop w:val="0"/>
      <w:marBottom w:val="0"/>
      <w:divBdr>
        <w:top w:val="none" w:sz="0" w:space="0" w:color="auto"/>
        <w:left w:val="none" w:sz="0" w:space="0" w:color="auto"/>
        <w:bottom w:val="none" w:sz="0" w:space="0" w:color="auto"/>
        <w:right w:val="none" w:sz="0" w:space="0" w:color="auto"/>
      </w:divBdr>
    </w:div>
    <w:div w:id="1510413002">
      <w:bodyDiv w:val="1"/>
      <w:marLeft w:val="0"/>
      <w:marRight w:val="0"/>
      <w:marTop w:val="0"/>
      <w:marBottom w:val="0"/>
      <w:divBdr>
        <w:top w:val="none" w:sz="0" w:space="0" w:color="auto"/>
        <w:left w:val="none" w:sz="0" w:space="0" w:color="auto"/>
        <w:bottom w:val="none" w:sz="0" w:space="0" w:color="auto"/>
        <w:right w:val="none" w:sz="0" w:space="0" w:color="auto"/>
      </w:divBdr>
    </w:div>
    <w:div w:id="1511068561">
      <w:bodyDiv w:val="1"/>
      <w:marLeft w:val="0"/>
      <w:marRight w:val="0"/>
      <w:marTop w:val="0"/>
      <w:marBottom w:val="0"/>
      <w:divBdr>
        <w:top w:val="none" w:sz="0" w:space="0" w:color="auto"/>
        <w:left w:val="none" w:sz="0" w:space="0" w:color="auto"/>
        <w:bottom w:val="none" w:sz="0" w:space="0" w:color="auto"/>
        <w:right w:val="none" w:sz="0" w:space="0" w:color="auto"/>
      </w:divBdr>
    </w:div>
    <w:div w:id="1519655983">
      <w:bodyDiv w:val="1"/>
      <w:marLeft w:val="0"/>
      <w:marRight w:val="0"/>
      <w:marTop w:val="0"/>
      <w:marBottom w:val="0"/>
      <w:divBdr>
        <w:top w:val="none" w:sz="0" w:space="0" w:color="auto"/>
        <w:left w:val="none" w:sz="0" w:space="0" w:color="auto"/>
        <w:bottom w:val="none" w:sz="0" w:space="0" w:color="auto"/>
        <w:right w:val="none" w:sz="0" w:space="0" w:color="auto"/>
      </w:divBdr>
    </w:div>
    <w:div w:id="1536113990">
      <w:bodyDiv w:val="1"/>
      <w:marLeft w:val="0"/>
      <w:marRight w:val="0"/>
      <w:marTop w:val="0"/>
      <w:marBottom w:val="0"/>
      <w:divBdr>
        <w:top w:val="none" w:sz="0" w:space="0" w:color="auto"/>
        <w:left w:val="none" w:sz="0" w:space="0" w:color="auto"/>
        <w:bottom w:val="none" w:sz="0" w:space="0" w:color="auto"/>
        <w:right w:val="none" w:sz="0" w:space="0" w:color="auto"/>
      </w:divBdr>
    </w:div>
    <w:div w:id="1536456462">
      <w:bodyDiv w:val="1"/>
      <w:marLeft w:val="0"/>
      <w:marRight w:val="0"/>
      <w:marTop w:val="0"/>
      <w:marBottom w:val="0"/>
      <w:divBdr>
        <w:top w:val="none" w:sz="0" w:space="0" w:color="auto"/>
        <w:left w:val="none" w:sz="0" w:space="0" w:color="auto"/>
        <w:bottom w:val="none" w:sz="0" w:space="0" w:color="auto"/>
        <w:right w:val="none" w:sz="0" w:space="0" w:color="auto"/>
      </w:divBdr>
    </w:div>
    <w:div w:id="1540245775">
      <w:bodyDiv w:val="1"/>
      <w:marLeft w:val="0"/>
      <w:marRight w:val="0"/>
      <w:marTop w:val="0"/>
      <w:marBottom w:val="0"/>
      <w:divBdr>
        <w:top w:val="none" w:sz="0" w:space="0" w:color="auto"/>
        <w:left w:val="none" w:sz="0" w:space="0" w:color="auto"/>
        <w:bottom w:val="none" w:sz="0" w:space="0" w:color="auto"/>
        <w:right w:val="none" w:sz="0" w:space="0" w:color="auto"/>
      </w:divBdr>
    </w:div>
    <w:div w:id="1541283087">
      <w:bodyDiv w:val="1"/>
      <w:marLeft w:val="0"/>
      <w:marRight w:val="0"/>
      <w:marTop w:val="0"/>
      <w:marBottom w:val="0"/>
      <w:divBdr>
        <w:top w:val="none" w:sz="0" w:space="0" w:color="auto"/>
        <w:left w:val="none" w:sz="0" w:space="0" w:color="auto"/>
        <w:bottom w:val="none" w:sz="0" w:space="0" w:color="auto"/>
        <w:right w:val="none" w:sz="0" w:space="0" w:color="auto"/>
      </w:divBdr>
    </w:div>
    <w:div w:id="1553230566">
      <w:bodyDiv w:val="1"/>
      <w:marLeft w:val="0"/>
      <w:marRight w:val="0"/>
      <w:marTop w:val="0"/>
      <w:marBottom w:val="0"/>
      <w:divBdr>
        <w:top w:val="none" w:sz="0" w:space="0" w:color="auto"/>
        <w:left w:val="none" w:sz="0" w:space="0" w:color="auto"/>
        <w:bottom w:val="none" w:sz="0" w:space="0" w:color="auto"/>
        <w:right w:val="none" w:sz="0" w:space="0" w:color="auto"/>
      </w:divBdr>
    </w:div>
    <w:div w:id="1560824379">
      <w:bodyDiv w:val="1"/>
      <w:marLeft w:val="0"/>
      <w:marRight w:val="0"/>
      <w:marTop w:val="0"/>
      <w:marBottom w:val="0"/>
      <w:divBdr>
        <w:top w:val="none" w:sz="0" w:space="0" w:color="auto"/>
        <w:left w:val="none" w:sz="0" w:space="0" w:color="auto"/>
        <w:bottom w:val="none" w:sz="0" w:space="0" w:color="auto"/>
        <w:right w:val="none" w:sz="0" w:space="0" w:color="auto"/>
      </w:divBdr>
    </w:div>
    <w:div w:id="1574271517">
      <w:bodyDiv w:val="1"/>
      <w:marLeft w:val="0"/>
      <w:marRight w:val="0"/>
      <w:marTop w:val="0"/>
      <w:marBottom w:val="0"/>
      <w:divBdr>
        <w:top w:val="none" w:sz="0" w:space="0" w:color="auto"/>
        <w:left w:val="none" w:sz="0" w:space="0" w:color="auto"/>
        <w:bottom w:val="none" w:sz="0" w:space="0" w:color="auto"/>
        <w:right w:val="none" w:sz="0" w:space="0" w:color="auto"/>
      </w:divBdr>
    </w:div>
    <w:div w:id="1576280945">
      <w:bodyDiv w:val="1"/>
      <w:marLeft w:val="0"/>
      <w:marRight w:val="0"/>
      <w:marTop w:val="0"/>
      <w:marBottom w:val="0"/>
      <w:divBdr>
        <w:top w:val="none" w:sz="0" w:space="0" w:color="auto"/>
        <w:left w:val="none" w:sz="0" w:space="0" w:color="auto"/>
        <w:bottom w:val="none" w:sz="0" w:space="0" w:color="auto"/>
        <w:right w:val="none" w:sz="0" w:space="0" w:color="auto"/>
      </w:divBdr>
    </w:div>
    <w:div w:id="1633514309">
      <w:bodyDiv w:val="1"/>
      <w:marLeft w:val="0"/>
      <w:marRight w:val="0"/>
      <w:marTop w:val="0"/>
      <w:marBottom w:val="0"/>
      <w:divBdr>
        <w:top w:val="none" w:sz="0" w:space="0" w:color="auto"/>
        <w:left w:val="none" w:sz="0" w:space="0" w:color="auto"/>
        <w:bottom w:val="none" w:sz="0" w:space="0" w:color="auto"/>
        <w:right w:val="none" w:sz="0" w:space="0" w:color="auto"/>
      </w:divBdr>
      <w:divsChild>
        <w:div w:id="1151678851">
          <w:marLeft w:val="547"/>
          <w:marRight w:val="0"/>
          <w:marTop w:val="0"/>
          <w:marBottom w:val="0"/>
          <w:divBdr>
            <w:top w:val="none" w:sz="0" w:space="0" w:color="auto"/>
            <w:left w:val="none" w:sz="0" w:space="0" w:color="auto"/>
            <w:bottom w:val="none" w:sz="0" w:space="0" w:color="auto"/>
            <w:right w:val="none" w:sz="0" w:space="0" w:color="auto"/>
          </w:divBdr>
        </w:div>
      </w:divsChild>
    </w:div>
    <w:div w:id="1634948823">
      <w:bodyDiv w:val="1"/>
      <w:marLeft w:val="0"/>
      <w:marRight w:val="0"/>
      <w:marTop w:val="0"/>
      <w:marBottom w:val="0"/>
      <w:divBdr>
        <w:top w:val="none" w:sz="0" w:space="0" w:color="auto"/>
        <w:left w:val="none" w:sz="0" w:space="0" w:color="auto"/>
        <w:bottom w:val="none" w:sz="0" w:space="0" w:color="auto"/>
        <w:right w:val="none" w:sz="0" w:space="0" w:color="auto"/>
      </w:divBdr>
    </w:div>
    <w:div w:id="1641498882">
      <w:bodyDiv w:val="1"/>
      <w:marLeft w:val="0"/>
      <w:marRight w:val="0"/>
      <w:marTop w:val="0"/>
      <w:marBottom w:val="0"/>
      <w:divBdr>
        <w:top w:val="none" w:sz="0" w:space="0" w:color="auto"/>
        <w:left w:val="none" w:sz="0" w:space="0" w:color="auto"/>
        <w:bottom w:val="none" w:sz="0" w:space="0" w:color="auto"/>
        <w:right w:val="none" w:sz="0" w:space="0" w:color="auto"/>
      </w:divBdr>
    </w:div>
    <w:div w:id="1644962069">
      <w:bodyDiv w:val="1"/>
      <w:marLeft w:val="0"/>
      <w:marRight w:val="0"/>
      <w:marTop w:val="0"/>
      <w:marBottom w:val="0"/>
      <w:divBdr>
        <w:top w:val="none" w:sz="0" w:space="0" w:color="auto"/>
        <w:left w:val="none" w:sz="0" w:space="0" w:color="auto"/>
        <w:bottom w:val="none" w:sz="0" w:space="0" w:color="auto"/>
        <w:right w:val="none" w:sz="0" w:space="0" w:color="auto"/>
      </w:divBdr>
    </w:div>
    <w:div w:id="1654217119">
      <w:bodyDiv w:val="1"/>
      <w:marLeft w:val="0"/>
      <w:marRight w:val="0"/>
      <w:marTop w:val="0"/>
      <w:marBottom w:val="0"/>
      <w:divBdr>
        <w:top w:val="none" w:sz="0" w:space="0" w:color="auto"/>
        <w:left w:val="none" w:sz="0" w:space="0" w:color="auto"/>
        <w:bottom w:val="none" w:sz="0" w:space="0" w:color="auto"/>
        <w:right w:val="none" w:sz="0" w:space="0" w:color="auto"/>
      </w:divBdr>
      <w:divsChild>
        <w:div w:id="2093157673">
          <w:marLeft w:val="547"/>
          <w:marRight w:val="0"/>
          <w:marTop w:val="0"/>
          <w:marBottom w:val="0"/>
          <w:divBdr>
            <w:top w:val="none" w:sz="0" w:space="0" w:color="auto"/>
            <w:left w:val="none" w:sz="0" w:space="0" w:color="auto"/>
            <w:bottom w:val="none" w:sz="0" w:space="0" w:color="auto"/>
            <w:right w:val="none" w:sz="0" w:space="0" w:color="auto"/>
          </w:divBdr>
        </w:div>
      </w:divsChild>
    </w:div>
    <w:div w:id="1666668856">
      <w:bodyDiv w:val="1"/>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 w:id="2014411734">
          <w:marLeft w:val="0"/>
          <w:marRight w:val="0"/>
          <w:marTop w:val="0"/>
          <w:marBottom w:val="0"/>
          <w:divBdr>
            <w:top w:val="none" w:sz="0" w:space="0" w:color="auto"/>
            <w:left w:val="none" w:sz="0" w:space="0" w:color="auto"/>
            <w:bottom w:val="none" w:sz="0" w:space="0" w:color="auto"/>
            <w:right w:val="none" w:sz="0" w:space="0" w:color="auto"/>
          </w:divBdr>
        </w:div>
      </w:divsChild>
    </w:div>
    <w:div w:id="1672417226">
      <w:bodyDiv w:val="1"/>
      <w:marLeft w:val="0"/>
      <w:marRight w:val="0"/>
      <w:marTop w:val="0"/>
      <w:marBottom w:val="0"/>
      <w:divBdr>
        <w:top w:val="none" w:sz="0" w:space="0" w:color="auto"/>
        <w:left w:val="none" w:sz="0" w:space="0" w:color="auto"/>
        <w:bottom w:val="none" w:sz="0" w:space="0" w:color="auto"/>
        <w:right w:val="none" w:sz="0" w:space="0" w:color="auto"/>
      </w:divBdr>
    </w:div>
    <w:div w:id="1682047854">
      <w:bodyDiv w:val="1"/>
      <w:marLeft w:val="0"/>
      <w:marRight w:val="0"/>
      <w:marTop w:val="0"/>
      <w:marBottom w:val="0"/>
      <w:divBdr>
        <w:top w:val="none" w:sz="0" w:space="0" w:color="auto"/>
        <w:left w:val="none" w:sz="0" w:space="0" w:color="auto"/>
        <w:bottom w:val="none" w:sz="0" w:space="0" w:color="auto"/>
        <w:right w:val="none" w:sz="0" w:space="0" w:color="auto"/>
      </w:divBdr>
    </w:div>
    <w:div w:id="1698313630">
      <w:bodyDiv w:val="1"/>
      <w:marLeft w:val="0"/>
      <w:marRight w:val="0"/>
      <w:marTop w:val="0"/>
      <w:marBottom w:val="0"/>
      <w:divBdr>
        <w:top w:val="none" w:sz="0" w:space="0" w:color="auto"/>
        <w:left w:val="none" w:sz="0" w:space="0" w:color="auto"/>
        <w:bottom w:val="none" w:sz="0" w:space="0" w:color="auto"/>
        <w:right w:val="none" w:sz="0" w:space="0" w:color="auto"/>
      </w:divBdr>
    </w:div>
    <w:div w:id="1710717409">
      <w:bodyDiv w:val="1"/>
      <w:marLeft w:val="0"/>
      <w:marRight w:val="0"/>
      <w:marTop w:val="0"/>
      <w:marBottom w:val="0"/>
      <w:divBdr>
        <w:top w:val="none" w:sz="0" w:space="0" w:color="auto"/>
        <w:left w:val="none" w:sz="0" w:space="0" w:color="auto"/>
        <w:bottom w:val="none" w:sz="0" w:space="0" w:color="auto"/>
        <w:right w:val="none" w:sz="0" w:space="0" w:color="auto"/>
      </w:divBdr>
    </w:div>
    <w:div w:id="1711342179">
      <w:bodyDiv w:val="1"/>
      <w:marLeft w:val="0"/>
      <w:marRight w:val="0"/>
      <w:marTop w:val="0"/>
      <w:marBottom w:val="0"/>
      <w:divBdr>
        <w:top w:val="none" w:sz="0" w:space="0" w:color="auto"/>
        <w:left w:val="none" w:sz="0" w:space="0" w:color="auto"/>
        <w:bottom w:val="none" w:sz="0" w:space="0" w:color="auto"/>
        <w:right w:val="none" w:sz="0" w:space="0" w:color="auto"/>
      </w:divBdr>
    </w:div>
    <w:div w:id="1746485616">
      <w:bodyDiv w:val="1"/>
      <w:marLeft w:val="0"/>
      <w:marRight w:val="0"/>
      <w:marTop w:val="0"/>
      <w:marBottom w:val="0"/>
      <w:divBdr>
        <w:top w:val="none" w:sz="0" w:space="0" w:color="auto"/>
        <w:left w:val="none" w:sz="0" w:space="0" w:color="auto"/>
        <w:bottom w:val="none" w:sz="0" w:space="0" w:color="auto"/>
        <w:right w:val="none" w:sz="0" w:space="0" w:color="auto"/>
      </w:divBdr>
    </w:div>
    <w:div w:id="1760759970">
      <w:bodyDiv w:val="1"/>
      <w:marLeft w:val="0"/>
      <w:marRight w:val="0"/>
      <w:marTop w:val="0"/>
      <w:marBottom w:val="0"/>
      <w:divBdr>
        <w:top w:val="none" w:sz="0" w:space="0" w:color="auto"/>
        <w:left w:val="none" w:sz="0" w:space="0" w:color="auto"/>
        <w:bottom w:val="none" w:sz="0" w:space="0" w:color="auto"/>
        <w:right w:val="none" w:sz="0" w:space="0" w:color="auto"/>
      </w:divBdr>
    </w:div>
    <w:div w:id="1815296215">
      <w:bodyDiv w:val="1"/>
      <w:marLeft w:val="0"/>
      <w:marRight w:val="0"/>
      <w:marTop w:val="0"/>
      <w:marBottom w:val="0"/>
      <w:divBdr>
        <w:top w:val="none" w:sz="0" w:space="0" w:color="auto"/>
        <w:left w:val="none" w:sz="0" w:space="0" w:color="auto"/>
        <w:bottom w:val="none" w:sz="0" w:space="0" w:color="auto"/>
        <w:right w:val="none" w:sz="0" w:space="0" w:color="auto"/>
      </w:divBdr>
    </w:div>
    <w:div w:id="1867407712">
      <w:bodyDiv w:val="1"/>
      <w:marLeft w:val="0"/>
      <w:marRight w:val="0"/>
      <w:marTop w:val="0"/>
      <w:marBottom w:val="0"/>
      <w:divBdr>
        <w:top w:val="none" w:sz="0" w:space="0" w:color="auto"/>
        <w:left w:val="none" w:sz="0" w:space="0" w:color="auto"/>
        <w:bottom w:val="none" w:sz="0" w:space="0" w:color="auto"/>
        <w:right w:val="none" w:sz="0" w:space="0" w:color="auto"/>
      </w:divBdr>
    </w:div>
    <w:div w:id="1875313018">
      <w:bodyDiv w:val="1"/>
      <w:marLeft w:val="0"/>
      <w:marRight w:val="0"/>
      <w:marTop w:val="0"/>
      <w:marBottom w:val="0"/>
      <w:divBdr>
        <w:top w:val="none" w:sz="0" w:space="0" w:color="auto"/>
        <w:left w:val="none" w:sz="0" w:space="0" w:color="auto"/>
        <w:bottom w:val="none" w:sz="0" w:space="0" w:color="auto"/>
        <w:right w:val="none" w:sz="0" w:space="0" w:color="auto"/>
      </w:divBdr>
    </w:div>
    <w:div w:id="1881433866">
      <w:bodyDiv w:val="1"/>
      <w:marLeft w:val="0"/>
      <w:marRight w:val="0"/>
      <w:marTop w:val="0"/>
      <w:marBottom w:val="0"/>
      <w:divBdr>
        <w:top w:val="none" w:sz="0" w:space="0" w:color="auto"/>
        <w:left w:val="none" w:sz="0" w:space="0" w:color="auto"/>
        <w:bottom w:val="none" w:sz="0" w:space="0" w:color="auto"/>
        <w:right w:val="none" w:sz="0" w:space="0" w:color="auto"/>
      </w:divBdr>
    </w:div>
    <w:div w:id="1891110927">
      <w:bodyDiv w:val="1"/>
      <w:marLeft w:val="0"/>
      <w:marRight w:val="0"/>
      <w:marTop w:val="0"/>
      <w:marBottom w:val="0"/>
      <w:divBdr>
        <w:top w:val="none" w:sz="0" w:space="0" w:color="auto"/>
        <w:left w:val="none" w:sz="0" w:space="0" w:color="auto"/>
        <w:bottom w:val="none" w:sz="0" w:space="0" w:color="auto"/>
        <w:right w:val="none" w:sz="0" w:space="0" w:color="auto"/>
      </w:divBdr>
    </w:div>
    <w:div w:id="1902518262">
      <w:bodyDiv w:val="1"/>
      <w:marLeft w:val="0"/>
      <w:marRight w:val="0"/>
      <w:marTop w:val="0"/>
      <w:marBottom w:val="0"/>
      <w:divBdr>
        <w:top w:val="none" w:sz="0" w:space="0" w:color="auto"/>
        <w:left w:val="none" w:sz="0" w:space="0" w:color="auto"/>
        <w:bottom w:val="none" w:sz="0" w:space="0" w:color="auto"/>
        <w:right w:val="none" w:sz="0" w:space="0" w:color="auto"/>
      </w:divBdr>
      <w:divsChild>
        <w:div w:id="820735056">
          <w:marLeft w:val="547"/>
          <w:marRight w:val="0"/>
          <w:marTop w:val="0"/>
          <w:marBottom w:val="0"/>
          <w:divBdr>
            <w:top w:val="none" w:sz="0" w:space="0" w:color="auto"/>
            <w:left w:val="none" w:sz="0" w:space="0" w:color="auto"/>
            <w:bottom w:val="none" w:sz="0" w:space="0" w:color="auto"/>
            <w:right w:val="none" w:sz="0" w:space="0" w:color="auto"/>
          </w:divBdr>
        </w:div>
      </w:divsChild>
    </w:div>
    <w:div w:id="1907377020">
      <w:bodyDiv w:val="1"/>
      <w:marLeft w:val="0"/>
      <w:marRight w:val="0"/>
      <w:marTop w:val="0"/>
      <w:marBottom w:val="0"/>
      <w:divBdr>
        <w:top w:val="none" w:sz="0" w:space="0" w:color="auto"/>
        <w:left w:val="none" w:sz="0" w:space="0" w:color="auto"/>
        <w:bottom w:val="none" w:sz="0" w:space="0" w:color="auto"/>
        <w:right w:val="none" w:sz="0" w:space="0" w:color="auto"/>
      </w:divBdr>
      <w:divsChild>
        <w:div w:id="969483706">
          <w:marLeft w:val="0"/>
          <w:marRight w:val="0"/>
          <w:marTop w:val="0"/>
          <w:marBottom w:val="0"/>
          <w:divBdr>
            <w:top w:val="none" w:sz="0" w:space="0" w:color="auto"/>
            <w:left w:val="none" w:sz="0" w:space="0" w:color="auto"/>
            <w:bottom w:val="none" w:sz="0" w:space="0" w:color="auto"/>
            <w:right w:val="none" w:sz="0" w:space="0" w:color="auto"/>
          </w:divBdr>
        </w:div>
        <w:div w:id="1777365800">
          <w:marLeft w:val="0"/>
          <w:marRight w:val="0"/>
          <w:marTop w:val="0"/>
          <w:marBottom w:val="0"/>
          <w:divBdr>
            <w:top w:val="none" w:sz="0" w:space="0" w:color="auto"/>
            <w:left w:val="none" w:sz="0" w:space="0" w:color="auto"/>
            <w:bottom w:val="none" w:sz="0" w:space="0" w:color="auto"/>
            <w:right w:val="none" w:sz="0" w:space="0" w:color="auto"/>
          </w:divBdr>
        </w:div>
      </w:divsChild>
    </w:div>
    <w:div w:id="1914588240">
      <w:bodyDiv w:val="1"/>
      <w:marLeft w:val="0"/>
      <w:marRight w:val="0"/>
      <w:marTop w:val="0"/>
      <w:marBottom w:val="0"/>
      <w:divBdr>
        <w:top w:val="none" w:sz="0" w:space="0" w:color="auto"/>
        <w:left w:val="none" w:sz="0" w:space="0" w:color="auto"/>
        <w:bottom w:val="none" w:sz="0" w:space="0" w:color="auto"/>
        <w:right w:val="none" w:sz="0" w:space="0" w:color="auto"/>
      </w:divBdr>
    </w:div>
    <w:div w:id="1934437984">
      <w:bodyDiv w:val="1"/>
      <w:marLeft w:val="0"/>
      <w:marRight w:val="0"/>
      <w:marTop w:val="0"/>
      <w:marBottom w:val="0"/>
      <w:divBdr>
        <w:top w:val="none" w:sz="0" w:space="0" w:color="auto"/>
        <w:left w:val="none" w:sz="0" w:space="0" w:color="auto"/>
        <w:bottom w:val="none" w:sz="0" w:space="0" w:color="auto"/>
        <w:right w:val="none" w:sz="0" w:space="0" w:color="auto"/>
      </w:divBdr>
    </w:div>
    <w:div w:id="1940409375">
      <w:bodyDiv w:val="1"/>
      <w:marLeft w:val="0"/>
      <w:marRight w:val="0"/>
      <w:marTop w:val="0"/>
      <w:marBottom w:val="0"/>
      <w:divBdr>
        <w:top w:val="none" w:sz="0" w:space="0" w:color="auto"/>
        <w:left w:val="none" w:sz="0" w:space="0" w:color="auto"/>
        <w:bottom w:val="none" w:sz="0" w:space="0" w:color="auto"/>
        <w:right w:val="none" w:sz="0" w:space="0" w:color="auto"/>
      </w:divBdr>
    </w:div>
    <w:div w:id="1960600690">
      <w:bodyDiv w:val="1"/>
      <w:marLeft w:val="0"/>
      <w:marRight w:val="0"/>
      <w:marTop w:val="0"/>
      <w:marBottom w:val="0"/>
      <w:divBdr>
        <w:top w:val="none" w:sz="0" w:space="0" w:color="auto"/>
        <w:left w:val="none" w:sz="0" w:space="0" w:color="auto"/>
        <w:bottom w:val="none" w:sz="0" w:space="0" w:color="auto"/>
        <w:right w:val="none" w:sz="0" w:space="0" w:color="auto"/>
      </w:divBdr>
    </w:div>
    <w:div w:id="1968388592">
      <w:bodyDiv w:val="1"/>
      <w:marLeft w:val="0"/>
      <w:marRight w:val="0"/>
      <w:marTop w:val="0"/>
      <w:marBottom w:val="0"/>
      <w:divBdr>
        <w:top w:val="none" w:sz="0" w:space="0" w:color="auto"/>
        <w:left w:val="none" w:sz="0" w:space="0" w:color="auto"/>
        <w:bottom w:val="none" w:sz="0" w:space="0" w:color="auto"/>
        <w:right w:val="none" w:sz="0" w:space="0" w:color="auto"/>
      </w:divBdr>
    </w:div>
    <w:div w:id="1973437776">
      <w:bodyDiv w:val="1"/>
      <w:marLeft w:val="0"/>
      <w:marRight w:val="0"/>
      <w:marTop w:val="0"/>
      <w:marBottom w:val="0"/>
      <w:divBdr>
        <w:top w:val="none" w:sz="0" w:space="0" w:color="auto"/>
        <w:left w:val="none" w:sz="0" w:space="0" w:color="auto"/>
        <w:bottom w:val="none" w:sz="0" w:space="0" w:color="auto"/>
        <w:right w:val="none" w:sz="0" w:space="0" w:color="auto"/>
      </w:divBdr>
    </w:div>
    <w:div w:id="1978027720">
      <w:bodyDiv w:val="1"/>
      <w:marLeft w:val="0"/>
      <w:marRight w:val="0"/>
      <w:marTop w:val="0"/>
      <w:marBottom w:val="0"/>
      <w:divBdr>
        <w:top w:val="none" w:sz="0" w:space="0" w:color="auto"/>
        <w:left w:val="none" w:sz="0" w:space="0" w:color="auto"/>
        <w:bottom w:val="none" w:sz="0" w:space="0" w:color="auto"/>
        <w:right w:val="none" w:sz="0" w:space="0" w:color="auto"/>
      </w:divBdr>
    </w:div>
    <w:div w:id="1986742331">
      <w:bodyDiv w:val="1"/>
      <w:marLeft w:val="0"/>
      <w:marRight w:val="0"/>
      <w:marTop w:val="0"/>
      <w:marBottom w:val="0"/>
      <w:divBdr>
        <w:top w:val="none" w:sz="0" w:space="0" w:color="auto"/>
        <w:left w:val="none" w:sz="0" w:space="0" w:color="auto"/>
        <w:bottom w:val="none" w:sz="0" w:space="0" w:color="auto"/>
        <w:right w:val="none" w:sz="0" w:space="0" w:color="auto"/>
      </w:divBdr>
    </w:div>
    <w:div w:id="1987971614">
      <w:bodyDiv w:val="1"/>
      <w:marLeft w:val="0"/>
      <w:marRight w:val="0"/>
      <w:marTop w:val="0"/>
      <w:marBottom w:val="0"/>
      <w:divBdr>
        <w:top w:val="none" w:sz="0" w:space="0" w:color="auto"/>
        <w:left w:val="none" w:sz="0" w:space="0" w:color="auto"/>
        <w:bottom w:val="none" w:sz="0" w:space="0" w:color="auto"/>
        <w:right w:val="none" w:sz="0" w:space="0" w:color="auto"/>
      </w:divBdr>
    </w:div>
    <w:div w:id="1990279892">
      <w:bodyDiv w:val="1"/>
      <w:marLeft w:val="0"/>
      <w:marRight w:val="0"/>
      <w:marTop w:val="0"/>
      <w:marBottom w:val="0"/>
      <w:divBdr>
        <w:top w:val="none" w:sz="0" w:space="0" w:color="auto"/>
        <w:left w:val="none" w:sz="0" w:space="0" w:color="auto"/>
        <w:bottom w:val="none" w:sz="0" w:space="0" w:color="auto"/>
        <w:right w:val="none" w:sz="0" w:space="0" w:color="auto"/>
      </w:divBdr>
    </w:div>
    <w:div w:id="1993868724">
      <w:bodyDiv w:val="1"/>
      <w:marLeft w:val="0"/>
      <w:marRight w:val="0"/>
      <w:marTop w:val="0"/>
      <w:marBottom w:val="0"/>
      <w:divBdr>
        <w:top w:val="none" w:sz="0" w:space="0" w:color="auto"/>
        <w:left w:val="none" w:sz="0" w:space="0" w:color="auto"/>
        <w:bottom w:val="none" w:sz="0" w:space="0" w:color="auto"/>
        <w:right w:val="none" w:sz="0" w:space="0" w:color="auto"/>
      </w:divBdr>
    </w:div>
    <w:div w:id="2006010638">
      <w:bodyDiv w:val="1"/>
      <w:marLeft w:val="0"/>
      <w:marRight w:val="0"/>
      <w:marTop w:val="0"/>
      <w:marBottom w:val="0"/>
      <w:divBdr>
        <w:top w:val="none" w:sz="0" w:space="0" w:color="auto"/>
        <w:left w:val="none" w:sz="0" w:space="0" w:color="auto"/>
        <w:bottom w:val="none" w:sz="0" w:space="0" w:color="auto"/>
        <w:right w:val="none" w:sz="0" w:space="0" w:color="auto"/>
      </w:divBdr>
    </w:div>
    <w:div w:id="2011564446">
      <w:bodyDiv w:val="1"/>
      <w:marLeft w:val="0"/>
      <w:marRight w:val="0"/>
      <w:marTop w:val="0"/>
      <w:marBottom w:val="0"/>
      <w:divBdr>
        <w:top w:val="none" w:sz="0" w:space="0" w:color="auto"/>
        <w:left w:val="none" w:sz="0" w:space="0" w:color="auto"/>
        <w:bottom w:val="none" w:sz="0" w:space="0" w:color="auto"/>
        <w:right w:val="none" w:sz="0" w:space="0" w:color="auto"/>
      </w:divBdr>
    </w:div>
    <w:div w:id="2054385751">
      <w:bodyDiv w:val="1"/>
      <w:marLeft w:val="0"/>
      <w:marRight w:val="0"/>
      <w:marTop w:val="0"/>
      <w:marBottom w:val="0"/>
      <w:divBdr>
        <w:top w:val="none" w:sz="0" w:space="0" w:color="auto"/>
        <w:left w:val="none" w:sz="0" w:space="0" w:color="auto"/>
        <w:bottom w:val="none" w:sz="0" w:space="0" w:color="auto"/>
        <w:right w:val="none" w:sz="0" w:space="0" w:color="auto"/>
      </w:divBdr>
    </w:div>
    <w:div w:id="2075153227">
      <w:bodyDiv w:val="1"/>
      <w:marLeft w:val="0"/>
      <w:marRight w:val="0"/>
      <w:marTop w:val="0"/>
      <w:marBottom w:val="0"/>
      <w:divBdr>
        <w:top w:val="none" w:sz="0" w:space="0" w:color="auto"/>
        <w:left w:val="none" w:sz="0" w:space="0" w:color="auto"/>
        <w:bottom w:val="none" w:sz="0" w:space="0" w:color="auto"/>
        <w:right w:val="none" w:sz="0" w:space="0" w:color="auto"/>
      </w:divBdr>
      <w:divsChild>
        <w:div w:id="1147429564">
          <w:marLeft w:val="547"/>
          <w:marRight w:val="0"/>
          <w:marTop w:val="0"/>
          <w:marBottom w:val="0"/>
          <w:divBdr>
            <w:top w:val="none" w:sz="0" w:space="0" w:color="auto"/>
            <w:left w:val="none" w:sz="0" w:space="0" w:color="auto"/>
            <w:bottom w:val="none" w:sz="0" w:space="0" w:color="auto"/>
            <w:right w:val="none" w:sz="0" w:space="0" w:color="auto"/>
          </w:divBdr>
        </w:div>
      </w:divsChild>
    </w:div>
    <w:div w:id="2089958126">
      <w:bodyDiv w:val="1"/>
      <w:marLeft w:val="0"/>
      <w:marRight w:val="0"/>
      <w:marTop w:val="0"/>
      <w:marBottom w:val="0"/>
      <w:divBdr>
        <w:top w:val="none" w:sz="0" w:space="0" w:color="auto"/>
        <w:left w:val="none" w:sz="0" w:space="0" w:color="auto"/>
        <w:bottom w:val="none" w:sz="0" w:space="0" w:color="auto"/>
        <w:right w:val="none" w:sz="0" w:space="0" w:color="auto"/>
      </w:divBdr>
    </w:div>
    <w:div w:id="2125466817">
      <w:bodyDiv w:val="1"/>
      <w:marLeft w:val="0"/>
      <w:marRight w:val="0"/>
      <w:marTop w:val="0"/>
      <w:marBottom w:val="0"/>
      <w:divBdr>
        <w:top w:val="none" w:sz="0" w:space="0" w:color="auto"/>
        <w:left w:val="none" w:sz="0" w:space="0" w:color="auto"/>
        <w:bottom w:val="none" w:sz="0" w:space="0" w:color="auto"/>
        <w:right w:val="none" w:sz="0" w:space="0" w:color="auto"/>
      </w:divBdr>
    </w:div>
    <w:div w:id="214303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annual-reports" TargetMode="External"/><Relationship Id="rId18" Type="http://schemas.openxmlformats.org/officeDocument/2006/relationships/hyperlink" Target="https://www.buyingfor.vic.gov.au/procurement-policy-changes-goods-and-services" TargetMode="External"/><Relationship Id="rId26" Type="http://schemas.openxmlformats.org/officeDocument/2006/relationships/chart" Target="charts/chart3.xml"/><Relationship Id="rId39" Type="http://schemas.openxmlformats.org/officeDocument/2006/relationships/chart" Target="charts/chart15.xml"/><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chart" Target="charts/chart10.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uyingfor.vic.gov.au/annual-reports" TargetMode="External"/><Relationship Id="rId17" Type="http://schemas.openxmlformats.org/officeDocument/2006/relationships/image" Target="media/image2.png"/><Relationship Id="rId25" Type="http://schemas.openxmlformats.org/officeDocument/2006/relationships/chart" Target="charts/chart2.xml"/><Relationship Id="rId33" Type="http://schemas.openxmlformats.org/officeDocument/2006/relationships/chart" Target="charts/chart9.xml"/><Relationship Id="rId38" Type="http://schemas.openxmlformats.org/officeDocument/2006/relationships/chart" Target="charts/chart1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yingfor.vic.gov.au/" TargetMode="External"/><Relationship Id="rId20" Type="http://schemas.openxmlformats.org/officeDocument/2006/relationships/diagramLayout" Target="diagrams/layout1.xml"/><Relationship Id="rId29" Type="http://schemas.openxmlformats.org/officeDocument/2006/relationships/chart" Target="charts/chart6.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policy@dtf.vic.gov.au" TargetMode="External"/><Relationship Id="rId24" Type="http://schemas.openxmlformats.org/officeDocument/2006/relationships/chart" Target="charts/chart1.xm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chart" Target="charts/chart16.xml"/><Relationship Id="rId45" Type="http://schemas.openxmlformats.org/officeDocument/2006/relationships/hyperlink" Target="https://www.buyingfor.vic.gov.au/glossary-goods-and-services" TargetMode="External"/><Relationship Id="rId5" Type="http://schemas.openxmlformats.org/officeDocument/2006/relationships/settings" Target="settings.xml"/><Relationship Id="rId15" Type="http://schemas.openxmlformats.org/officeDocument/2006/relationships/hyperlink" Target="https://www.buyingfor.vic.gov.au/social-procurement-annual-reports" TargetMode="External"/><Relationship Id="rId23" Type="http://schemas.microsoft.com/office/2007/relationships/diagramDrawing" Target="diagrams/drawing1.xml"/><Relationship Id="rId28" Type="http://schemas.openxmlformats.org/officeDocument/2006/relationships/chart" Target="charts/chart5.xml"/><Relationship Id="rId36" Type="http://schemas.openxmlformats.org/officeDocument/2006/relationships/chart" Target="charts/chart12.xml"/><Relationship Id="rId10" Type="http://schemas.openxmlformats.org/officeDocument/2006/relationships/image" Target="media/image1.emf"/><Relationship Id="rId19" Type="http://schemas.openxmlformats.org/officeDocument/2006/relationships/diagramData" Target="diagrams/data1.xml"/><Relationship Id="rId31" Type="http://schemas.openxmlformats.org/officeDocument/2006/relationships/chart" Target="charts/chart7.xm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vgpb@dtf.vic.gov.au" TargetMode="External"/><Relationship Id="rId14" Type="http://schemas.openxmlformats.org/officeDocument/2006/relationships/hyperlink" Target="https://buyingfor.vic.gov.au/goods-and-services-mandated-agencies" TargetMode="External"/><Relationship Id="rId22" Type="http://schemas.openxmlformats.org/officeDocument/2006/relationships/diagramColors" Target="diagrams/colors1.xml"/><Relationship Id="rId27" Type="http://schemas.openxmlformats.org/officeDocument/2006/relationships/chart" Target="charts/chart4.xml"/><Relationship Id="rId30" Type="http://schemas.openxmlformats.org/officeDocument/2006/relationships/hyperlink" Target="http://www.buyingfor.vic.gov.au" TargetMode="External"/><Relationship Id="rId35" Type="http://schemas.openxmlformats.org/officeDocument/2006/relationships/chart" Target="charts/chart11.xml"/><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Copy%20of%20ASR%202020%20Data%20Collector%20v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DJPR\VGPB%20ASR%202019-20_template%202_Contract%20data%20DRAFT%20-%2005.08.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DJCS\VGPB%20ASR%202019-20_template%202_Contract%20data-%20submissi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DPC\DPC-%20VGPB%20ASR%202019-20%20-%20Contract%20Data%20V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DOT\VGPB%20ASR%202019-20_template%202_Contract%20data%20V0.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DTF\Item%205%20-%20Template%202%20-%20DTF%20Draf~se%20ASR%202019-20%20-%20Contract%20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Cenitex\FY1920_VGPB-ASR-2019-20_template2_Cenitex.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VicPol\VGPB%20ASR%202019-20_template%202_Contract%20data%20%20Vic%20Pol%20Draft%20v0.2.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Copy%20of%20ASR%202020%20Data%20Collector%20v1.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Copy%20of%20ASR%202020%20Data%20Collector%20v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Copy%20of%20ASR%202020%20Data%20Collector%20v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Copy%20of%20ASR%202020%20Data%20Collector%20v1.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Copy%20of%20ASR%202020%20Data%20Collector%20v1.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DET\DRAFTv2%20DET%20ASR%202019-20_template%202_Contract%20data_VGPB%20sign-off.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DELWP\DELWP%20-%20VGPB%20ASR%202019-20_template%202_Contract%20data_19082020%20(VGPB%20amended).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keeli\Dropbox\Work\VGPB%20Annual%20Report%202019-20\ASR%20analysis\FINALs\DHHS\DHHS%20VGPB%20ASR%202019-20_template%202_Contract%20data_FINA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Number of contract approvals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Aggregated!$AC$33</c:f>
              <c:strCache>
                <c:ptCount val="1"/>
                <c:pt idx="0">
                  <c:v>One-off supplies</c:v>
                </c:pt>
              </c:strCache>
            </c:strRef>
          </c:tx>
          <c:spPr>
            <a:solidFill>
              <a:schemeClr val="accent1"/>
            </a:solidFill>
            <a:ln>
              <a:noFill/>
            </a:ln>
            <a:effectLst/>
          </c:spPr>
          <c:invertIfNegative val="0"/>
          <c:cat>
            <c:strRef>
              <c:f>Aggregated!$AB$34:$AB$36</c:f>
              <c:strCache>
                <c:ptCount val="3"/>
                <c:pt idx="0">
                  <c:v>2019-20</c:v>
                </c:pt>
                <c:pt idx="1">
                  <c:v>2018-19</c:v>
                </c:pt>
                <c:pt idx="2">
                  <c:v>2017-18</c:v>
                </c:pt>
              </c:strCache>
            </c:strRef>
          </c:cat>
          <c:val>
            <c:numRef>
              <c:f>Aggregated!$AC$34:$AC$36</c:f>
              <c:numCache>
                <c:formatCode>General</c:formatCode>
                <c:ptCount val="3"/>
                <c:pt idx="0">
                  <c:v>1607</c:v>
                </c:pt>
                <c:pt idx="1">
                  <c:v>1239</c:v>
                </c:pt>
                <c:pt idx="2">
                  <c:v>1152</c:v>
                </c:pt>
              </c:numCache>
            </c:numRef>
          </c:val>
          <c:extLst>
            <c:ext xmlns:c16="http://schemas.microsoft.com/office/drawing/2014/chart" uri="{C3380CC4-5D6E-409C-BE32-E72D297353CC}">
              <c16:uniqueId val="{00000000-68AA-420E-A168-71391687C3C0}"/>
            </c:ext>
          </c:extLst>
        </c:ser>
        <c:ser>
          <c:idx val="1"/>
          <c:order val="1"/>
          <c:tx>
            <c:strRef>
              <c:f>Aggregated!$AD$33</c:f>
              <c:strCache>
                <c:ptCount val="1"/>
                <c:pt idx="0">
                  <c:v>SEPC</c:v>
                </c:pt>
              </c:strCache>
            </c:strRef>
          </c:tx>
          <c:spPr>
            <a:solidFill>
              <a:schemeClr val="accent2"/>
            </a:solidFill>
            <a:ln>
              <a:noFill/>
            </a:ln>
            <a:effectLst/>
          </c:spPr>
          <c:invertIfNegative val="0"/>
          <c:cat>
            <c:strRef>
              <c:f>Aggregated!$AB$34:$AB$36</c:f>
              <c:strCache>
                <c:ptCount val="3"/>
                <c:pt idx="0">
                  <c:v>2019-20</c:v>
                </c:pt>
                <c:pt idx="1">
                  <c:v>2018-19</c:v>
                </c:pt>
                <c:pt idx="2">
                  <c:v>2017-18</c:v>
                </c:pt>
              </c:strCache>
            </c:strRef>
          </c:cat>
          <c:val>
            <c:numRef>
              <c:f>Aggregated!$AD$34:$AD$36</c:f>
              <c:numCache>
                <c:formatCode>General</c:formatCode>
                <c:ptCount val="3"/>
                <c:pt idx="0">
                  <c:v>44</c:v>
                </c:pt>
                <c:pt idx="1">
                  <c:v>32</c:v>
                </c:pt>
                <c:pt idx="2">
                  <c:v>36</c:v>
                </c:pt>
              </c:numCache>
            </c:numRef>
          </c:val>
          <c:extLst>
            <c:ext xmlns:c16="http://schemas.microsoft.com/office/drawing/2014/chart" uri="{C3380CC4-5D6E-409C-BE32-E72D297353CC}">
              <c16:uniqueId val="{00000001-68AA-420E-A168-71391687C3C0}"/>
            </c:ext>
          </c:extLst>
        </c:ser>
        <c:ser>
          <c:idx val="2"/>
          <c:order val="2"/>
          <c:tx>
            <c:strRef>
              <c:f>Aggregated!$AE$33</c:f>
              <c:strCache>
                <c:ptCount val="1"/>
                <c:pt idx="0">
                  <c:v>SPC</c:v>
                </c:pt>
              </c:strCache>
            </c:strRef>
          </c:tx>
          <c:spPr>
            <a:solidFill>
              <a:schemeClr val="accent3"/>
            </a:solidFill>
            <a:ln>
              <a:noFill/>
            </a:ln>
            <a:effectLst/>
          </c:spPr>
          <c:invertIfNegative val="0"/>
          <c:cat>
            <c:strRef>
              <c:f>Aggregated!$AB$34:$AB$36</c:f>
              <c:strCache>
                <c:ptCount val="3"/>
                <c:pt idx="0">
                  <c:v>2019-20</c:v>
                </c:pt>
                <c:pt idx="1">
                  <c:v>2018-19</c:v>
                </c:pt>
                <c:pt idx="2">
                  <c:v>2017-18</c:v>
                </c:pt>
              </c:strCache>
            </c:strRef>
          </c:cat>
          <c:val>
            <c:numRef>
              <c:f>Aggregated!$AE$34:$AE$36</c:f>
              <c:numCache>
                <c:formatCode>General</c:formatCode>
                <c:ptCount val="3"/>
                <c:pt idx="0">
                  <c:v>6</c:v>
                </c:pt>
                <c:pt idx="1">
                  <c:v>9</c:v>
                </c:pt>
                <c:pt idx="2">
                  <c:v>9</c:v>
                </c:pt>
              </c:numCache>
            </c:numRef>
          </c:val>
          <c:extLst>
            <c:ext xmlns:c16="http://schemas.microsoft.com/office/drawing/2014/chart" uri="{C3380CC4-5D6E-409C-BE32-E72D297353CC}">
              <c16:uniqueId val="{00000002-68AA-420E-A168-71391687C3C0}"/>
            </c:ext>
          </c:extLst>
        </c:ser>
        <c:dLbls>
          <c:showLegendKey val="0"/>
          <c:showVal val="0"/>
          <c:showCatName val="0"/>
          <c:showSerName val="0"/>
          <c:showPercent val="0"/>
          <c:showBubbleSize val="0"/>
        </c:dLbls>
        <c:gapWidth val="150"/>
        <c:overlap val="100"/>
        <c:axId val="538139024"/>
        <c:axId val="538135416"/>
      </c:barChart>
      <c:catAx>
        <c:axId val="538139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135416"/>
        <c:crosses val="autoZero"/>
        <c:auto val="1"/>
        <c:lblAlgn val="ctr"/>
        <c:lblOffset val="100"/>
        <c:noMultiLvlLbl val="0"/>
      </c:catAx>
      <c:valAx>
        <c:axId val="538135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13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F03-4E67-8766-0DDC3CB91B9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F03-4E67-8766-0DDC3CB91B9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F03-4E67-8766-0DDC3CB91B9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F03-4E67-8766-0DDC3CB91B9C}"/>
              </c:ext>
            </c:extLst>
          </c:dPt>
          <c:cat>
            <c:strRef>
              <c:f>'1-5'!$I$32:$I$35</c:f>
              <c:strCache>
                <c:ptCount val="4"/>
                <c:pt idx="0">
                  <c:v>Transactional</c:v>
                </c:pt>
                <c:pt idx="1">
                  <c:v>Leveraged</c:v>
                </c:pt>
                <c:pt idx="2">
                  <c:v>Focused</c:v>
                </c:pt>
                <c:pt idx="3">
                  <c:v>Strategic</c:v>
                </c:pt>
              </c:strCache>
            </c:strRef>
          </c:cat>
          <c:val>
            <c:numRef>
              <c:f>'1-5'!$J$32:$J$35</c:f>
              <c:numCache>
                <c:formatCode>#,##0</c:formatCode>
                <c:ptCount val="4"/>
                <c:pt idx="0">
                  <c:v>114</c:v>
                </c:pt>
                <c:pt idx="1">
                  <c:v>7</c:v>
                </c:pt>
                <c:pt idx="2">
                  <c:v>21</c:v>
                </c:pt>
                <c:pt idx="3">
                  <c:v>16</c:v>
                </c:pt>
              </c:numCache>
            </c:numRef>
          </c:val>
          <c:extLst>
            <c:ext xmlns:c16="http://schemas.microsoft.com/office/drawing/2014/chart" uri="{C3380CC4-5D6E-409C-BE32-E72D297353CC}">
              <c16:uniqueId val="{00000008-0F03-4E67-8766-0DDC3CB91B9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81-4868-B066-9F6A6478D9D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81-4868-B066-9F6A6478D9D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81-4868-B066-9F6A6478D9D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81-4868-B066-9F6A6478D9D1}"/>
              </c:ext>
            </c:extLst>
          </c:dPt>
          <c:cat>
            <c:strRef>
              <c:f>'1-5'!$I$33:$I$36</c:f>
              <c:strCache>
                <c:ptCount val="4"/>
                <c:pt idx="0">
                  <c:v>Transactional</c:v>
                </c:pt>
                <c:pt idx="1">
                  <c:v>Leveraged</c:v>
                </c:pt>
                <c:pt idx="2">
                  <c:v>Focused</c:v>
                </c:pt>
                <c:pt idx="3">
                  <c:v>Strategic</c:v>
                </c:pt>
              </c:strCache>
            </c:strRef>
          </c:cat>
          <c:val>
            <c:numRef>
              <c:f>'1-5'!$J$33:$J$36</c:f>
              <c:numCache>
                <c:formatCode>#,##0</c:formatCode>
                <c:ptCount val="4"/>
                <c:pt idx="0">
                  <c:v>27</c:v>
                </c:pt>
                <c:pt idx="1">
                  <c:v>11</c:v>
                </c:pt>
                <c:pt idx="2">
                  <c:v>29</c:v>
                </c:pt>
                <c:pt idx="3">
                  <c:v>16</c:v>
                </c:pt>
              </c:numCache>
            </c:numRef>
          </c:val>
          <c:extLst>
            <c:ext xmlns:c16="http://schemas.microsoft.com/office/drawing/2014/chart" uri="{C3380CC4-5D6E-409C-BE32-E72D297353CC}">
              <c16:uniqueId val="{00000008-F381-4868-B066-9F6A6478D9D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A8-41DE-B756-56EE4A50BD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A8-41DE-B756-56EE4A50BD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A8-41DE-B756-56EE4A50BD0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A8-41DE-B756-56EE4A50BD0B}"/>
              </c:ext>
            </c:extLst>
          </c:dPt>
          <c:cat>
            <c:strRef>
              <c:f>'1-5'!$I$32:$I$35</c:f>
              <c:strCache>
                <c:ptCount val="4"/>
                <c:pt idx="0">
                  <c:v>Transactional</c:v>
                </c:pt>
                <c:pt idx="1">
                  <c:v>Leveraged</c:v>
                </c:pt>
                <c:pt idx="2">
                  <c:v>Focused</c:v>
                </c:pt>
                <c:pt idx="3">
                  <c:v>Strategic</c:v>
                </c:pt>
              </c:strCache>
            </c:strRef>
          </c:cat>
          <c:val>
            <c:numRef>
              <c:f>'1-5'!$J$32:$J$35</c:f>
              <c:numCache>
                <c:formatCode>#,##0</c:formatCode>
                <c:ptCount val="4"/>
                <c:pt idx="0">
                  <c:v>57</c:v>
                </c:pt>
                <c:pt idx="1">
                  <c:v>3</c:v>
                </c:pt>
                <c:pt idx="2">
                  <c:v>3</c:v>
                </c:pt>
                <c:pt idx="3">
                  <c:v>9</c:v>
                </c:pt>
              </c:numCache>
            </c:numRef>
          </c:val>
          <c:extLst>
            <c:ext xmlns:c16="http://schemas.microsoft.com/office/drawing/2014/chart" uri="{C3380CC4-5D6E-409C-BE32-E72D297353CC}">
              <c16:uniqueId val="{00000008-0AA8-41DE-B756-56EE4A50BD0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2C-4D91-8E16-5F84F2D346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2C-4D91-8E16-5F84F2D346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2C-4D91-8E16-5F84F2D3461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F2C-4D91-8E16-5F84F2D34617}"/>
              </c:ext>
            </c:extLst>
          </c:dPt>
          <c:cat>
            <c:strRef>
              <c:f>'1-5'!$K$32:$K$35</c:f>
              <c:strCache>
                <c:ptCount val="4"/>
                <c:pt idx="0">
                  <c:v>Transactional</c:v>
                </c:pt>
                <c:pt idx="1">
                  <c:v>Leveraged</c:v>
                </c:pt>
                <c:pt idx="2">
                  <c:v>Focused</c:v>
                </c:pt>
                <c:pt idx="3">
                  <c:v>Strategic</c:v>
                </c:pt>
              </c:strCache>
            </c:strRef>
          </c:cat>
          <c:val>
            <c:numRef>
              <c:f>'1-5'!$L$32:$L$35</c:f>
              <c:numCache>
                <c:formatCode>General</c:formatCode>
                <c:ptCount val="4"/>
                <c:pt idx="0">
                  <c:v>64.599999999999994</c:v>
                </c:pt>
                <c:pt idx="1">
                  <c:v>12.7</c:v>
                </c:pt>
                <c:pt idx="2">
                  <c:v>20.3</c:v>
                </c:pt>
                <c:pt idx="3">
                  <c:v>2.5</c:v>
                </c:pt>
              </c:numCache>
            </c:numRef>
          </c:val>
          <c:extLst>
            <c:ext xmlns:c16="http://schemas.microsoft.com/office/drawing/2014/chart" uri="{C3380CC4-5D6E-409C-BE32-E72D297353CC}">
              <c16:uniqueId val="{00000008-9F2C-4D91-8E16-5F84F2D3461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35-499D-BC51-8EF24D77D1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35-499D-BC51-8EF24D77D1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35-499D-BC51-8EF24D77D1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035-499D-BC51-8EF24D77D133}"/>
              </c:ext>
            </c:extLst>
          </c:dPt>
          <c:cat>
            <c:strRef>
              <c:f>'1-5'!$I$32:$I$35</c:f>
              <c:strCache>
                <c:ptCount val="4"/>
                <c:pt idx="0">
                  <c:v>Transactional</c:v>
                </c:pt>
                <c:pt idx="1">
                  <c:v>Leveraged</c:v>
                </c:pt>
                <c:pt idx="2">
                  <c:v>Focused</c:v>
                </c:pt>
                <c:pt idx="3">
                  <c:v>Strategic</c:v>
                </c:pt>
              </c:strCache>
            </c:strRef>
          </c:cat>
          <c:val>
            <c:numRef>
              <c:f>'1-5'!$J$32:$J$35</c:f>
              <c:numCache>
                <c:formatCode>#,##0</c:formatCode>
                <c:ptCount val="4"/>
                <c:pt idx="0">
                  <c:v>25</c:v>
                </c:pt>
                <c:pt idx="1">
                  <c:v>0</c:v>
                </c:pt>
                <c:pt idx="2">
                  <c:v>0</c:v>
                </c:pt>
                <c:pt idx="3">
                  <c:v>1</c:v>
                </c:pt>
              </c:numCache>
            </c:numRef>
          </c:val>
          <c:extLst>
            <c:ext xmlns:c16="http://schemas.microsoft.com/office/drawing/2014/chart" uri="{C3380CC4-5D6E-409C-BE32-E72D297353CC}">
              <c16:uniqueId val="{00000008-6035-499D-BC51-8EF24D77D13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E0-475E-AF1E-18BFF55768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E0-475E-AF1E-18BFF55768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0E0-475E-AF1E-18BFF557686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0E0-475E-AF1E-18BFF55768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'1-5'!$I$32:$I$35</c:f>
              <c:strCache>
                <c:ptCount val="4"/>
                <c:pt idx="0">
                  <c:v>Transactional</c:v>
                </c:pt>
                <c:pt idx="1">
                  <c:v>Leveraged</c:v>
                </c:pt>
                <c:pt idx="2">
                  <c:v>Focused</c:v>
                </c:pt>
                <c:pt idx="3">
                  <c:v>Strategic</c:v>
                </c:pt>
              </c:strCache>
            </c:strRef>
          </c:cat>
          <c:val>
            <c:numRef>
              <c:f>'1-5'!$J$32:$J$35</c:f>
              <c:numCache>
                <c:formatCode>#,##0</c:formatCode>
                <c:ptCount val="4"/>
                <c:pt idx="0">
                  <c:v>7</c:v>
                </c:pt>
                <c:pt idx="1">
                  <c:v>9</c:v>
                </c:pt>
                <c:pt idx="2">
                  <c:v>3</c:v>
                </c:pt>
                <c:pt idx="3">
                  <c:v>0</c:v>
                </c:pt>
              </c:numCache>
            </c:numRef>
          </c:val>
          <c:extLst>
            <c:ext xmlns:c16="http://schemas.microsoft.com/office/drawing/2014/chart" uri="{C3380CC4-5D6E-409C-BE32-E72D297353CC}">
              <c16:uniqueId val="{00000008-F0E0-475E-AF1E-18BFF557686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88-4E3D-9DDB-F8AE3969DE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88-4E3D-9DDB-F8AE3969DE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88-4E3D-9DDB-F8AE3969DE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88-4E3D-9DDB-F8AE3969DEE4}"/>
              </c:ext>
            </c:extLst>
          </c:dPt>
          <c:cat>
            <c:strRef>
              <c:f>'1-5'!$I$32:$I$35</c:f>
              <c:strCache>
                <c:ptCount val="4"/>
                <c:pt idx="0">
                  <c:v>Transactional</c:v>
                </c:pt>
                <c:pt idx="1">
                  <c:v>Leveraged</c:v>
                </c:pt>
                <c:pt idx="2">
                  <c:v>Focused</c:v>
                </c:pt>
                <c:pt idx="3">
                  <c:v>Strategic</c:v>
                </c:pt>
              </c:strCache>
            </c:strRef>
          </c:cat>
          <c:val>
            <c:numRef>
              <c:f>'1-5'!$J$32:$J$35</c:f>
              <c:numCache>
                <c:formatCode>#,##0</c:formatCode>
                <c:ptCount val="4"/>
                <c:pt idx="0">
                  <c:v>41</c:v>
                </c:pt>
                <c:pt idx="1">
                  <c:v>4</c:v>
                </c:pt>
                <c:pt idx="2">
                  <c:v>3</c:v>
                </c:pt>
                <c:pt idx="3">
                  <c:v>0</c:v>
                </c:pt>
              </c:numCache>
            </c:numRef>
          </c:val>
          <c:extLst>
            <c:ext xmlns:c16="http://schemas.microsoft.com/office/drawing/2014/chart" uri="{C3380CC4-5D6E-409C-BE32-E72D297353CC}">
              <c16:uniqueId val="{00000008-2788-4E3D-9DDB-F8AE3969DE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Value of contract</a:t>
            </a:r>
            <a:r>
              <a:rPr lang="en-AU" baseline="0"/>
              <a:t> approvals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Aggregated!$AC$28</c:f>
              <c:strCache>
                <c:ptCount val="1"/>
                <c:pt idx="0">
                  <c:v>One-off supplies</c:v>
                </c:pt>
              </c:strCache>
            </c:strRef>
          </c:tx>
          <c:spPr>
            <a:solidFill>
              <a:schemeClr val="accent1"/>
            </a:solidFill>
            <a:ln>
              <a:noFill/>
            </a:ln>
            <a:effectLst/>
          </c:spPr>
          <c:invertIfNegative val="0"/>
          <c:cat>
            <c:strRef>
              <c:f>Aggregated!$AB$29:$AB$31</c:f>
              <c:strCache>
                <c:ptCount val="3"/>
                <c:pt idx="0">
                  <c:v>2019-20</c:v>
                </c:pt>
                <c:pt idx="1">
                  <c:v>2018-19</c:v>
                </c:pt>
                <c:pt idx="2">
                  <c:v>2017-18</c:v>
                </c:pt>
              </c:strCache>
            </c:strRef>
          </c:cat>
          <c:val>
            <c:numRef>
              <c:f>Aggregated!$AC$29:$AC$31</c:f>
              <c:numCache>
                <c:formatCode>"$"#.#,,;</c:formatCode>
                <c:ptCount val="3"/>
                <c:pt idx="0">
                  <c:v>1557387343.7260001</c:v>
                </c:pt>
                <c:pt idx="1">
                  <c:v>1249700000</c:v>
                </c:pt>
                <c:pt idx="2">
                  <c:v>1515800000</c:v>
                </c:pt>
              </c:numCache>
            </c:numRef>
          </c:val>
          <c:extLst>
            <c:ext xmlns:c16="http://schemas.microsoft.com/office/drawing/2014/chart" uri="{C3380CC4-5D6E-409C-BE32-E72D297353CC}">
              <c16:uniqueId val="{00000000-1116-4BB8-A67F-21BB5E07ACDF}"/>
            </c:ext>
          </c:extLst>
        </c:ser>
        <c:ser>
          <c:idx val="1"/>
          <c:order val="1"/>
          <c:tx>
            <c:strRef>
              <c:f>Aggregated!$AD$28</c:f>
              <c:strCache>
                <c:ptCount val="1"/>
                <c:pt idx="0">
                  <c:v>SEPC</c:v>
                </c:pt>
              </c:strCache>
            </c:strRef>
          </c:tx>
          <c:spPr>
            <a:solidFill>
              <a:schemeClr val="accent2"/>
            </a:solidFill>
            <a:ln>
              <a:noFill/>
            </a:ln>
            <a:effectLst/>
          </c:spPr>
          <c:invertIfNegative val="0"/>
          <c:cat>
            <c:strRef>
              <c:f>Aggregated!$AB$29:$AB$31</c:f>
              <c:strCache>
                <c:ptCount val="3"/>
                <c:pt idx="0">
                  <c:v>2019-20</c:v>
                </c:pt>
                <c:pt idx="1">
                  <c:v>2018-19</c:v>
                </c:pt>
                <c:pt idx="2">
                  <c:v>2017-18</c:v>
                </c:pt>
              </c:strCache>
            </c:strRef>
          </c:cat>
          <c:val>
            <c:numRef>
              <c:f>Aggregated!$AD$29:$AD$31</c:f>
              <c:numCache>
                <c:formatCode>"$"#.#,,;</c:formatCode>
                <c:ptCount val="3"/>
                <c:pt idx="0">
                  <c:v>98837801</c:v>
                </c:pt>
                <c:pt idx="1">
                  <c:v>441900000</c:v>
                </c:pt>
                <c:pt idx="2">
                  <c:v>254200000</c:v>
                </c:pt>
              </c:numCache>
            </c:numRef>
          </c:val>
          <c:extLst>
            <c:ext xmlns:c16="http://schemas.microsoft.com/office/drawing/2014/chart" uri="{C3380CC4-5D6E-409C-BE32-E72D297353CC}">
              <c16:uniqueId val="{00000001-1116-4BB8-A67F-21BB5E07ACDF}"/>
            </c:ext>
          </c:extLst>
        </c:ser>
        <c:ser>
          <c:idx val="2"/>
          <c:order val="2"/>
          <c:tx>
            <c:strRef>
              <c:f>Aggregated!$AE$28</c:f>
              <c:strCache>
                <c:ptCount val="1"/>
                <c:pt idx="0">
                  <c:v>SPC</c:v>
                </c:pt>
              </c:strCache>
            </c:strRef>
          </c:tx>
          <c:spPr>
            <a:solidFill>
              <a:schemeClr val="accent3"/>
            </a:solidFill>
            <a:ln>
              <a:noFill/>
            </a:ln>
            <a:effectLst/>
          </c:spPr>
          <c:invertIfNegative val="0"/>
          <c:cat>
            <c:strRef>
              <c:f>Aggregated!$AB$29:$AB$31</c:f>
              <c:strCache>
                <c:ptCount val="3"/>
                <c:pt idx="0">
                  <c:v>2019-20</c:v>
                </c:pt>
                <c:pt idx="1">
                  <c:v>2018-19</c:v>
                </c:pt>
                <c:pt idx="2">
                  <c:v>2017-18</c:v>
                </c:pt>
              </c:strCache>
            </c:strRef>
          </c:cat>
          <c:val>
            <c:numRef>
              <c:f>Aggregated!$AE$29:$AE$31</c:f>
              <c:numCache>
                <c:formatCode>"$"#.#,,;</c:formatCode>
                <c:ptCount val="3"/>
                <c:pt idx="0">
                  <c:v>295482586</c:v>
                </c:pt>
                <c:pt idx="1">
                  <c:v>885800000</c:v>
                </c:pt>
                <c:pt idx="2">
                  <c:v>1241200000</c:v>
                </c:pt>
              </c:numCache>
            </c:numRef>
          </c:val>
          <c:extLst>
            <c:ext xmlns:c16="http://schemas.microsoft.com/office/drawing/2014/chart" uri="{C3380CC4-5D6E-409C-BE32-E72D297353CC}">
              <c16:uniqueId val="{00000002-1116-4BB8-A67F-21BB5E07ACDF}"/>
            </c:ext>
          </c:extLst>
        </c:ser>
        <c:dLbls>
          <c:showLegendKey val="0"/>
          <c:showVal val="0"/>
          <c:showCatName val="0"/>
          <c:showSerName val="0"/>
          <c:showPercent val="0"/>
          <c:showBubbleSize val="0"/>
        </c:dLbls>
        <c:gapWidth val="150"/>
        <c:overlap val="100"/>
        <c:axId val="638738528"/>
        <c:axId val="638738200"/>
      </c:barChart>
      <c:catAx>
        <c:axId val="638738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738200"/>
        <c:crosses val="autoZero"/>
        <c:auto val="1"/>
        <c:lblAlgn val="ctr"/>
        <c:lblOffset val="100"/>
        <c:noMultiLvlLbl val="0"/>
      </c:catAx>
      <c:valAx>
        <c:axId val="638738200"/>
        <c:scaling>
          <c:orientation val="minMax"/>
        </c:scaling>
        <c:delete val="0"/>
        <c:axPos val="b"/>
        <c:majorGridlines>
          <c:spPr>
            <a:ln w="9525" cap="flat" cmpd="sng" algn="ctr">
              <a:solidFill>
                <a:schemeClr val="tx1">
                  <a:lumMod val="15000"/>
                  <a:lumOff val="85000"/>
                </a:schemeClr>
              </a:solidFill>
              <a:round/>
            </a:ln>
            <a:effectLst/>
          </c:spPr>
        </c:majorGridlines>
        <c:numFmt formatCode="&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738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3B-456A-B710-89AD91147F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3B-456A-B710-89AD91147F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73B-456A-B710-89AD91147F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73B-456A-B710-89AD91147F45}"/>
              </c:ext>
            </c:extLst>
          </c:dPt>
          <c:cat>
            <c:strRef>
              <c:f>Aggregated!$I$119:$I$122</c:f>
              <c:strCache>
                <c:ptCount val="4"/>
                <c:pt idx="0">
                  <c:v>Transactional</c:v>
                </c:pt>
                <c:pt idx="1">
                  <c:v>Leveraged</c:v>
                </c:pt>
                <c:pt idx="2">
                  <c:v>Focused</c:v>
                </c:pt>
                <c:pt idx="3">
                  <c:v>Strategic</c:v>
                </c:pt>
              </c:strCache>
            </c:strRef>
          </c:cat>
          <c:val>
            <c:numRef>
              <c:f>Aggregated!$J$119:$J$122</c:f>
              <c:numCache>
                <c:formatCode>0.0</c:formatCode>
                <c:ptCount val="4"/>
                <c:pt idx="0">
                  <c:v>58.195211786372013</c:v>
                </c:pt>
                <c:pt idx="1">
                  <c:v>13.627992633517495</c:v>
                </c:pt>
                <c:pt idx="2">
                  <c:v>18.324125230202579</c:v>
                </c:pt>
                <c:pt idx="3">
                  <c:v>9.8526703499079193</c:v>
                </c:pt>
              </c:numCache>
            </c:numRef>
          </c:val>
          <c:extLst>
            <c:ext xmlns:c16="http://schemas.microsoft.com/office/drawing/2014/chart" uri="{C3380CC4-5D6E-409C-BE32-E72D297353CC}">
              <c16:uniqueId val="{00000008-873B-456A-B710-89AD91147F4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6B-4D8F-A911-952789ED02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6B-4D8F-A911-952789ED02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6B-4D8F-A911-952789ED02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6B-4D8F-A911-952789ED021F}"/>
              </c:ext>
            </c:extLst>
          </c:dPt>
          <c:cat>
            <c:strRef>
              <c:f>Aggregated!$I$119:$I$122</c:f>
              <c:strCache>
                <c:ptCount val="4"/>
                <c:pt idx="0">
                  <c:v>Transactional</c:v>
                </c:pt>
                <c:pt idx="1">
                  <c:v>Leveraged</c:v>
                </c:pt>
                <c:pt idx="2">
                  <c:v>Focused</c:v>
                </c:pt>
                <c:pt idx="3">
                  <c:v>Strategic</c:v>
                </c:pt>
              </c:strCache>
            </c:strRef>
          </c:cat>
          <c:val>
            <c:numRef>
              <c:f>Aggregated!$K$119:$K$122</c:f>
              <c:numCache>
                <c:formatCode>0.0</c:formatCode>
                <c:ptCount val="4"/>
                <c:pt idx="0">
                  <c:v>28.312815038524956</c:v>
                </c:pt>
                <c:pt idx="1">
                  <c:v>15.062195711631926</c:v>
                </c:pt>
                <c:pt idx="2">
                  <c:v>19.293554061789717</c:v>
                </c:pt>
                <c:pt idx="3">
                  <c:v>37.331435188053405</c:v>
                </c:pt>
              </c:numCache>
            </c:numRef>
          </c:val>
          <c:extLst>
            <c:ext xmlns:c16="http://schemas.microsoft.com/office/drawing/2014/chart" uri="{C3380CC4-5D6E-409C-BE32-E72D297353CC}">
              <c16:uniqueId val="{00000008-D56B-4D8F-A911-952789ED021F}"/>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Aggregated!$A$147</c:f>
              <c:strCache>
                <c:ptCount val="1"/>
                <c:pt idx="0">
                  <c:v>Transactional</c:v>
                </c:pt>
              </c:strCache>
            </c:strRef>
          </c:tx>
          <c:spPr>
            <a:solidFill>
              <a:schemeClr val="accent1"/>
            </a:solidFill>
            <a:ln>
              <a:noFill/>
            </a:ln>
            <a:effectLst/>
          </c:spPr>
          <c:invertIfNegative val="0"/>
          <c:cat>
            <c:strRef>
              <c:f>Aggregated!$C$146:$E$146</c:f>
              <c:strCache>
                <c:ptCount val="3"/>
                <c:pt idx="0">
                  <c:v>2017–18</c:v>
                </c:pt>
                <c:pt idx="1">
                  <c:v>2018–19</c:v>
                </c:pt>
                <c:pt idx="2">
                  <c:v>2019–20</c:v>
                </c:pt>
              </c:strCache>
            </c:strRef>
          </c:cat>
          <c:val>
            <c:numRef>
              <c:f>Aggregated!$C$147:$E$147</c:f>
              <c:numCache>
                <c:formatCode>General</c:formatCode>
                <c:ptCount val="3"/>
                <c:pt idx="0">
                  <c:v>578</c:v>
                </c:pt>
                <c:pt idx="1">
                  <c:v>647</c:v>
                </c:pt>
                <c:pt idx="2" formatCode="#,##0">
                  <c:v>632</c:v>
                </c:pt>
              </c:numCache>
            </c:numRef>
          </c:val>
          <c:extLst>
            <c:ext xmlns:c16="http://schemas.microsoft.com/office/drawing/2014/chart" uri="{C3380CC4-5D6E-409C-BE32-E72D297353CC}">
              <c16:uniqueId val="{00000000-B322-4EE5-97DF-AD59FCF08C55}"/>
            </c:ext>
          </c:extLst>
        </c:ser>
        <c:ser>
          <c:idx val="1"/>
          <c:order val="1"/>
          <c:tx>
            <c:strRef>
              <c:f>Aggregated!$A$148</c:f>
              <c:strCache>
                <c:ptCount val="1"/>
                <c:pt idx="0">
                  <c:v>Leveraged</c:v>
                </c:pt>
              </c:strCache>
            </c:strRef>
          </c:tx>
          <c:spPr>
            <a:solidFill>
              <a:schemeClr val="accent2"/>
            </a:solidFill>
            <a:ln>
              <a:noFill/>
            </a:ln>
            <a:effectLst/>
          </c:spPr>
          <c:invertIfNegative val="0"/>
          <c:cat>
            <c:strRef>
              <c:f>Aggregated!$C$146:$E$146</c:f>
              <c:strCache>
                <c:ptCount val="3"/>
                <c:pt idx="0">
                  <c:v>2017–18</c:v>
                </c:pt>
                <c:pt idx="1">
                  <c:v>2018–19</c:v>
                </c:pt>
                <c:pt idx="2">
                  <c:v>2019–20</c:v>
                </c:pt>
              </c:strCache>
            </c:strRef>
          </c:cat>
          <c:val>
            <c:numRef>
              <c:f>Aggregated!$C$148:$E$148</c:f>
              <c:numCache>
                <c:formatCode>General</c:formatCode>
                <c:ptCount val="3"/>
                <c:pt idx="0">
                  <c:v>316</c:v>
                </c:pt>
                <c:pt idx="1">
                  <c:v>260</c:v>
                </c:pt>
                <c:pt idx="2" formatCode="#,##0">
                  <c:v>148</c:v>
                </c:pt>
              </c:numCache>
            </c:numRef>
          </c:val>
          <c:extLst>
            <c:ext xmlns:c16="http://schemas.microsoft.com/office/drawing/2014/chart" uri="{C3380CC4-5D6E-409C-BE32-E72D297353CC}">
              <c16:uniqueId val="{00000001-B322-4EE5-97DF-AD59FCF08C55}"/>
            </c:ext>
          </c:extLst>
        </c:ser>
        <c:ser>
          <c:idx val="2"/>
          <c:order val="2"/>
          <c:tx>
            <c:strRef>
              <c:f>Aggregated!$A$149</c:f>
              <c:strCache>
                <c:ptCount val="1"/>
                <c:pt idx="0">
                  <c:v>Focused</c:v>
                </c:pt>
              </c:strCache>
            </c:strRef>
          </c:tx>
          <c:spPr>
            <a:solidFill>
              <a:schemeClr val="accent3"/>
            </a:solidFill>
            <a:ln>
              <a:noFill/>
            </a:ln>
            <a:effectLst/>
          </c:spPr>
          <c:invertIfNegative val="0"/>
          <c:cat>
            <c:strRef>
              <c:f>Aggregated!$C$146:$E$146</c:f>
              <c:strCache>
                <c:ptCount val="3"/>
                <c:pt idx="0">
                  <c:v>2017–18</c:v>
                </c:pt>
                <c:pt idx="1">
                  <c:v>2018–19</c:v>
                </c:pt>
                <c:pt idx="2">
                  <c:v>2019–20</c:v>
                </c:pt>
              </c:strCache>
            </c:strRef>
          </c:cat>
          <c:val>
            <c:numRef>
              <c:f>Aggregated!$C$149:$E$149</c:f>
              <c:numCache>
                <c:formatCode>General</c:formatCode>
                <c:ptCount val="3"/>
                <c:pt idx="0">
                  <c:v>132</c:v>
                </c:pt>
                <c:pt idx="1">
                  <c:v>177</c:v>
                </c:pt>
                <c:pt idx="2" formatCode="#,##0">
                  <c:v>199</c:v>
                </c:pt>
              </c:numCache>
            </c:numRef>
          </c:val>
          <c:extLst>
            <c:ext xmlns:c16="http://schemas.microsoft.com/office/drawing/2014/chart" uri="{C3380CC4-5D6E-409C-BE32-E72D297353CC}">
              <c16:uniqueId val="{00000002-B322-4EE5-97DF-AD59FCF08C55}"/>
            </c:ext>
          </c:extLst>
        </c:ser>
        <c:ser>
          <c:idx val="3"/>
          <c:order val="3"/>
          <c:tx>
            <c:strRef>
              <c:f>Aggregated!$A$150</c:f>
              <c:strCache>
                <c:ptCount val="1"/>
                <c:pt idx="0">
                  <c:v>Strategic </c:v>
                </c:pt>
              </c:strCache>
            </c:strRef>
          </c:tx>
          <c:spPr>
            <a:solidFill>
              <a:schemeClr val="accent4"/>
            </a:solidFill>
            <a:ln>
              <a:noFill/>
            </a:ln>
            <a:effectLst/>
          </c:spPr>
          <c:invertIfNegative val="0"/>
          <c:cat>
            <c:strRef>
              <c:f>Aggregated!$C$146:$E$146</c:f>
              <c:strCache>
                <c:ptCount val="3"/>
                <c:pt idx="0">
                  <c:v>2017–18</c:v>
                </c:pt>
                <c:pt idx="1">
                  <c:v>2018–19</c:v>
                </c:pt>
                <c:pt idx="2">
                  <c:v>2019–20</c:v>
                </c:pt>
              </c:strCache>
            </c:strRef>
          </c:cat>
          <c:val>
            <c:numRef>
              <c:f>Aggregated!$C$150:$E$150</c:f>
              <c:numCache>
                <c:formatCode>General</c:formatCode>
                <c:ptCount val="3"/>
                <c:pt idx="0">
                  <c:v>171</c:v>
                </c:pt>
                <c:pt idx="1">
                  <c:v>196</c:v>
                </c:pt>
                <c:pt idx="2" formatCode="#,##0">
                  <c:v>107</c:v>
                </c:pt>
              </c:numCache>
            </c:numRef>
          </c:val>
          <c:extLst>
            <c:ext xmlns:c16="http://schemas.microsoft.com/office/drawing/2014/chart" uri="{C3380CC4-5D6E-409C-BE32-E72D297353CC}">
              <c16:uniqueId val="{00000003-B322-4EE5-97DF-AD59FCF08C55}"/>
            </c:ext>
          </c:extLst>
        </c:ser>
        <c:dLbls>
          <c:showLegendKey val="0"/>
          <c:showVal val="0"/>
          <c:showCatName val="0"/>
          <c:showSerName val="0"/>
          <c:showPercent val="0"/>
          <c:showBubbleSize val="0"/>
        </c:dLbls>
        <c:gapWidth val="150"/>
        <c:overlap val="100"/>
        <c:axId val="595793280"/>
        <c:axId val="595791968"/>
      </c:barChart>
      <c:catAx>
        <c:axId val="595793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791968"/>
        <c:crosses val="autoZero"/>
        <c:auto val="1"/>
        <c:lblAlgn val="ctr"/>
        <c:lblOffset val="100"/>
        <c:noMultiLvlLbl val="0"/>
      </c:catAx>
      <c:valAx>
        <c:axId val="59579196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79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Value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Aggregated!$A$155</c:f>
              <c:strCache>
                <c:ptCount val="1"/>
                <c:pt idx="0">
                  <c:v>Transactional</c:v>
                </c:pt>
              </c:strCache>
            </c:strRef>
          </c:tx>
          <c:spPr>
            <a:solidFill>
              <a:schemeClr val="accent1"/>
            </a:solidFill>
            <a:ln>
              <a:noFill/>
            </a:ln>
            <a:effectLst/>
          </c:spPr>
          <c:invertIfNegative val="0"/>
          <c:cat>
            <c:strRef>
              <c:f>Aggregated!$B$154:$D$154</c:f>
              <c:strCache>
                <c:ptCount val="3"/>
                <c:pt idx="0">
                  <c:v>2017–18</c:v>
                </c:pt>
                <c:pt idx="1">
                  <c:v>2018–19</c:v>
                </c:pt>
                <c:pt idx="2">
                  <c:v>2019–20</c:v>
                </c:pt>
              </c:strCache>
            </c:strRef>
          </c:cat>
          <c:val>
            <c:numRef>
              <c:f>Aggregated!$B$155:$D$155</c:f>
              <c:numCache>
                <c:formatCode>"$"0,,"M"</c:formatCode>
                <c:ptCount val="3"/>
                <c:pt idx="0">
                  <c:v>674900000</c:v>
                </c:pt>
                <c:pt idx="1">
                  <c:v>372900000</c:v>
                </c:pt>
                <c:pt idx="2">
                  <c:v>471774062.35999995</c:v>
                </c:pt>
              </c:numCache>
            </c:numRef>
          </c:val>
          <c:extLst>
            <c:ext xmlns:c16="http://schemas.microsoft.com/office/drawing/2014/chart" uri="{C3380CC4-5D6E-409C-BE32-E72D297353CC}">
              <c16:uniqueId val="{00000000-91C7-4D00-8A24-296715EB5797}"/>
            </c:ext>
          </c:extLst>
        </c:ser>
        <c:ser>
          <c:idx val="1"/>
          <c:order val="1"/>
          <c:tx>
            <c:strRef>
              <c:f>Aggregated!$A$156</c:f>
              <c:strCache>
                <c:ptCount val="1"/>
                <c:pt idx="0">
                  <c:v>Leveraged</c:v>
                </c:pt>
              </c:strCache>
            </c:strRef>
          </c:tx>
          <c:spPr>
            <a:solidFill>
              <a:schemeClr val="accent2"/>
            </a:solidFill>
            <a:ln>
              <a:noFill/>
            </a:ln>
            <a:effectLst/>
          </c:spPr>
          <c:invertIfNegative val="0"/>
          <c:cat>
            <c:strRef>
              <c:f>Aggregated!$B$154:$D$154</c:f>
              <c:strCache>
                <c:ptCount val="3"/>
                <c:pt idx="0">
                  <c:v>2017–18</c:v>
                </c:pt>
                <c:pt idx="1">
                  <c:v>2018–19</c:v>
                </c:pt>
                <c:pt idx="2">
                  <c:v>2019–20</c:v>
                </c:pt>
              </c:strCache>
            </c:strRef>
          </c:cat>
          <c:val>
            <c:numRef>
              <c:f>Aggregated!$B$156:$D$156</c:f>
              <c:numCache>
                <c:formatCode>"$"0,,"M"</c:formatCode>
                <c:ptCount val="3"/>
                <c:pt idx="0">
                  <c:v>528200000</c:v>
                </c:pt>
                <c:pt idx="1">
                  <c:v>1262900000</c:v>
                </c:pt>
                <c:pt idx="2">
                  <c:v>250980103.86000001</c:v>
                </c:pt>
              </c:numCache>
            </c:numRef>
          </c:val>
          <c:extLst>
            <c:ext xmlns:c16="http://schemas.microsoft.com/office/drawing/2014/chart" uri="{C3380CC4-5D6E-409C-BE32-E72D297353CC}">
              <c16:uniqueId val="{00000001-91C7-4D00-8A24-296715EB5797}"/>
            </c:ext>
          </c:extLst>
        </c:ser>
        <c:ser>
          <c:idx val="2"/>
          <c:order val="2"/>
          <c:tx>
            <c:strRef>
              <c:f>Aggregated!$A$157</c:f>
              <c:strCache>
                <c:ptCount val="1"/>
                <c:pt idx="0">
                  <c:v>Focused</c:v>
                </c:pt>
              </c:strCache>
            </c:strRef>
          </c:tx>
          <c:spPr>
            <a:solidFill>
              <a:schemeClr val="accent3"/>
            </a:solidFill>
            <a:ln>
              <a:noFill/>
            </a:ln>
            <a:effectLst/>
          </c:spPr>
          <c:invertIfNegative val="0"/>
          <c:cat>
            <c:strRef>
              <c:f>Aggregated!$B$154:$D$154</c:f>
              <c:strCache>
                <c:ptCount val="3"/>
                <c:pt idx="0">
                  <c:v>2017–18</c:v>
                </c:pt>
                <c:pt idx="1">
                  <c:v>2018–19</c:v>
                </c:pt>
                <c:pt idx="2">
                  <c:v>2019–20</c:v>
                </c:pt>
              </c:strCache>
            </c:strRef>
          </c:cat>
          <c:val>
            <c:numRef>
              <c:f>Aggregated!$B$157:$D$157</c:f>
              <c:numCache>
                <c:formatCode>"$"0,,"M"</c:formatCode>
                <c:ptCount val="3"/>
                <c:pt idx="0">
                  <c:v>700700000</c:v>
                </c:pt>
                <c:pt idx="1">
                  <c:v>203300000</c:v>
                </c:pt>
                <c:pt idx="2">
                  <c:v>321486873.15999997</c:v>
                </c:pt>
              </c:numCache>
            </c:numRef>
          </c:val>
          <c:extLst>
            <c:ext xmlns:c16="http://schemas.microsoft.com/office/drawing/2014/chart" uri="{C3380CC4-5D6E-409C-BE32-E72D297353CC}">
              <c16:uniqueId val="{00000002-91C7-4D00-8A24-296715EB5797}"/>
            </c:ext>
          </c:extLst>
        </c:ser>
        <c:ser>
          <c:idx val="3"/>
          <c:order val="3"/>
          <c:tx>
            <c:strRef>
              <c:f>Aggregated!$A$158</c:f>
              <c:strCache>
                <c:ptCount val="1"/>
                <c:pt idx="0">
                  <c:v>Strategic </c:v>
                </c:pt>
              </c:strCache>
            </c:strRef>
          </c:tx>
          <c:spPr>
            <a:solidFill>
              <a:schemeClr val="accent4"/>
            </a:solidFill>
            <a:ln>
              <a:noFill/>
            </a:ln>
            <a:effectLst/>
          </c:spPr>
          <c:invertIfNegative val="0"/>
          <c:cat>
            <c:strRef>
              <c:f>Aggregated!$B$154:$D$154</c:f>
              <c:strCache>
                <c:ptCount val="3"/>
                <c:pt idx="0">
                  <c:v>2017–18</c:v>
                </c:pt>
                <c:pt idx="1">
                  <c:v>2018–19</c:v>
                </c:pt>
                <c:pt idx="2">
                  <c:v>2019–20</c:v>
                </c:pt>
              </c:strCache>
            </c:strRef>
          </c:cat>
          <c:val>
            <c:numRef>
              <c:f>Aggregated!$B$158:$D$158</c:f>
              <c:numCache>
                <c:formatCode>"$"0,,"M"</c:formatCode>
                <c:ptCount val="3"/>
                <c:pt idx="0">
                  <c:v>1107500000</c:v>
                </c:pt>
                <c:pt idx="1">
                  <c:v>738300000</c:v>
                </c:pt>
                <c:pt idx="2">
                  <c:v>622050573.50999999</c:v>
                </c:pt>
              </c:numCache>
            </c:numRef>
          </c:val>
          <c:extLst>
            <c:ext xmlns:c16="http://schemas.microsoft.com/office/drawing/2014/chart" uri="{C3380CC4-5D6E-409C-BE32-E72D297353CC}">
              <c16:uniqueId val="{00000003-91C7-4D00-8A24-296715EB5797}"/>
            </c:ext>
          </c:extLst>
        </c:ser>
        <c:dLbls>
          <c:showLegendKey val="0"/>
          <c:showVal val="0"/>
          <c:showCatName val="0"/>
          <c:showSerName val="0"/>
          <c:showPercent val="0"/>
          <c:showBubbleSize val="0"/>
        </c:dLbls>
        <c:gapWidth val="150"/>
        <c:overlap val="100"/>
        <c:axId val="720773680"/>
        <c:axId val="720775648"/>
      </c:barChart>
      <c:catAx>
        <c:axId val="7207736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775648"/>
        <c:crosses val="autoZero"/>
        <c:auto val="1"/>
        <c:lblAlgn val="ctr"/>
        <c:lblOffset val="100"/>
        <c:noMultiLvlLbl val="0"/>
      </c:catAx>
      <c:valAx>
        <c:axId val="720775648"/>
        <c:scaling>
          <c:orientation val="minMax"/>
        </c:scaling>
        <c:delete val="0"/>
        <c:axPos val="t"/>
        <c:majorGridlines>
          <c:spPr>
            <a:ln w="9525" cap="flat" cmpd="sng" algn="ctr">
              <a:solidFill>
                <a:schemeClr val="tx1">
                  <a:lumMod val="15000"/>
                  <a:lumOff val="85000"/>
                </a:schemeClr>
              </a:solidFill>
              <a:round/>
            </a:ln>
            <a:effectLst/>
          </c:spPr>
        </c:majorGridlines>
        <c:numFmt formatCode="&quot;$&quot;0,,&quot;M&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773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842-4042-9DC7-115B0051E8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842-4042-9DC7-115B0051E8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842-4042-9DC7-115B0051E8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842-4042-9DC7-115B0051E8F6}"/>
              </c:ext>
            </c:extLst>
          </c:dPt>
          <c:cat>
            <c:strRef>
              <c:f>'1-5'!$I$32:$I$35</c:f>
              <c:strCache>
                <c:ptCount val="4"/>
                <c:pt idx="0">
                  <c:v>Transactional</c:v>
                </c:pt>
                <c:pt idx="1">
                  <c:v>Leveraged</c:v>
                </c:pt>
                <c:pt idx="2">
                  <c:v>Focused</c:v>
                </c:pt>
                <c:pt idx="3">
                  <c:v>Strategic</c:v>
                </c:pt>
              </c:strCache>
            </c:strRef>
          </c:cat>
          <c:val>
            <c:numRef>
              <c:f>'1-5'!$J$32:$J$35</c:f>
              <c:numCache>
                <c:formatCode>#,##0</c:formatCode>
                <c:ptCount val="4"/>
                <c:pt idx="0">
                  <c:v>38</c:v>
                </c:pt>
                <c:pt idx="1">
                  <c:v>59</c:v>
                </c:pt>
                <c:pt idx="2">
                  <c:v>68</c:v>
                </c:pt>
                <c:pt idx="3">
                  <c:v>4</c:v>
                </c:pt>
              </c:numCache>
            </c:numRef>
          </c:val>
          <c:extLst>
            <c:ext xmlns:c16="http://schemas.microsoft.com/office/drawing/2014/chart" uri="{C3380CC4-5D6E-409C-BE32-E72D297353CC}">
              <c16:uniqueId val="{00000008-B842-4042-9DC7-115B0051E8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B25-4D63-B907-9CF2809BB6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B25-4D63-B907-9CF2809BB6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B25-4D63-B907-9CF2809BB6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B25-4D63-B907-9CF2809BB67D}"/>
              </c:ext>
            </c:extLst>
          </c:dPt>
          <c:cat>
            <c:strRef>
              <c:f>'1-5'!$I$32:$I$35</c:f>
              <c:strCache>
                <c:ptCount val="4"/>
                <c:pt idx="0">
                  <c:v>Transactional</c:v>
                </c:pt>
                <c:pt idx="1">
                  <c:v>Leveraged</c:v>
                </c:pt>
                <c:pt idx="2">
                  <c:v>Focused</c:v>
                </c:pt>
                <c:pt idx="3">
                  <c:v>Strategic</c:v>
                </c:pt>
              </c:strCache>
            </c:strRef>
          </c:cat>
          <c:val>
            <c:numRef>
              <c:f>'1-5'!$J$32:$J$35</c:f>
              <c:numCache>
                <c:formatCode>#,##0</c:formatCode>
                <c:ptCount val="4"/>
                <c:pt idx="0">
                  <c:v>184</c:v>
                </c:pt>
                <c:pt idx="1">
                  <c:v>0</c:v>
                </c:pt>
                <c:pt idx="2">
                  <c:v>25</c:v>
                </c:pt>
                <c:pt idx="3">
                  <c:v>17</c:v>
                </c:pt>
              </c:numCache>
            </c:numRef>
          </c:val>
          <c:extLst>
            <c:ext xmlns:c16="http://schemas.microsoft.com/office/drawing/2014/chart" uri="{C3380CC4-5D6E-409C-BE32-E72D297353CC}">
              <c16:uniqueId val="{00000008-6B25-4D63-B907-9CF2809BB67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EC-4189-B9C8-EDA4FB6F89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EC-4189-B9C8-EDA4FB6F89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BEC-4189-B9C8-EDA4FB6F89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BEC-4189-B9C8-EDA4FB6F89F5}"/>
              </c:ext>
            </c:extLst>
          </c:dPt>
          <c:cat>
            <c:strRef>
              <c:f>'1-5'!$I$32:$I$35</c:f>
              <c:strCache>
                <c:ptCount val="4"/>
                <c:pt idx="0">
                  <c:v>Transactional</c:v>
                </c:pt>
                <c:pt idx="1">
                  <c:v>Leveraged</c:v>
                </c:pt>
                <c:pt idx="2">
                  <c:v>Focused</c:v>
                </c:pt>
                <c:pt idx="3">
                  <c:v>Strategic</c:v>
                </c:pt>
              </c:strCache>
            </c:strRef>
          </c:cat>
          <c:val>
            <c:numRef>
              <c:f>'1-5'!$J$32:$J$35</c:f>
              <c:numCache>
                <c:formatCode>#,##0</c:formatCode>
                <c:ptCount val="4"/>
                <c:pt idx="0">
                  <c:v>9</c:v>
                </c:pt>
                <c:pt idx="1">
                  <c:v>26</c:v>
                </c:pt>
                <c:pt idx="2">
                  <c:v>0</c:v>
                </c:pt>
                <c:pt idx="3">
                  <c:v>41</c:v>
                </c:pt>
              </c:numCache>
            </c:numRef>
          </c:val>
          <c:extLst>
            <c:ext xmlns:c16="http://schemas.microsoft.com/office/drawing/2014/chart" uri="{C3380CC4-5D6E-409C-BE32-E72D297353CC}">
              <c16:uniqueId val="{00000008-3BEC-4189-B9C8-EDA4FB6F89F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E063E2-8BC0-41C6-8005-1288CDD71064}" type="doc">
      <dgm:prSet loTypeId="urn:microsoft.com/office/officeart/2005/8/layout/radial6" loCatId="cycle" qsTypeId="urn:microsoft.com/office/officeart/2005/8/quickstyle/simple5" qsCatId="simple" csTypeId="urn:microsoft.com/office/officeart/2005/8/colors/accent0_1" csCatId="mainScheme" phldr="1"/>
      <dgm:spPr/>
      <dgm:t>
        <a:bodyPr/>
        <a:lstStyle/>
        <a:p>
          <a:endParaRPr lang="en-AU"/>
        </a:p>
      </dgm:t>
    </dgm:pt>
    <dgm:pt modelId="{2CE73E87-5194-4D3D-9D9A-58642A5F4A48}">
      <dgm:prSet phldrT="[Text]"/>
      <dgm:spPr/>
      <dgm:t>
        <a:bodyPr/>
        <a:lstStyle/>
        <a:p>
          <a:r>
            <a:rPr lang="en-AU">
              <a:latin typeface="+mj-lt"/>
            </a:rPr>
            <a:t>Monitoring compliance</a:t>
          </a:r>
        </a:p>
      </dgm:t>
    </dgm:pt>
    <dgm:pt modelId="{715B7F7C-F5B5-429C-AE53-A8E4BA91BBEF}" type="parTrans" cxnId="{BF90ED24-4CBB-4650-B63D-5874FC57BB8D}">
      <dgm:prSet/>
      <dgm:spPr/>
      <dgm:t>
        <a:bodyPr/>
        <a:lstStyle/>
        <a:p>
          <a:endParaRPr lang="en-AU"/>
        </a:p>
      </dgm:t>
    </dgm:pt>
    <dgm:pt modelId="{42E915C3-FFCF-450B-9188-1568CFB192AE}" type="sibTrans" cxnId="{BF90ED24-4CBB-4650-B63D-5874FC57BB8D}">
      <dgm:prSet/>
      <dgm:spPr/>
      <dgm:t>
        <a:bodyPr/>
        <a:lstStyle/>
        <a:p>
          <a:endParaRPr lang="en-AU"/>
        </a:p>
      </dgm:t>
    </dgm:pt>
    <dgm:pt modelId="{E1F4601A-6398-4FE5-8A5A-E8D6569F0495}">
      <dgm:prSet phldrT="[Text]" custT="1"/>
      <dgm:spPr/>
      <dgm:t>
        <a:bodyPr/>
        <a:lstStyle/>
        <a:p>
          <a:r>
            <a:rPr lang="en-AU" sz="900">
              <a:latin typeface="+mj-lt"/>
            </a:rPr>
            <a:t>Annual supply reports</a:t>
          </a:r>
        </a:p>
      </dgm:t>
    </dgm:pt>
    <dgm:pt modelId="{D986833E-658B-431E-BF5C-6E7329B92313}" type="parTrans" cxnId="{99F99220-7523-4A9D-A0DF-2541C5E6506D}">
      <dgm:prSet/>
      <dgm:spPr/>
      <dgm:t>
        <a:bodyPr/>
        <a:lstStyle/>
        <a:p>
          <a:endParaRPr lang="en-AU"/>
        </a:p>
      </dgm:t>
    </dgm:pt>
    <dgm:pt modelId="{68BD6887-B815-4B7C-9A2B-5C3D583AAB9D}" type="sibTrans" cxnId="{99F99220-7523-4A9D-A0DF-2541C5E6506D}">
      <dgm:prSet/>
      <dgm:spPr/>
      <dgm:t>
        <a:bodyPr/>
        <a:lstStyle/>
        <a:p>
          <a:endParaRPr lang="en-AU">
            <a:latin typeface="+mj-lt"/>
          </a:endParaRPr>
        </a:p>
      </dgm:t>
    </dgm:pt>
    <dgm:pt modelId="{71168BCE-37CE-4032-AAE8-60CD2ED6BD32}">
      <dgm:prSet phldrT="[Text]"/>
      <dgm:spPr/>
      <dgm:t>
        <a:bodyPr/>
        <a:lstStyle/>
        <a:p>
          <a:r>
            <a:rPr lang="en-AU">
              <a:latin typeface="+mj-lt"/>
            </a:rPr>
            <a:t>Performance measures</a:t>
          </a:r>
        </a:p>
      </dgm:t>
    </dgm:pt>
    <dgm:pt modelId="{D4A8DE8F-0B48-47EA-882D-78B754B8192F}" type="parTrans" cxnId="{B9EECC24-8205-41FE-9DA5-6AF98E8E3CD8}">
      <dgm:prSet/>
      <dgm:spPr/>
      <dgm:t>
        <a:bodyPr/>
        <a:lstStyle/>
        <a:p>
          <a:endParaRPr lang="en-AU"/>
        </a:p>
      </dgm:t>
    </dgm:pt>
    <dgm:pt modelId="{6A28F0C5-C803-4464-94F4-F15361CB13C8}" type="sibTrans" cxnId="{B9EECC24-8205-41FE-9DA5-6AF98E8E3CD8}">
      <dgm:prSet/>
      <dgm:spPr/>
      <dgm:t>
        <a:bodyPr/>
        <a:lstStyle/>
        <a:p>
          <a:endParaRPr lang="en-AU">
            <a:latin typeface="+mj-lt"/>
          </a:endParaRPr>
        </a:p>
      </dgm:t>
    </dgm:pt>
    <dgm:pt modelId="{D2D9F0D5-E90B-497F-91DE-3441A97853E9}">
      <dgm:prSet phldrT="[Text]" custT="1"/>
      <dgm:spPr/>
      <dgm:t>
        <a:bodyPr/>
        <a:lstStyle/>
        <a:p>
          <a:r>
            <a:rPr lang="en-AU" sz="900">
              <a:latin typeface="+mj-lt"/>
            </a:rPr>
            <a:t>Audits</a:t>
          </a:r>
        </a:p>
      </dgm:t>
    </dgm:pt>
    <dgm:pt modelId="{B3097DF4-A30D-4F14-B3E9-38DD6E790CDB}" type="parTrans" cxnId="{07CBCF31-ED83-432A-B55B-E238FC7BD870}">
      <dgm:prSet/>
      <dgm:spPr/>
      <dgm:t>
        <a:bodyPr/>
        <a:lstStyle/>
        <a:p>
          <a:endParaRPr lang="en-AU"/>
        </a:p>
      </dgm:t>
    </dgm:pt>
    <dgm:pt modelId="{A62E427A-A6E0-49DF-BC99-8C41B85EB897}" type="sibTrans" cxnId="{07CBCF31-ED83-432A-B55B-E238FC7BD870}">
      <dgm:prSet/>
      <dgm:spPr/>
      <dgm:t>
        <a:bodyPr/>
        <a:lstStyle/>
        <a:p>
          <a:endParaRPr lang="en-AU">
            <a:latin typeface="+mj-lt"/>
          </a:endParaRPr>
        </a:p>
      </dgm:t>
    </dgm:pt>
    <dgm:pt modelId="{33C79A5E-FD77-4FBB-8331-F7BE569469A2}">
      <dgm:prSet phldrT="[Text]" custT="1"/>
      <dgm:spPr/>
      <dgm:t>
        <a:bodyPr/>
        <a:lstStyle/>
        <a:p>
          <a:r>
            <a:rPr lang="en-AU" sz="900">
              <a:latin typeface="+mj-lt"/>
            </a:rPr>
            <a:t>Engagement</a:t>
          </a:r>
          <a:r>
            <a:rPr lang="en-AU" sz="700">
              <a:latin typeface="+mj-lt"/>
            </a:rPr>
            <a:t> </a:t>
          </a:r>
        </a:p>
      </dgm:t>
    </dgm:pt>
    <dgm:pt modelId="{14C1C580-687F-4A99-9537-6DB3936A6815}" type="parTrans" cxnId="{2AE11159-1B10-465C-94CC-8C8D8D43739B}">
      <dgm:prSet/>
      <dgm:spPr/>
      <dgm:t>
        <a:bodyPr/>
        <a:lstStyle/>
        <a:p>
          <a:endParaRPr lang="en-AU"/>
        </a:p>
      </dgm:t>
    </dgm:pt>
    <dgm:pt modelId="{68254921-0B8F-44B1-A083-F5475FF795CB}" type="sibTrans" cxnId="{2AE11159-1B10-465C-94CC-8C8D8D43739B}">
      <dgm:prSet/>
      <dgm:spPr/>
      <dgm:t>
        <a:bodyPr/>
        <a:lstStyle/>
        <a:p>
          <a:endParaRPr lang="en-AU">
            <a:latin typeface="+mj-lt"/>
          </a:endParaRPr>
        </a:p>
      </dgm:t>
    </dgm:pt>
    <dgm:pt modelId="{0637361E-4777-4021-B0A8-BD76572BBE81}">
      <dgm:prSet phldrT="[Text]" custT="1"/>
      <dgm:spPr/>
      <dgm:t>
        <a:bodyPr/>
        <a:lstStyle/>
        <a:p>
          <a:r>
            <a:rPr lang="en-AU" sz="900">
              <a:latin typeface="+mj-lt"/>
            </a:rPr>
            <a:t>Complaints</a:t>
          </a:r>
        </a:p>
      </dgm:t>
    </dgm:pt>
    <dgm:pt modelId="{D8853F43-7412-4BF2-AF69-B69C97752CC6}" type="parTrans" cxnId="{3DF59248-23F5-4E24-8AD0-2C386BEA3388}">
      <dgm:prSet/>
      <dgm:spPr/>
      <dgm:t>
        <a:bodyPr/>
        <a:lstStyle/>
        <a:p>
          <a:endParaRPr lang="en-AU"/>
        </a:p>
      </dgm:t>
    </dgm:pt>
    <dgm:pt modelId="{DEC96865-C903-4D7E-AD68-1E9BDC600531}" type="sibTrans" cxnId="{3DF59248-23F5-4E24-8AD0-2C386BEA3388}">
      <dgm:prSet/>
      <dgm:spPr/>
      <dgm:t>
        <a:bodyPr/>
        <a:lstStyle/>
        <a:p>
          <a:endParaRPr lang="en-AU">
            <a:latin typeface="+mj-lt"/>
          </a:endParaRPr>
        </a:p>
      </dgm:t>
    </dgm:pt>
    <dgm:pt modelId="{B5C8E6A1-83E5-47CB-AA16-A1D61E417C4A}">
      <dgm:prSet phldrT="[Text]" custT="1"/>
      <dgm:spPr/>
      <dgm:t>
        <a:bodyPr/>
        <a:lstStyle/>
        <a:p>
          <a:r>
            <a:rPr lang="en-AU" sz="900">
              <a:latin typeface="+mj-lt"/>
            </a:rPr>
            <a:t>Procurement activity plans</a:t>
          </a:r>
        </a:p>
      </dgm:t>
    </dgm:pt>
    <dgm:pt modelId="{9DD4A27A-7622-4ACF-8EF6-DFC750E0CBA3}" type="parTrans" cxnId="{0A429E71-08C6-4EF9-9BE2-52C2AB04E0C7}">
      <dgm:prSet/>
      <dgm:spPr/>
      <dgm:t>
        <a:bodyPr/>
        <a:lstStyle/>
        <a:p>
          <a:endParaRPr lang="en-AU"/>
        </a:p>
      </dgm:t>
    </dgm:pt>
    <dgm:pt modelId="{A83CC472-2980-4A5F-8FA1-74F45CFDBF9C}" type="sibTrans" cxnId="{0A429E71-08C6-4EF9-9BE2-52C2AB04E0C7}">
      <dgm:prSet/>
      <dgm:spPr/>
      <dgm:t>
        <a:bodyPr/>
        <a:lstStyle/>
        <a:p>
          <a:endParaRPr lang="en-AU">
            <a:latin typeface="+mj-lt"/>
          </a:endParaRPr>
        </a:p>
      </dgm:t>
    </dgm:pt>
    <dgm:pt modelId="{6304C0F3-C4C3-41C5-B351-A04344540A9C}" type="pres">
      <dgm:prSet presAssocID="{CFE063E2-8BC0-41C6-8005-1288CDD71064}" presName="Name0" presStyleCnt="0">
        <dgm:presLayoutVars>
          <dgm:chMax val="1"/>
          <dgm:dir/>
          <dgm:animLvl val="ctr"/>
          <dgm:resizeHandles val="exact"/>
        </dgm:presLayoutVars>
      </dgm:prSet>
      <dgm:spPr/>
    </dgm:pt>
    <dgm:pt modelId="{09A9E4B0-D0BD-439A-9089-229C8EF476DE}" type="pres">
      <dgm:prSet presAssocID="{2CE73E87-5194-4D3D-9D9A-58642A5F4A48}" presName="centerShape" presStyleLbl="node0" presStyleIdx="0" presStyleCnt="1" custScaleX="110000" custScaleY="110000"/>
      <dgm:spPr/>
    </dgm:pt>
    <dgm:pt modelId="{7E3C90E1-5BEB-4EA0-8879-13FDF7C30418}" type="pres">
      <dgm:prSet presAssocID="{E1F4601A-6398-4FE5-8A5A-E8D6569F0495}" presName="node" presStyleLbl="node1" presStyleIdx="0" presStyleCnt="6" custScaleX="146410" custScaleY="146410">
        <dgm:presLayoutVars>
          <dgm:bulletEnabled val="1"/>
        </dgm:presLayoutVars>
      </dgm:prSet>
      <dgm:spPr/>
    </dgm:pt>
    <dgm:pt modelId="{E064C3EB-F44B-4073-B51B-B007D8CC59A2}" type="pres">
      <dgm:prSet presAssocID="{E1F4601A-6398-4FE5-8A5A-E8D6569F0495}" presName="dummy" presStyleCnt="0"/>
      <dgm:spPr/>
    </dgm:pt>
    <dgm:pt modelId="{31C3211B-3341-429B-8EE9-DDD6E6AD7191}" type="pres">
      <dgm:prSet presAssocID="{68BD6887-B815-4B7C-9A2B-5C3D583AAB9D}" presName="sibTrans" presStyleLbl="sibTrans2D1" presStyleIdx="0" presStyleCnt="6"/>
      <dgm:spPr/>
    </dgm:pt>
    <dgm:pt modelId="{283F29CF-69B3-4481-B417-959B6D8F014C}" type="pres">
      <dgm:prSet presAssocID="{71168BCE-37CE-4032-AAE8-60CD2ED6BD32}" presName="node" presStyleLbl="node1" presStyleIdx="1" presStyleCnt="6" custScaleX="146410" custScaleY="146410">
        <dgm:presLayoutVars>
          <dgm:bulletEnabled val="1"/>
        </dgm:presLayoutVars>
      </dgm:prSet>
      <dgm:spPr/>
    </dgm:pt>
    <dgm:pt modelId="{28C47EE1-2E3C-4063-902E-898B5DF7AD43}" type="pres">
      <dgm:prSet presAssocID="{71168BCE-37CE-4032-AAE8-60CD2ED6BD32}" presName="dummy" presStyleCnt="0"/>
      <dgm:spPr/>
    </dgm:pt>
    <dgm:pt modelId="{61127F12-A01A-4DA5-B8E4-CC8C1502571F}" type="pres">
      <dgm:prSet presAssocID="{6A28F0C5-C803-4464-94F4-F15361CB13C8}" presName="sibTrans" presStyleLbl="sibTrans2D1" presStyleIdx="1" presStyleCnt="6"/>
      <dgm:spPr/>
    </dgm:pt>
    <dgm:pt modelId="{78F79DF4-2867-474A-8D74-7CF9BCA32FEA}" type="pres">
      <dgm:prSet presAssocID="{D2D9F0D5-E90B-497F-91DE-3441A97853E9}" presName="node" presStyleLbl="node1" presStyleIdx="2" presStyleCnt="6" custScaleX="146410" custScaleY="146410">
        <dgm:presLayoutVars>
          <dgm:bulletEnabled val="1"/>
        </dgm:presLayoutVars>
      </dgm:prSet>
      <dgm:spPr/>
    </dgm:pt>
    <dgm:pt modelId="{24069F24-D12F-477E-9A85-66D5DA5D905A}" type="pres">
      <dgm:prSet presAssocID="{D2D9F0D5-E90B-497F-91DE-3441A97853E9}" presName="dummy" presStyleCnt="0"/>
      <dgm:spPr/>
    </dgm:pt>
    <dgm:pt modelId="{6DC92C8F-7228-481C-AB84-A8795A250A06}" type="pres">
      <dgm:prSet presAssocID="{A62E427A-A6E0-49DF-BC99-8C41B85EB897}" presName="sibTrans" presStyleLbl="sibTrans2D1" presStyleIdx="2" presStyleCnt="6"/>
      <dgm:spPr/>
    </dgm:pt>
    <dgm:pt modelId="{16FD4360-7A51-4701-8E40-EF036C27EDCF}" type="pres">
      <dgm:prSet presAssocID="{33C79A5E-FD77-4FBB-8331-F7BE569469A2}" presName="node" presStyleLbl="node1" presStyleIdx="3" presStyleCnt="6" custScaleX="146410" custScaleY="146410">
        <dgm:presLayoutVars>
          <dgm:bulletEnabled val="1"/>
        </dgm:presLayoutVars>
      </dgm:prSet>
      <dgm:spPr/>
    </dgm:pt>
    <dgm:pt modelId="{1BEEB2A1-9C48-434B-ACE8-4E0485EBF435}" type="pres">
      <dgm:prSet presAssocID="{33C79A5E-FD77-4FBB-8331-F7BE569469A2}" presName="dummy" presStyleCnt="0"/>
      <dgm:spPr/>
    </dgm:pt>
    <dgm:pt modelId="{A7D75679-0D0E-44D8-84AD-BFF81EF730E9}" type="pres">
      <dgm:prSet presAssocID="{68254921-0B8F-44B1-A083-F5475FF795CB}" presName="sibTrans" presStyleLbl="sibTrans2D1" presStyleIdx="3" presStyleCnt="6"/>
      <dgm:spPr/>
    </dgm:pt>
    <dgm:pt modelId="{28788DED-A33D-48D3-B18E-5DC5D33C655E}" type="pres">
      <dgm:prSet presAssocID="{0637361E-4777-4021-B0A8-BD76572BBE81}" presName="node" presStyleLbl="node1" presStyleIdx="4" presStyleCnt="6" custScaleX="146410" custScaleY="146410">
        <dgm:presLayoutVars>
          <dgm:bulletEnabled val="1"/>
        </dgm:presLayoutVars>
      </dgm:prSet>
      <dgm:spPr/>
    </dgm:pt>
    <dgm:pt modelId="{48D1F00F-C235-4F22-91AF-490340603F1F}" type="pres">
      <dgm:prSet presAssocID="{0637361E-4777-4021-B0A8-BD76572BBE81}" presName="dummy" presStyleCnt="0"/>
      <dgm:spPr/>
    </dgm:pt>
    <dgm:pt modelId="{F51C54C1-859D-4789-B624-5483C3FC02F2}" type="pres">
      <dgm:prSet presAssocID="{DEC96865-C903-4D7E-AD68-1E9BDC600531}" presName="sibTrans" presStyleLbl="sibTrans2D1" presStyleIdx="4" presStyleCnt="6"/>
      <dgm:spPr/>
    </dgm:pt>
    <dgm:pt modelId="{3206EA48-F917-4BE9-8832-7FEB6B95499B}" type="pres">
      <dgm:prSet presAssocID="{B5C8E6A1-83E5-47CB-AA16-A1D61E417C4A}" presName="node" presStyleLbl="node1" presStyleIdx="5" presStyleCnt="6" custScaleX="154426" custScaleY="146410">
        <dgm:presLayoutVars>
          <dgm:bulletEnabled val="1"/>
        </dgm:presLayoutVars>
      </dgm:prSet>
      <dgm:spPr/>
    </dgm:pt>
    <dgm:pt modelId="{E37000C2-1ACB-4551-9216-D789B9B21E76}" type="pres">
      <dgm:prSet presAssocID="{B5C8E6A1-83E5-47CB-AA16-A1D61E417C4A}" presName="dummy" presStyleCnt="0"/>
      <dgm:spPr/>
    </dgm:pt>
    <dgm:pt modelId="{A2AB7210-F2B5-415C-83FD-2B781786667A}" type="pres">
      <dgm:prSet presAssocID="{A83CC472-2980-4A5F-8FA1-74F45CFDBF9C}" presName="sibTrans" presStyleLbl="sibTrans2D1" presStyleIdx="5" presStyleCnt="6"/>
      <dgm:spPr/>
    </dgm:pt>
  </dgm:ptLst>
  <dgm:cxnLst>
    <dgm:cxn modelId="{99F99220-7523-4A9D-A0DF-2541C5E6506D}" srcId="{2CE73E87-5194-4D3D-9D9A-58642A5F4A48}" destId="{E1F4601A-6398-4FE5-8A5A-E8D6569F0495}" srcOrd="0" destOrd="0" parTransId="{D986833E-658B-431E-BF5C-6E7329B92313}" sibTransId="{68BD6887-B815-4B7C-9A2B-5C3D583AAB9D}"/>
    <dgm:cxn modelId="{B9EECC24-8205-41FE-9DA5-6AF98E8E3CD8}" srcId="{2CE73E87-5194-4D3D-9D9A-58642A5F4A48}" destId="{71168BCE-37CE-4032-AAE8-60CD2ED6BD32}" srcOrd="1" destOrd="0" parTransId="{D4A8DE8F-0B48-47EA-882D-78B754B8192F}" sibTransId="{6A28F0C5-C803-4464-94F4-F15361CB13C8}"/>
    <dgm:cxn modelId="{BF90ED24-4CBB-4650-B63D-5874FC57BB8D}" srcId="{CFE063E2-8BC0-41C6-8005-1288CDD71064}" destId="{2CE73E87-5194-4D3D-9D9A-58642A5F4A48}" srcOrd="0" destOrd="0" parTransId="{715B7F7C-F5B5-429C-AE53-A8E4BA91BBEF}" sibTransId="{42E915C3-FFCF-450B-9188-1568CFB192AE}"/>
    <dgm:cxn modelId="{18335F2B-8888-47B4-93A3-A1AB806C247B}" type="presOf" srcId="{D2D9F0D5-E90B-497F-91DE-3441A97853E9}" destId="{78F79DF4-2867-474A-8D74-7CF9BCA32FEA}" srcOrd="0" destOrd="0" presId="urn:microsoft.com/office/officeart/2005/8/layout/radial6"/>
    <dgm:cxn modelId="{07CBCF31-ED83-432A-B55B-E238FC7BD870}" srcId="{2CE73E87-5194-4D3D-9D9A-58642A5F4A48}" destId="{D2D9F0D5-E90B-497F-91DE-3441A97853E9}" srcOrd="2" destOrd="0" parTransId="{B3097DF4-A30D-4F14-B3E9-38DD6E790CDB}" sibTransId="{A62E427A-A6E0-49DF-BC99-8C41B85EB897}"/>
    <dgm:cxn modelId="{A08B7B33-F6FD-4AA0-AC3B-0F3A4D8361A8}" type="presOf" srcId="{A83CC472-2980-4A5F-8FA1-74F45CFDBF9C}" destId="{A2AB7210-F2B5-415C-83FD-2B781786667A}" srcOrd="0" destOrd="0" presId="urn:microsoft.com/office/officeart/2005/8/layout/radial6"/>
    <dgm:cxn modelId="{9B586D65-FAB4-48F2-9C3E-CABF53D551D9}" type="presOf" srcId="{E1F4601A-6398-4FE5-8A5A-E8D6569F0495}" destId="{7E3C90E1-5BEB-4EA0-8879-13FDF7C30418}" srcOrd="0" destOrd="0" presId="urn:microsoft.com/office/officeart/2005/8/layout/radial6"/>
    <dgm:cxn modelId="{3DF59248-23F5-4E24-8AD0-2C386BEA3388}" srcId="{2CE73E87-5194-4D3D-9D9A-58642A5F4A48}" destId="{0637361E-4777-4021-B0A8-BD76572BBE81}" srcOrd="4" destOrd="0" parTransId="{D8853F43-7412-4BF2-AF69-B69C97752CC6}" sibTransId="{DEC96865-C903-4D7E-AD68-1E9BDC600531}"/>
    <dgm:cxn modelId="{A88DF84C-70E1-472E-9489-5C5A4A504BB8}" type="presOf" srcId="{33C79A5E-FD77-4FBB-8331-F7BE569469A2}" destId="{16FD4360-7A51-4701-8E40-EF036C27EDCF}" srcOrd="0" destOrd="0" presId="urn:microsoft.com/office/officeart/2005/8/layout/radial6"/>
    <dgm:cxn modelId="{0A429E71-08C6-4EF9-9BE2-52C2AB04E0C7}" srcId="{2CE73E87-5194-4D3D-9D9A-58642A5F4A48}" destId="{B5C8E6A1-83E5-47CB-AA16-A1D61E417C4A}" srcOrd="5" destOrd="0" parTransId="{9DD4A27A-7622-4ACF-8EF6-DFC750E0CBA3}" sibTransId="{A83CC472-2980-4A5F-8FA1-74F45CFDBF9C}"/>
    <dgm:cxn modelId="{4F8EF073-8196-4514-AB97-0E18777E0A50}" type="presOf" srcId="{68254921-0B8F-44B1-A083-F5475FF795CB}" destId="{A7D75679-0D0E-44D8-84AD-BFF81EF730E9}" srcOrd="0" destOrd="0" presId="urn:microsoft.com/office/officeart/2005/8/layout/radial6"/>
    <dgm:cxn modelId="{2AE11159-1B10-465C-94CC-8C8D8D43739B}" srcId="{2CE73E87-5194-4D3D-9D9A-58642A5F4A48}" destId="{33C79A5E-FD77-4FBB-8331-F7BE569469A2}" srcOrd="3" destOrd="0" parTransId="{14C1C580-687F-4A99-9537-6DB3936A6815}" sibTransId="{68254921-0B8F-44B1-A083-F5475FF795CB}"/>
    <dgm:cxn modelId="{AC16E1A4-E961-4E10-9DEF-3CFFCF6266B6}" type="presOf" srcId="{DEC96865-C903-4D7E-AD68-1E9BDC600531}" destId="{F51C54C1-859D-4789-B624-5483C3FC02F2}" srcOrd="0" destOrd="0" presId="urn:microsoft.com/office/officeart/2005/8/layout/radial6"/>
    <dgm:cxn modelId="{E123AAA5-8782-4ABB-A77D-AF7374CE3F0A}" type="presOf" srcId="{71168BCE-37CE-4032-AAE8-60CD2ED6BD32}" destId="{283F29CF-69B3-4481-B417-959B6D8F014C}" srcOrd="0" destOrd="0" presId="urn:microsoft.com/office/officeart/2005/8/layout/radial6"/>
    <dgm:cxn modelId="{717F28A9-13CA-4229-8687-003523904ABA}" type="presOf" srcId="{CFE063E2-8BC0-41C6-8005-1288CDD71064}" destId="{6304C0F3-C4C3-41C5-B351-A04344540A9C}" srcOrd="0" destOrd="0" presId="urn:microsoft.com/office/officeart/2005/8/layout/radial6"/>
    <dgm:cxn modelId="{80CCA7BE-D905-4938-9A35-0B2227A2A9B5}" type="presOf" srcId="{0637361E-4777-4021-B0A8-BD76572BBE81}" destId="{28788DED-A33D-48D3-B18E-5DC5D33C655E}" srcOrd="0" destOrd="0" presId="urn:microsoft.com/office/officeart/2005/8/layout/radial6"/>
    <dgm:cxn modelId="{2295A4C7-818F-4DFA-896B-7F4095823E56}" type="presOf" srcId="{A62E427A-A6E0-49DF-BC99-8C41B85EB897}" destId="{6DC92C8F-7228-481C-AB84-A8795A250A06}" srcOrd="0" destOrd="0" presId="urn:microsoft.com/office/officeart/2005/8/layout/radial6"/>
    <dgm:cxn modelId="{57C487CA-EA73-423F-97A0-DCFFC830F4C2}" type="presOf" srcId="{2CE73E87-5194-4D3D-9D9A-58642A5F4A48}" destId="{09A9E4B0-D0BD-439A-9089-229C8EF476DE}" srcOrd="0" destOrd="0" presId="urn:microsoft.com/office/officeart/2005/8/layout/radial6"/>
    <dgm:cxn modelId="{780F00E7-5DD2-4E69-8394-FFA87CF793E6}" type="presOf" srcId="{68BD6887-B815-4B7C-9A2B-5C3D583AAB9D}" destId="{31C3211B-3341-429B-8EE9-DDD6E6AD7191}" srcOrd="0" destOrd="0" presId="urn:microsoft.com/office/officeart/2005/8/layout/radial6"/>
    <dgm:cxn modelId="{E02D17F6-D00F-49E8-B3A4-53BD3400FA44}" type="presOf" srcId="{6A28F0C5-C803-4464-94F4-F15361CB13C8}" destId="{61127F12-A01A-4DA5-B8E4-CC8C1502571F}" srcOrd="0" destOrd="0" presId="urn:microsoft.com/office/officeart/2005/8/layout/radial6"/>
    <dgm:cxn modelId="{311C6DFF-C18F-4F01-B2B6-726A408D64A2}" type="presOf" srcId="{B5C8E6A1-83E5-47CB-AA16-A1D61E417C4A}" destId="{3206EA48-F917-4BE9-8832-7FEB6B95499B}" srcOrd="0" destOrd="0" presId="urn:microsoft.com/office/officeart/2005/8/layout/radial6"/>
    <dgm:cxn modelId="{23A044E4-EE2B-4BCA-9F85-C4D5778D129C}" type="presParOf" srcId="{6304C0F3-C4C3-41C5-B351-A04344540A9C}" destId="{09A9E4B0-D0BD-439A-9089-229C8EF476DE}" srcOrd="0" destOrd="0" presId="urn:microsoft.com/office/officeart/2005/8/layout/radial6"/>
    <dgm:cxn modelId="{81439C91-BC1C-41A6-A3EB-944CCDDDCA56}" type="presParOf" srcId="{6304C0F3-C4C3-41C5-B351-A04344540A9C}" destId="{7E3C90E1-5BEB-4EA0-8879-13FDF7C30418}" srcOrd="1" destOrd="0" presId="urn:microsoft.com/office/officeart/2005/8/layout/radial6"/>
    <dgm:cxn modelId="{80D6C3F5-CF79-4598-B9FF-7D75A4C57BF9}" type="presParOf" srcId="{6304C0F3-C4C3-41C5-B351-A04344540A9C}" destId="{E064C3EB-F44B-4073-B51B-B007D8CC59A2}" srcOrd="2" destOrd="0" presId="urn:microsoft.com/office/officeart/2005/8/layout/radial6"/>
    <dgm:cxn modelId="{0C5D9F0D-5E96-47E5-9557-C450DE05F180}" type="presParOf" srcId="{6304C0F3-C4C3-41C5-B351-A04344540A9C}" destId="{31C3211B-3341-429B-8EE9-DDD6E6AD7191}" srcOrd="3" destOrd="0" presId="urn:microsoft.com/office/officeart/2005/8/layout/radial6"/>
    <dgm:cxn modelId="{9405AF08-3C82-4FA7-B595-55841C46AF3E}" type="presParOf" srcId="{6304C0F3-C4C3-41C5-B351-A04344540A9C}" destId="{283F29CF-69B3-4481-B417-959B6D8F014C}" srcOrd="4" destOrd="0" presId="urn:microsoft.com/office/officeart/2005/8/layout/radial6"/>
    <dgm:cxn modelId="{499FC728-6469-49A6-9664-B1566595772D}" type="presParOf" srcId="{6304C0F3-C4C3-41C5-B351-A04344540A9C}" destId="{28C47EE1-2E3C-4063-902E-898B5DF7AD43}" srcOrd="5" destOrd="0" presId="urn:microsoft.com/office/officeart/2005/8/layout/radial6"/>
    <dgm:cxn modelId="{C69F8D88-F9FB-4ABD-8677-E4A866AB818D}" type="presParOf" srcId="{6304C0F3-C4C3-41C5-B351-A04344540A9C}" destId="{61127F12-A01A-4DA5-B8E4-CC8C1502571F}" srcOrd="6" destOrd="0" presId="urn:microsoft.com/office/officeart/2005/8/layout/radial6"/>
    <dgm:cxn modelId="{44914C6B-6C00-45A5-BF80-8F675CF8BBFF}" type="presParOf" srcId="{6304C0F3-C4C3-41C5-B351-A04344540A9C}" destId="{78F79DF4-2867-474A-8D74-7CF9BCA32FEA}" srcOrd="7" destOrd="0" presId="urn:microsoft.com/office/officeart/2005/8/layout/radial6"/>
    <dgm:cxn modelId="{9EEF2C59-43F1-4D49-82C2-550EE30A6F27}" type="presParOf" srcId="{6304C0F3-C4C3-41C5-B351-A04344540A9C}" destId="{24069F24-D12F-477E-9A85-66D5DA5D905A}" srcOrd="8" destOrd="0" presId="urn:microsoft.com/office/officeart/2005/8/layout/radial6"/>
    <dgm:cxn modelId="{D01131BD-6AA3-4B16-9B94-31ADB9B3C19F}" type="presParOf" srcId="{6304C0F3-C4C3-41C5-B351-A04344540A9C}" destId="{6DC92C8F-7228-481C-AB84-A8795A250A06}" srcOrd="9" destOrd="0" presId="urn:microsoft.com/office/officeart/2005/8/layout/radial6"/>
    <dgm:cxn modelId="{707F5D84-AE12-4EAD-B7EF-F7644018C250}" type="presParOf" srcId="{6304C0F3-C4C3-41C5-B351-A04344540A9C}" destId="{16FD4360-7A51-4701-8E40-EF036C27EDCF}" srcOrd="10" destOrd="0" presId="urn:microsoft.com/office/officeart/2005/8/layout/radial6"/>
    <dgm:cxn modelId="{95841DF2-D1DD-4DD7-BEE3-7948E88F2C94}" type="presParOf" srcId="{6304C0F3-C4C3-41C5-B351-A04344540A9C}" destId="{1BEEB2A1-9C48-434B-ACE8-4E0485EBF435}" srcOrd="11" destOrd="0" presId="urn:microsoft.com/office/officeart/2005/8/layout/radial6"/>
    <dgm:cxn modelId="{2EB97049-BCFC-46AC-A898-EBA0D0E92354}" type="presParOf" srcId="{6304C0F3-C4C3-41C5-B351-A04344540A9C}" destId="{A7D75679-0D0E-44D8-84AD-BFF81EF730E9}" srcOrd="12" destOrd="0" presId="urn:microsoft.com/office/officeart/2005/8/layout/radial6"/>
    <dgm:cxn modelId="{6833F4FA-0B57-4474-B1A3-1924DC3F5ECA}" type="presParOf" srcId="{6304C0F3-C4C3-41C5-B351-A04344540A9C}" destId="{28788DED-A33D-48D3-B18E-5DC5D33C655E}" srcOrd="13" destOrd="0" presId="urn:microsoft.com/office/officeart/2005/8/layout/radial6"/>
    <dgm:cxn modelId="{6AE4EB62-986F-44BB-AB3E-6AFCACB99013}" type="presParOf" srcId="{6304C0F3-C4C3-41C5-B351-A04344540A9C}" destId="{48D1F00F-C235-4F22-91AF-490340603F1F}" srcOrd="14" destOrd="0" presId="urn:microsoft.com/office/officeart/2005/8/layout/radial6"/>
    <dgm:cxn modelId="{EABE7499-C743-406E-A411-ADCE6240C0F1}" type="presParOf" srcId="{6304C0F3-C4C3-41C5-B351-A04344540A9C}" destId="{F51C54C1-859D-4789-B624-5483C3FC02F2}" srcOrd="15" destOrd="0" presId="urn:microsoft.com/office/officeart/2005/8/layout/radial6"/>
    <dgm:cxn modelId="{2A9B11BB-C7F0-4BC1-B277-7863613A3911}" type="presParOf" srcId="{6304C0F3-C4C3-41C5-B351-A04344540A9C}" destId="{3206EA48-F917-4BE9-8832-7FEB6B95499B}" srcOrd="16" destOrd="0" presId="urn:microsoft.com/office/officeart/2005/8/layout/radial6"/>
    <dgm:cxn modelId="{AB0E9F7A-434F-44E9-A970-600CD85500EF}" type="presParOf" srcId="{6304C0F3-C4C3-41C5-B351-A04344540A9C}" destId="{E37000C2-1ACB-4551-9216-D789B9B21E76}" srcOrd="17" destOrd="0" presId="urn:microsoft.com/office/officeart/2005/8/layout/radial6"/>
    <dgm:cxn modelId="{0921C077-C2DB-4C65-8FF3-A32E6C3067E4}" type="presParOf" srcId="{6304C0F3-C4C3-41C5-B351-A04344540A9C}" destId="{A2AB7210-F2B5-415C-83FD-2B781786667A}" srcOrd="18" destOrd="0" presId="urn:microsoft.com/office/officeart/2005/8/layout/radial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B7210-F2B5-415C-83FD-2B781786667A}">
      <dsp:nvSpPr>
        <dsp:cNvPr id="0" name=""/>
        <dsp:cNvSpPr/>
      </dsp:nvSpPr>
      <dsp:spPr>
        <a:xfrm>
          <a:off x="1781941" y="273950"/>
          <a:ext cx="1879069" cy="1879069"/>
        </a:xfrm>
        <a:prstGeom prst="blockArc">
          <a:avLst>
            <a:gd name="adj1" fmla="val 12600000"/>
            <a:gd name="adj2" fmla="val 16200000"/>
            <a:gd name="adj3" fmla="val 4514"/>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51C54C1-859D-4789-B624-5483C3FC02F2}">
      <dsp:nvSpPr>
        <dsp:cNvPr id="0" name=""/>
        <dsp:cNvSpPr/>
      </dsp:nvSpPr>
      <dsp:spPr>
        <a:xfrm>
          <a:off x="1781941" y="273950"/>
          <a:ext cx="1879069" cy="1879069"/>
        </a:xfrm>
        <a:prstGeom prst="blockArc">
          <a:avLst>
            <a:gd name="adj1" fmla="val 9000000"/>
            <a:gd name="adj2" fmla="val 12600000"/>
            <a:gd name="adj3" fmla="val 4514"/>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7D75679-0D0E-44D8-84AD-BFF81EF730E9}">
      <dsp:nvSpPr>
        <dsp:cNvPr id="0" name=""/>
        <dsp:cNvSpPr/>
      </dsp:nvSpPr>
      <dsp:spPr>
        <a:xfrm>
          <a:off x="1781941" y="273950"/>
          <a:ext cx="1879069" cy="1879069"/>
        </a:xfrm>
        <a:prstGeom prst="blockArc">
          <a:avLst>
            <a:gd name="adj1" fmla="val 5400000"/>
            <a:gd name="adj2" fmla="val 9000000"/>
            <a:gd name="adj3" fmla="val 4514"/>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DC92C8F-7228-481C-AB84-A8795A250A06}">
      <dsp:nvSpPr>
        <dsp:cNvPr id="0" name=""/>
        <dsp:cNvSpPr/>
      </dsp:nvSpPr>
      <dsp:spPr>
        <a:xfrm>
          <a:off x="1781941" y="273950"/>
          <a:ext cx="1879069" cy="1879069"/>
        </a:xfrm>
        <a:prstGeom prst="blockArc">
          <a:avLst>
            <a:gd name="adj1" fmla="val 1800000"/>
            <a:gd name="adj2" fmla="val 5400000"/>
            <a:gd name="adj3" fmla="val 4514"/>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1127F12-A01A-4DA5-B8E4-CC8C1502571F}">
      <dsp:nvSpPr>
        <dsp:cNvPr id="0" name=""/>
        <dsp:cNvSpPr/>
      </dsp:nvSpPr>
      <dsp:spPr>
        <a:xfrm>
          <a:off x="1781941" y="273950"/>
          <a:ext cx="1879069" cy="1879069"/>
        </a:xfrm>
        <a:prstGeom prst="blockArc">
          <a:avLst>
            <a:gd name="adj1" fmla="val 19800000"/>
            <a:gd name="adj2" fmla="val 1800000"/>
            <a:gd name="adj3" fmla="val 4514"/>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1C3211B-3341-429B-8EE9-DDD6E6AD7191}">
      <dsp:nvSpPr>
        <dsp:cNvPr id="0" name=""/>
        <dsp:cNvSpPr/>
      </dsp:nvSpPr>
      <dsp:spPr>
        <a:xfrm>
          <a:off x="1781941" y="273950"/>
          <a:ext cx="1879069" cy="1879069"/>
        </a:xfrm>
        <a:prstGeom prst="blockArc">
          <a:avLst>
            <a:gd name="adj1" fmla="val 16200000"/>
            <a:gd name="adj2" fmla="val 19800000"/>
            <a:gd name="adj3" fmla="val 4514"/>
          </a:avLst>
        </a:prstGeom>
        <a:gradFill rotWithShape="0">
          <a:gsLst>
            <a:gs pos="0">
              <a:schemeClr val="dk1">
                <a:tint val="60000"/>
                <a:hueOff val="0"/>
                <a:satOff val="0"/>
                <a:lumOff val="0"/>
                <a:alphaOff val="0"/>
                <a:tint val="100000"/>
                <a:shade val="100000"/>
                <a:satMod val="130000"/>
              </a:schemeClr>
            </a:gs>
            <a:gs pos="100000">
              <a:schemeClr val="dk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9A9E4B0-D0BD-439A-9089-229C8EF476DE}">
      <dsp:nvSpPr>
        <dsp:cNvPr id="0" name=""/>
        <dsp:cNvSpPr/>
      </dsp:nvSpPr>
      <dsp:spPr>
        <a:xfrm>
          <a:off x="2258662" y="750670"/>
          <a:ext cx="925628" cy="925628"/>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mj-lt"/>
            </a:rPr>
            <a:t>Monitoring compliance</a:t>
          </a:r>
        </a:p>
      </dsp:txBody>
      <dsp:txXfrm>
        <a:off x="2394217" y="886225"/>
        <a:ext cx="654518" cy="654518"/>
      </dsp:txXfrm>
    </dsp:sp>
    <dsp:sp modelId="{7E3C90E1-5BEB-4EA0-8879-13FDF7C30418}">
      <dsp:nvSpPr>
        <dsp:cNvPr id="0" name=""/>
        <dsp:cNvSpPr/>
      </dsp:nvSpPr>
      <dsp:spPr>
        <a:xfrm>
          <a:off x="2290272" y="-136048"/>
          <a:ext cx="862407" cy="862407"/>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Annual supply reports</a:t>
          </a:r>
        </a:p>
      </dsp:txBody>
      <dsp:txXfrm>
        <a:off x="2416569" y="-9751"/>
        <a:ext cx="609813" cy="609813"/>
      </dsp:txXfrm>
    </dsp:sp>
    <dsp:sp modelId="{283F29CF-69B3-4481-B417-959B6D8F014C}">
      <dsp:nvSpPr>
        <dsp:cNvPr id="0" name=""/>
        <dsp:cNvSpPr/>
      </dsp:nvSpPr>
      <dsp:spPr>
        <a:xfrm>
          <a:off x="3085569" y="323116"/>
          <a:ext cx="862407" cy="862407"/>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latin typeface="+mj-lt"/>
            </a:rPr>
            <a:t>Performance measures</a:t>
          </a:r>
        </a:p>
      </dsp:txBody>
      <dsp:txXfrm>
        <a:off x="3211866" y="449413"/>
        <a:ext cx="609813" cy="609813"/>
      </dsp:txXfrm>
    </dsp:sp>
    <dsp:sp modelId="{78F79DF4-2867-474A-8D74-7CF9BCA32FEA}">
      <dsp:nvSpPr>
        <dsp:cNvPr id="0" name=""/>
        <dsp:cNvSpPr/>
      </dsp:nvSpPr>
      <dsp:spPr>
        <a:xfrm>
          <a:off x="3085569" y="1241445"/>
          <a:ext cx="862407" cy="862407"/>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Audits</a:t>
          </a:r>
        </a:p>
      </dsp:txBody>
      <dsp:txXfrm>
        <a:off x="3211866" y="1367742"/>
        <a:ext cx="609813" cy="609813"/>
      </dsp:txXfrm>
    </dsp:sp>
    <dsp:sp modelId="{16FD4360-7A51-4701-8E40-EF036C27EDCF}">
      <dsp:nvSpPr>
        <dsp:cNvPr id="0" name=""/>
        <dsp:cNvSpPr/>
      </dsp:nvSpPr>
      <dsp:spPr>
        <a:xfrm>
          <a:off x="2290272" y="1700610"/>
          <a:ext cx="862407" cy="862407"/>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Engagement</a:t>
          </a:r>
          <a:r>
            <a:rPr lang="en-AU" sz="700" kern="1200">
              <a:latin typeface="+mj-lt"/>
            </a:rPr>
            <a:t> </a:t>
          </a:r>
        </a:p>
      </dsp:txBody>
      <dsp:txXfrm>
        <a:off x="2416569" y="1826907"/>
        <a:ext cx="609813" cy="609813"/>
      </dsp:txXfrm>
    </dsp:sp>
    <dsp:sp modelId="{28788DED-A33D-48D3-B18E-5DC5D33C655E}">
      <dsp:nvSpPr>
        <dsp:cNvPr id="0" name=""/>
        <dsp:cNvSpPr/>
      </dsp:nvSpPr>
      <dsp:spPr>
        <a:xfrm>
          <a:off x="1494975" y="1241445"/>
          <a:ext cx="862407" cy="862407"/>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Complaints</a:t>
          </a:r>
        </a:p>
      </dsp:txBody>
      <dsp:txXfrm>
        <a:off x="1621272" y="1367742"/>
        <a:ext cx="609813" cy="609813"/>
      </dsp:txXfrm>
    </dsp:sp>
    <dsp:sp modelId="{3206EA48-F917-4BE9-8832-7FEB6B95499B}">
      <dsp:nvSpPr>
        <dsp:cNvPr id="0" name=""/>
        <dsp:cNvSpPr/>
      </dsp:nvSpPr>
      <dsp:spPr>
        <a:xfrm>
          <a:off x="1471367" y="323116"/>
          <a:ext cx="909624" cy="862407"/>
        </a:xfrm>
        <a:prstGeom prst="ellipse">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AU" sz="900" kern="1200">
              <a:latin typeface="+mj-lt"/>
            </a:rPr>
            <a:t>Procurement activity plans</a:t>
          </a:r>
        </a:p>
      </dsp:txBody>
      <dsp:txXfrm>
        <a:off x="1604578" y="449413"/>
        <a:ext cx="643202" cy="6098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8CC873E-268D-4A0F-A9AD-DB6F493EDC48}">
  <ds:schemaRefs>
    <ds:schemaRef ds:uri="http://schemas.openxmlformats.org/officeDocument/2006/bibliography"/>
  </ds:schemaRefs>
</ds:datastoreItem>
</file>

<file path=customXml/itemProps2.xml><?xml version="1.0" encoding="utf-8"?>
<ds:datastoreItem xmlns:ds="http://schemas.openxmlformats.org/officeDocument/2006/customXml" ds:itemID="{6B1BEBFA-874B-4898-8F2E-D614AD658DD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21342</Words>
  <Characters>111834</Characters>
  <Application>Microsoft Office Word</Application>
  <DocSecurity>0</DocSecurity>
  <PresentationFormat/>
  <Lines>3494</Lines>
  <Paragraphs>1987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keelie reader</dc:creator>
  <cp:keywords/>
  <dc:description/>
  <cp:lastModifiedBy>keelie reader</cp:lastModifiedBy>
  <cp:revision>3</cp:revision>
  <cp:lastPrinted>2019-08-12T01:34:00Z</cp:lastPrinted>
  <dcterms:created xsi:type="dcterms:W3CDTF">2020-09-30T08:09:00Z</dcterms:created>
  <dcterms:modified xsi:type="dcterms:W3CDTF">2020-10-01T02:54:00Z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
  </property>
  <property fmtid="{D5CDD505-2E9C-101B-9397-08002B2CF9AE}" pid="3" name="PSPFClassification">
    <vt:lpwstr/>
  </property>
  <property fmtid="{D5CDD505-2E9C-101B-9397-08002B2CF9AE}" pid="4" name="MSIP_Label_e6fed52b-376d-4566-98f9-3f053dd95139_Enabled">
    <vt:lpwstr/>
  </property>
  <property fmtid="{D5CDD505-2E9C-101B-9397-08002B2CF9AE}" pid="5" name="MSIP_Label_e6fed52b-376d-4566-98f9-3f053dd95139_SiteId">
    <vt:lpwstr/>
  </property>
  <property fmtid="{D5CDD505-2E9C-101B-9397-08002B2CF9AE}" pid="6" name="MSIP_Label_e6fed52b-376d-4566-98f9-3f053dd95139_Owner">
    <vt:lpwstr/>
  </property>
  <property fmtid="{D5CDD505-2E9C-101B-9397-08002B2CF9AE}" pid="7" name="MSIP_Label_e6fed52b-376d-4566-98f9-3f053dd95139_SetDate">
    <vt:lpwstr/>
  </property>
  <property fmtid="{D5CDD505-2E9C-101B-9397-08002B2CF9AE}" pid="8" name="MSIP_Label_e6fed52b-376d-4566-98f9-3f053dd95139_Name">
    <vt:lpwstr/>
  </property>
  <property fmtid="{D5CDD505-2E9C-101B-9397-08002B2CF9AE}" pid="9" name="MSIP_Label_e6fed52b-376d-4566-98f9-3f053dd95139_Application">
    <vt:lpwstr/>
  </property>
  <property fmtid="{D5CDD505-2E9C-101B-9397-08002B2CF9AE}" pid="10" name="MSIP_Label_e6fed52b-376d-4566-98f9-3f053dd95139_Extended_MSFT_Method">
    <vt:lpwstr/>
  </property>
  <property fmtid="{D5CDD505-2E9C-101B-9397-08002B2CF9AE}" pid="11" name="MSIP_Label_89340f31-56de-4f35-ad48-dca23d528fee_Enabled">
    <vt:lpwstr/>
  </property>
  <property fmtid="{D5CDD505-2E9C-101B-9397-08002B2CF9AE}" pid="12" name="MSIP_Label_89340f31-56de-4f35-ad48-dca23d528fee_SiteId">
    <vt:lpwstr/>
  </property>
  <property fmtid="{D5CDD505-2E9C-101B-9397-08002B2CF9AE}" pid="13" name="MSIP_Label_89340f31-56de-4f35-ad48-dca23d528fee_Owner">
    <vt:lpwstr/>
  </property>
  <property fmtid="{D5CDD505-2E9C-101B-9397-08002B2CF9AE}" pid="14" name="MSIP_Label_89340f31-56de-4f35-ad48-dca23d528fee_SetDate">
    <vt:lpwstr/>
  </property>
  <property fmtid="{D5CDD505-2E9C-101B-9397-08002B2CF9AE}" pid="15" name="MSIP_Label_89340f31-56de-4f35-ad48-dca23d528fee_Name">
    <vt:lpwstr/>
  </property>
  <property fmtid="{D5CDD505-2E9C-101B-9397-08002B2CF9AE}" pid="16" name="MSIP_Label_89340f31-56de-4f35-ad48-dca23d528fee_Application">
    <vt:lpwstr/>
  </property>
  <property fmtid="{D5CDD505-2E9C-101B-9397-08002B2CF9AE}" pid="17" name="MSIP_Label_89340f31-56de-4f35-ad48-dca23d528fee_Parent">
    <vt:lpwstr/>
  </property>
  <property fmtid="{D5CDD505-2E9C-101B-9397-08002B2CF9AE}" pid="18" name="MSIP_Label_89340f31-56de-4f35-ad48-dca23d528fee_Extended_MSFT_Method">
    <vt:lpwstr/>
  </property>
  <property fmtid="{D5CDD505-2E9C-101B-9397-08002B2CF9AE}" pid="19" name="Sensitivity">
    <vt:lpwstr/>
  </property>
</Properties>
</file>