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08CF" w14:textId="64E24DF4" w:rsidR="00775086" w:rsidRPr="00060E50" w:rsidRDefault="00775086" w:rsidP="00060E50">
      <w:pPr>
        <w:pStyle w:val="Heading1"/>
        <w:rPr>
          <w:color w:val="7030A0"/>
          <w:sz w:val="32"/>
          <w:szCs w:val="32"/>
        </w:rPr>
      </w:pPr>
      <w:r w:rsidRPr="00060E50">
        <w:rPr>
          <w:color w:val="7030A0"/>
          <w:sz w:val="32"/>
          <w:szCs w:val="32"/>
        </w:rPr>
        <w:t xml:space="preserve">Model social procurement evaluation matrix – procurement valued </w:t>
      </w:r>
      <w:r w:rsidR="00060E50" w:rsidRPr="00060E50">
        <w:rPr>
          <w:color w:val="7030A0"/>
          <w:sz w:val="32"/>
          <w:szCs w:val="32"/>
        </w:rPr>
        <w:t>at or above</w:t>
      </w:r>
      <w:r w:rsidRPr="00060E50">
        <w:rPr>
          <w:color w:val="7030A0"/>
          <w:sz w:val="32"/>
          <w:szCs w:val="32"/>
        </w:rPr>
        <w:t xml:space="preserve"> $20 million (exclusive of GST)</w:t>
      </w:r>
    </w:p>
    <w:p w14:paraId="119EB010" w14:textId="0245E3D6" w:rsidR="00775086" w:rsidRPr="00060E50" w:rsidRDefault="00775086" w:rsidP="00060E50">
      <w:pPr>
        <w:pStyle w:val="Tablechartdiagramheading"/>
        <w:keepNext w:val="0"/>
        <w:rPr>
          <w:b w:val="0"/>
          <w:sz w:val="22"/>
          <w:szCs w:val="22"/>
        </w:rPr>
      </w:pPr>
      <w:r w:rsidRPr="00060E50">
        <w:rPr>
          <w:b w:val="0"/>
          <w:sz w:val="22"/>
          <w:szCs w:val="22"/>
        </w:rPr>
        <w:t xml:space="preserve">The following table provides a summary of evaluation criteria, weighting and scoring for each Social Procurement Framework objective, based on the examples approaches in the tools </w:t>
      </w:r>
      <w:r w:rsidRPr="00060E50">
        <w:rPr>
          <w:rFonts w:cstheme="minorHAnsi"/>
          <w:sz w:val="22"/>
          <w:szCs w:val="22"/>
        </w:rPr>
        <w:t xml:space="preserve">Application of Social Procurement Framework weighting (example) </w:t>
      </w:r>
      <w:r w:rsidRPr="00060E50">
        <w:rPr>
          <w:rFonts w:cstheme="minorHAnsi"/>
          <w:b w:val="0"/>
          <w:sz w:val="22"/>
          <w:szCs w:val="22"/>
        </w:rPr>
        <w:t>and</w:t>
      </w:r>
      <w:r w:rsidRPr="00060E50">
        <w:rPr>
          <w:rFonts w:cstheme="minorHAnsi"/>
          <w:sz w:val="22"/>
          <w:szCs w:val="22"/>
        </w:rPr>
        <w:t xml:space="preserve"> Scoring against Social Procurement Framework evaluation criteria (example)</w:t>
      </w:r>
      <w:r w:rsidRPr="00060E50">
        <w:rPr>
          <w:b w:val="0"/>
          <w:sz w:val="22"/>
          <w:szCs w:val="22"/>
        </w:rPr>
        <w:t>.</w:t>
      </w:r>
    </w:p>
    <w:p w14:paraId="0FD507DE" w14:textId="77777777" w:rsidR="00775086" w:rsidRPr="00060E50" w:rsidRDefault="00775086" w:rsidP="00060E50">
      <w:pPr>
        <w:pStyle w:val="Tablechartdiagramheading"/>
        <w:keepNext w:val="0"/>
        <w:rPr>
          <w:b w:val="0"/>
          <w:sz w:val="22"/>
          <w:szCs w:val="22"/>
        </w:rPr>
      </w:pPr>
      <w:r w:rsidRPr="00060E50">
        <w:rPr>
          <w:b w:val="0"/>
          <w:sz w:val="22"/>
          <w:szCs w:val="22"/>
        </w:rPr>
        <w:t>This example approach is not prescriptive – it is up to the government buyer to determine the most appropriate approach based on the circumstances of the individual procurement activity.</w:t>
      </w:r>
    </w:p>
    <w:p w14:paraId="72BEB2D9" w14:textId="77777777" w:rsidR="00E62D19" w:rsidRPr="00060E50" w:rsidRDefault="00E62D19" w:rsidP="00060E50">
      <w:pPr>
        <w:pStyle w:val="Heading2"/>
        <w:rPr>
          <w:rFonts w:eastAsia="Times New Roman"/>
          <w:color w:val="7030A0"/>
          <w:szCs w:val="28"/>
        </w:rPr>
      </w:pPr>
      <w:r w:rsidRPr="00060E50">
        <w:rPr>
          <w:rFonts w:eastAsia="Times New Roman"/>
          <w:color w:val="7030A0"/>
          <w:szCs w:val="28"/>
        </w:rPr>
        <w:t>Key focus area(s): Supplier attributes and social or sustainable business practices plus social or sustainable outputs</w:t>
      </w:r>
    </w:p>
    <w:p w14:paraId="18E024D9" w14:textId="3038E80F" w:rsidR="00E62D19" w:rsidRPr="00060E50" w:rsidRDefault="00775086" w:rsidP="00E62D19">
      <w:pPr>
        <w:rPr>
          <w:sz w:val="22"/>
          <w:szCs w:val="22"/>
        </w:rPr>
      </w:pPr>
      <w:r w:rsidRPr="00060E50">
        <w:rPr>
          <w:sz w:val="22"/>
          <w:szCs w:val="22"/>
        </w:rPr>
        <w:t>Note</w:t>
      </w:r>
      <w:r w:rsidR="00E62D19" w:rsidRPr="00060E50">
        <w:rPr>
          <w:sz w:val="22"/>
          <w:szCs w:val="22"/>
        </w:rPr>
        <w:t>: Weighted score for social procurement component will form part of total score available for all components of the evaluation matrix</w:t>
      </w:r>
    </w:p>
    <w:tbl>
      <w:tblPr>
        <w:tblStyle w:val="DTFtexttable"/>
        <w:tblW w:w="14516" w:type="dxa"/>
        <w:tblLayout w:type="fixed"/>
        <w:tblLook w:val="0620" w:firstRow="1" w:lastRow="0" w:firstColumn="0" w:lastColumn="0" w:noHBand="1" w:noVBand="1"/>
      </w:tblPr>
      <w:tblGrid>
        <w:gridCol w:w="1758"/>
        <w:gridCol w:w="2127"/>
        <w:gridCol w:w="708"/>
        <w:gridCol w:w="6521"/>
        <w:gridCol w:w="1559"/>
        <w:gridCol w:w="1843"/>
      </w:tblGrid>
      <w:tr w:rsidR="00060E50" w:rsidRPr="00060E50" w14:paraId="2318B2C2" w14:textId="77777777" w:rsidTr="00060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24F9A" w14:textId="77777777" w:rsidR="00E62D19" w:rsidRPr="00060E50" w:rsidRDefault="00E62D19" w:rsidP="000532C9">
            <w:pPr>
              <w:rPr>
                <w:color w:val="auto"/>
              </w:rPr>
            </w:pPr>
            <w:r w:rsidRPr="00060E50">
              <w:rPr>
                <w:color w:val="auto"/>
              </w:rPr>
              <w:t>Objective / Strategy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4BEAF" w14:textId="77777777" w:rsidR="00E62D19" w:rsidRPr="00060E50" w:rsidRDefault="00E62D19" w:rsidP="000532C9">
            <w:pPr>
              <w:rPr>
                <w:color w:val="auto"/>
              </w:rPr>
            </w:pPr>
            <w:r w:rsidRPr="00060E50">
              <w:rPr>
                <w:color w:val="auto"/>
              </w:rPr>
              <w:t>Comment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3FD17" w14:textId="77777777" w:rsidR="00E62D19" w:rsidRPr="00060E50" w:rsidRDefault="00E62D19" w:rsidP="000532C9">
            <w:pPr>
              <w:rPr>
                <w:color w:val="auto"/>
              </w:rPr>
            </w:pPr>
            <w:r w:rsidRPr="00060E50">
              <w:rPr>
                <w:color w:val="auto"/>
              </w:rPr>
              <w:t>Score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13A10" w14:textId="77777777" w:rsidR="00E62D19" w:rsidRPr="00060E50" w:rsidRDefault="00E62D19" w:rsidP="000532C9">
            <w:pPr>
              <w:rPr>
                <w:color w:val="auto"/>
              </w:rPr>
            </w:pPr>
            <w:r w:rsidRPr="00060E50">
              <w:rPr>
                <w:color w:val="auto"/>
              </w:rPr>
              <w:t>Scoring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D686E" w14:textId="77777777" w:rsidR="00E62D19" w:rsidRPr="00060E50" w:rsidRDefault="00E62D19" w:rsidP="000532C9">
            <w:pPr>
              <w:rPr>
                <w:color w:val="auto"/>
              </w:rPr>
            </w:pPr>
            <w:r w:rsidRPr="00060E50">
              <w:rPr>
                <w:color w:val="auto"/>
              </w:rPr>
              <w:t>Weighting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C1E06" w14:textId="77777777" w:rsidR="00E62D19" w:rsidRPr="00060E50" w:rsidRDefault="00E62D19" w:rsidP="000532C9">
            <w:pPr>
              <w:rPr>
                <w:color w:val="auto"/>
              </w:rPr>
            </w:pPr>
            <w:r w:rsidRPr="00060E50">
              <w:rPr>
                <w:color w:val="auto"/>
              </w:rPr>
              <w:t>Weighted score</w:t>
            </w:r>
          </w:p>
        </w:tc>
      </w:tr>
      <w:tr w:rsidR="00060E50" w:rsidRPr="00060E50" w14:paraId="483DE936" w14:textId="77777777" w:rsidTr="00060E50">
        <w:trPr>
          <w:trHeight w:val="89"/>
        </w:trPr>
        <w:tc>
          <w:tcPr>
            <w:tcW w:w="14516" w:type="dxa"/>
            <w:gridSpan w:val="6"/>
            <w:tcBorders>
              <w:top w:val="single" w:sz="6" w:space="0" w:color="auto"/>
              <w:bottom w:val="nil"/>
            </w:tcBorders>
          </w:tcPr>
          <w:p w14:paraId="058E8982" w14:textId="77777777" w:rsidR="00E62D19" w:rsidRPr="00060E50" w:rsidRDefault="00E62D19" w:rsidP="000532C9">
            <w:pPr>
              <w:pStyle w:val="Heading3"/>
              <w:rPr>
                <w:color w:val="auto"/>
              </w:rPr>
            </w:pPr>
            <w:r w:rsidRPr="00060E50">
              <w:rPr>
                <w:color w:val="auto"/>
              </w:rPr>
              <w:t>SOCIAL OUTPUTS</w:t>
            </w:r>
          </w:p>
        </w:tc>
      </w:tr>
      <w:tr w:rsidR="00E62D19" w:rsidRPr="0075511C" w14:paraId="3E77BF02" w14:textId="77777777" w:rsidTr="00060E50">
        <w:tc>
          <w:tcPr>
            <w:tcW w:w="1758" w:type="dxa"/>
            <w:tcBorders>
              <w:top w:val="nil"/>
              <w:bottom w:val="single" w:sz="6" w:space="0" w:color="auto"/>
            </w:tcBorders>
          </w:tcPr>
          <w:p w14:paraId="0A28A42C" w14:textId="77777777" w:rsidR="00E62D19" w:rsidRPr="007C0A6C" w:rsidRDefault="00E62D19" w:rsidP="000532C9">
            <w:pPr>
              <w:rPr>
                <w:b/>
              </w:rPr>
            </w:pPr>
            <w:r w:rsidRPr="007C0A6C">
              <w:rPr>
                <w:b/>
              </w:rPr>
              <w:t>Sustainable Victorian social enterprise and Aboriginal business sectors</w:t>
            </w:r>
          </w:p>
          <w:p w14:paraId="542EE082" w14:textId="77777777" w:rsidR="00E62D19" w:rsidRPr="0075511C" w:rsidRDefault="00E62D19" w:rsidP="000532C9">
            <w:r w:rsidRPr="00470BC2">
              <w:t>Targets for supplier project expenditure to be directed through social benefit suppliers</w:t>
            </w:r>
          </w:p>
        </w:tc>
        <w:tc>
          <w:tcPr>
            <w:tcW w:w="2127" w:type="dxa"/>
            <w:tcBorders>
              <w:top w:val="nil"/>
              <w:bottom w:val="single" w:sz="6" w:space="0" w:color="auto"/>
            </w:tcBorders>
          </w:tcPr>
          <w:p w14:paraId="2567C1BB" w14:textId="77777777" w:rsidR="00E62D19" w:rsidRPr="0075511C" w:rsidRDefault="00E62D19" w:rsidP="000532C9">
            <w:r w:rsidRPr="0075511C">
              <w:t xml:space="preserve">This objective is one of </w:t>
            </w:r>
            <w:r>
              <w:t xml:space="preserve">the </w:t>
            </w:r>
            <w:r w:rsidRPr="0075511C">
              <w:t>social</w:t>
            </w:r>
            <w:r>
              <w:t xml:space="preserve"> procurement</w:t>
            </w:r>
            <w:r w:rsidRPr="0075511C">
              <w:t xml:space="preserve"> objective</w:t>
            </w:r>
            <w:r>
              <w:t>s in which social outputs</w:t>
            </w:r>
            <w:r w:rsidRPr="00504981">
              <w:t xml:space="preserve"> can be </w:t>
            </w:r>
            <w:r>
              <w:t xml:space="preserve">sought within </w:t>
            </w:r>
            <w:r w:rsidRPr="00504981">
              <w:t>procurement</w:t>
            </w:r>
            <w:r>
              <w:t xml:space="preserve"> options for the</w:t>
            </w:r>
            <w:r w:rsidRPr="0075511C">
              <w:t>s</w:t>
            </w:r>
            <w:r>
              <w:t>e</w:t>
            </w:r>
            <w:r w:rsidRPr="0075511C">
              <w:t xml:space="preserve"> </w:t>
            </w:r>
            <w:r>
              <w:t xml:space="preserve">value bands. It has </w:t>
            </w:r>
            <w:r w:rsidRPr="0075511C">
              <w:t xml:space="preserve">a </w:t>
            </w:r>
            <w:r>
              <w:t>25</w:t>
            </w:r>
            <w:r w:rsidRPr="0075511C">
              <w:t xml:space="preserve">% weighting. The </w:t>
            </w:r>
            <w:r>
              <w:t xml:space="preserve">government </w:t>
            </w:r>
            <w:r w:rsidRPr="0075511C">
              <w:t xml:space="preserve">buyer can use this option as one of two </w:t>
            </w:r>
            <w:r>
              <w:t>outputs to</w:t>
            </w:r>
            <w:r w:rsidRPr="0075511C">
              <w:t xml:space="preserve"> be evaluated</w:t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187FE8FF" w14:textId="77777777" w:rsidR="00E62D19" w:rsidRPr="0075511C" w:rsidRDefault="00E62D19" w:rsidP="000532C9">
            <w:r w:rsidRPr="0075511C">
              <w:t>0</w:t>
            </w:r>
            <w:r>
              <w:t>–</w:t>
            </w:r>
            <w:r w:rsidRPr="0075511C">
              <w:t>10</w:t>
            </w:r>
          </w:p>
        </w:tc>
        <w:tc>
          <w:tcPr>
            <w:tcW w:w="6521" w:type="dxa"/>
            <w:tcBorders>
              <w:top w:val="nil"/>
              <w:bottom w:val="single" w:sz="6" w:space="0" w:color="auto"/>
            </w:tcBorders>
          </w:tcPr>
          <w:p w14:paraId="7E1A2BBD" w14:textId="77777777" w:rsidR="00E62D19" w:rsidRPr="0075511C" w:rsidRDefault="00E62D19" w:rsidP="000532C9">
            <w:r w:rsidRPr="0075511C">
              <w:t xml:space="preserve">Scoring will initially be dependent upon whether </w:t>
            </w:r>
            <w:r>
              <w:t>the government</w:t>
            </w:r>
            <w:r w:rsidRPr="0075511C">
              <w:t xml:space="preserve"> buyer’s approach has been prescriptive or non</w:t>
            </w:r>
            <w:r>
              <w:noBreakHyphen/>
            </w:r>
            <w:r w:rsidRPr="0075511C">
              <w:t>prescriptive</w:t>
            </w:r>
            <w:r>
              <w:t>.</w:t>
            </w:r>
          </w:p>
          <w:p w14:paraId="4D0CFF33" w14:textId="77777777" w:rsidR="00E62D19" w:rsidRPr="0075511C" w:rsidRDefault="00E62D19" w:rsidP="000532C9">
            <w:r w:rsidRPr="0075511C">
              <w:t>If prescriptive then scoring will be based on the supplier’s compliance with the prescribed target, and evidence provided that the output target can be achieved</w:t>
            </w:r>
            <w:r>
              <w:t>.</w:t>
            </w:r>
          </w:p>
          <w:p w14:paraId="06A72604" w14:textId="77777777" w:rsidR="00E62D19" w:rsidRPr="0075511C" w:rsidRDefault="00E62D19" w:rsidP="000532C9">
            <w:r w:rsidRPr="0075511C">
              <w:t xml:space="preserve">If non-prescriptive then differences in targets </w:t>
            </w:r>
            <w:r>
              <w:t xml:space="preserve">proposed by suppliers, </w:t>
            </w:r>
            <w:r w:rsidRPr="0075511C">
              <w:t>and associated evidence that the output target can be ach</w:t>
            </w:r>
            <w:r>
              <w:t>ieved, will be compared to determine scoring.</w:t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556A1CCD" w14:textId="77777777" w:rsidR="00E62D19" w:rsidRPr="0075511C" w:rsidRDefault="00E62D19" w:rsidP="000532C9">
            <w:r>
              <w:t>25</w:t>
            </w:r>
            <w:r w:rsidRPr="0075511C">
              <w:t>%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62DFCAE6" w14:textId="77777777" w:rsidR="00E62D19" w:rsidRPr="0075511C" w:rsidRDefault="00E62D19" w:rsidP="000532C9">
            <w:r>
              <w:t>0-2.5</w:t>
            </w:r>
          </w:p>
        </w:tc>
      </w:tr>
      <w:tr w:rsidR="00E62D19" w:rsidRPr="0075511C" w14:paraId="0E13A238" w14:textId="77777777" w:rsidTr="00060E50"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12E78752" w14:textId="77777777" w:rsidR="00E62D19" w:rsidRPr="007C0A6C" w:rsidRDefault="00E62D19" w:rsidP="000532C9">
            <w:pPr>
              <w:rPr>
                <w:b/>
              </w:rPr>
            </w:pPr>
            <w:r w:rsidRPr="007C0A6C">
              <w:rPr>
                <w:b/>
              </w:rPr>
              <w:lastRenderedPageBreak/>
              <w:t>Women’s equality and safety</w:t>
            </w:r>
          </w:p>
          <w:p w14:paraId="573F153A" w14:textId="77777777" w:rsidR="00E62D19" w:rsidRPr="0075511C" w:rsidRDefault="00E62D19" w:rsidP="000532C9">
            <w:r w:rsidRPr="00470BC2">
              <w:t>Performance standards or industry-appropriate targets for labour hours performed by women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2A1E3401" w14:textId="77777777" w:rsidR="00E62D19" w:rsidRPr="0075511C" w:rsidRDefault="00E62D19" w:rsidP="000532C9">
            <w:r w:rsidRPr="0075511C">
              <w:t xml:space="preserve">This objective is one of </w:t>
            </w:r>
            <w:r>
              <w:t xml:space="preserve">the </w:t>
            </w:r>
            <w:r w:rsidRPr="0075511C">
              <w:t>social</w:t>
            </w:r>
            <w:r>
              <w:t xml:space="preserve"> procurement</w:t>
            </w:r>
            <w:r w:rsidRPr="0075511C">
              <w:t xml:space="preserve"> objective</w:t>
            </w:r>
            <w:r>
              <w:t>s in which social outputs</w:t>
            </w:r>
            <w:r w:rsidRPr="00504981">
              <w:t xml:space="preserve"> can be </w:t>
            </w:r>
            <w:r>
              <w:t xml:space="preserve">sought within </w:t>
            </w:r>
            <w:r w:rsidRPr="00504981">
              <w:t>procurement</w:t>
            </w:r>
            <w:r w:rsidRPr="0075511C">
              <w:t xml:space="preserve"> options </w:t>
            </w:r>
            <w:r>
              <w:t>for the</w:t>
            </w:r>
            <w:r w:rsidRPr="0075511C">
              <w:t>s</w:t>
            </w:r>
            <w:r>
              <w:t>e</w:t>
            </w:r>
            <w:r w:rsidRPr="0075511C">
              <w:t xml:space="preserve"> </w:t>
            </w:r>
            <w:r>
              <w:t xml:space="preserve">value bands. It has </w:t>
            </w:r>
            <w:r w:rsidRPr="0075511C">
              <w:t xml:space="preserve">a </w:t>
            </w:r>
            <w:r>
              <w:t>25</w:t>
            </w:r>
            <w:r w:rsidRPr="0075511C">
              <w:t xml:space="preserve">% weighting. The </w:t>
            </w:r>
            <w:r>
              <w:t xml:space="preserve">government </w:t>
            </w:r>
            <w:r w:rsidRPr="0075511C">
              <w:t xml:space="preserve">buyer can use this option as one of two </w:t>
            </w:r>
            <w:r>
              <w:t>outputs to</w:t>
            </w:r>
            <w:r w:rsidRPr="0075511C">
              <w:t xml:space="preserve"> be evaluated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63BDCD59" w14:textId="77777777" w:rsidR="00E62D19" w:rsidRPr="0075511C" w:rsidRDefault="00E62D19" w:rsidP="000532C9">
            <w:r>
              <w:t>0–</w:t>
            </w:r>
            <w:r w:rsidRPr="0075511C">
              <w:t>10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14:paraId="037BB803" w14:textId="77777777" w:rsidR="00E62D19" w:rsidRPr="0075511C" w:rsidRDefault="00E62D19" w:rsidP="000532C9">
            <w:r w:rsidRPr="0075511C">
              <w:t xml:space="preserve">Scoring will initially be dependent upon whether </w:t>
            </w:r>
            <w:r>
              <w:t>the government</w:t>
            </w:r>
            <w:r w:rsidRPr="0075511C">
              <w:t xml:space="preserve"> buyer’s approach has been prescriptive or non</w:t>
            </w:r>
            <w:r>
              <w:noBreakHyphen/>
            </w:r>
            <w:r w:rsidRPr="0075511C">
              <w:t>prescriptive</w:t>
            </w:r>
            <w:r>
              <w:t>.</w:t>
            </w:r>
          </w:p>
          <w:p w14:paraId="3C4EF50D" w14:textId="77777777" w:rsidR="00E62D19" w:rsidRPr="0075511C" w:rsidRDefault="00E62D19" w:rsidP="000532C9">
            <w:r w:rsidRPr="0075511C">
              <w:t>If prescriptive then scoring will be based on the supplier’s compliance with the prescribed target, and evidence provided that the output target can be achieved</w:t>
            </w:r>
            <w:r>
              <w:t>.</w:t>
            </w:r>
          </w:p>
          <w:p w14:paraId="3C1BC2C6" w14:textId="77777777" w:rsidR="00E62D19" w:rsidRPr="0075511C" w:rsidRDefault="00E62D19" w:rsidP="000532C9">
            <w:r w:rsidRPr="0075511C">
              <w:t xml:space="preserve">If non-prescriptive then differences in targets </w:t>
            </w:r>
            <w:r>
              <w:t xml:space="preserve">proposed by suppliers </w:t>
            </w:r>
            <w:r w:rsidRPr="0075511C">
              <w:t xml:space="preserve">and associated evidence that the </w:t>
            </w:r>
            <w:r>
              <w:t xml:space="preserve">output </w:t>
            </w:r>
            <w:r w:rsidRPr="0075511C">
              <w:t>target can be ach</w:t>
            </w:r>
            <w:r>
              <w:t>ieved, will be compared to determine scoring.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00BF19C" w14:textId="77777777" w:rsidR="00E62D19" w:rsidRPr="0075511C" w:rsidRDefault="00E62D19" w:rsidP="000532C9">
            <w:r>
              <w:t>25</w:t>
            </w:r>
            <w:r w:rsidRPr="0075511C">
              <w:t>%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540B2AF" w14:textId="77777777" w:rsidR="00E62D19" w:rsidRPr="0075511C" w:rsidRDefault="00E62D19" w:rsidP="000532C9">
            <w:r>
              <w:t>0-2.5</w:t>
            </w:r>
          </w:p>
        </w:tc>
      </w:tr>
      <w:tr w:rsidR="00E62D19" w:rsidRPr="0075511C" w14:paraId="50C43E83" w14:textId="77777777" w:rsidTr="00060E50"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2242EC21" w14:textId="2C95F7E0" w:rsidR="00E62D19" w:rsidRPr="007C0A6C" w:rsidRDefault="00E62D19" w:rsidP="000532C9">
            <w:pPr>
              <w:rPr>
                <w:b/>
              </w:rPr>
            </w:pPr>
            <w:r w:rsidRPr="007C0A6C">
              <w:rPr>
                <w:b/>
              </w:rPr>
              <w:t xml:space="preserve">Opportunities for </w:t>
            </w:r>
            <w:r w:rsidR="00E53655">
              <w:rPr>
                <w:b/>
              </w:rPr>
              <w:t>Victorian priority jobseekers</w:t>
            </w:r>
          </w:p>
          <w:p w14:paraId="7C6960C9" w14:textId="5DE27B80" w:rsidR="00E62D19" w:rsidRPr="0075511C" w:rsidRDefault="00E62D19" w:rsidP="000532C9">
            <w:r w:rsidRPr="00470BC2">
              <w:t>Targets for</w:t>
            </w:r>
            <w:r>
              <w:t xml:space="preserve"> </w:t>
            </w:r>
            <w:r w:rsidRPr="00470BC2">
              <w:t xml:space="preserve">employment and training for </w:t>
            </w:r>
            <w:r w:rsidR="00E53655">
              <w:t>Victorian priority jobseekers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71B30510" w14:textId="77777777" w:rsidR="00E62D19" w:rsidRPr="0075511C" w:rsidRDefault="00E62D19" w:rsidP="000532C9">
            <w:r w:rsidRPr="0075511C">
              <w:t xml:space="preserve">This objective is one of </w:t>
            </w:r>
            <w:r>
              <w:t xml:space="preserve">the </w:t>
            </w:r>
            <w:r w:rsidRPr="0075511C">
              <w:t>social</w:t>
            </w:r>
            <w:r>
              <w:t xml:space="preserve"> procurement</w:t>
            </w:r>
            <w:r w:rsidRPr="0075511C">
              <w:t xml:space="preserve"> objective</w:t>
            </w:r>
            <w:r>
              <w:t>s in which social outputs</w:t>
            </w:r>
            <w:r w:rsidRPr="00504981">
              <w:t xml:space="preserve"> can be </w:t>
            </w:r>
            <w:r>
              <w:t xml:space="preserve">sought within </w:t>
            </w:r>
            <w:r w:rsidRPr="00504981">
              <w:t>procurement</w:t>
            </w:r>
            <w:r w:rsidRPr="0075511C">
              <w:t xml:space="preserve"> options </w:t>
            </w:r>
            <w:r>
              <w:t>for the</w:t>
            </w:r>
            <w:r w:rsidRPr="0075511C">
              <w:t>s</w:t>
            </w:r>
            <w:r>
              <w:t>e</w:t>
            </w:r>
            <w:r w:rsidRPr="0075511C">
              <w:t xml:space="preserve"> </w:t>
            </w:r>
            <w:r>
              <w:t xml:space="preserve">value bands. It has </w:t>
            </w:r>
            <w:r w:rsidRPr="0075511C">
              <w:t xml:space="preserve">a </w:t>
            </w:r>
            <w:r>
              <w:t>25</w:t>
            </w:r>
            <w:r w:rsidRPr="0075511C">
              <w:t xml:space="preserve">% weighting. The </w:t>
            </w:r>
            <w:r>
              <w:t xml:space="preserve">government </w:t>
            </w:r>
            <w:r w:rsidRPr="0075511C">
              <w:t xml:space="preserve">buyer can use this option as one of two </w:t>
            </w:r>
            <w:r>
              <w:t>outputs to</w:t>
            </w:r>
            <w:r w:rsidRPr="0075511C">
              <w:t xml:space="preserve"> be evaluated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7BD6355D" w14:textId="77777777" w:rsidR="00E62D19" w:rsidRPr="0075511C" w:rsidRDefault="00E62D19" w:rsidP="000532C9">
            <w:r w:rsidRPr="0075511C">
              <w:t>0</w:t>
            </w:r>
            <w:r>
              <w:t>–</w:t>
            </w:r>
            <w:r w:rsidRPr="0075511C">
              <w:t>10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14:paraId="63CA290B" w14:textId="77777777" w:rsidR="00E62D19" w:rsidRPr="0075511C" w:rsidRDefault="00E62D19" w:rsidP="000532C9">
            <w:r w:rsidRPr="0075511C">
              <w:t xml:space="preserve">Scoring will initially be dependent </w:t>
            </w:r>
            <w:r>
              <w:t>on</w:t>
            </w:r>
            <w:r w:rsidRPr="0075511C">
              <w:t xml:space="preserve"> whether </w:t>
            </w:r>
            <w:r>
              <w:t>the government</w:t>
            </w:r>
            <w:r w:rsidRPr="0075511C">
              <w:t xml:space="preserve"> buyer’s approach has been prescriptive or non</w:t>
            </w:r>
            <w:r>
              <w:noBreakHyphen/>
            </w:r>
            <w:r w:rsidRPr="0075511C">
              <w:t>prescriptive</w:t>
            </w:r>
            <w:r>
              <w:t>.</w:t>
            </w:r>
          </w:p>
          <w:p w14:paraId="5D95795D" w14:textId="77777777" w:rsidR="00E62D19" w:rsidRPr="0075511C" w:rsidRDefault="00E62D19" w:rsidP="000532C9">
            <w:r w:rsidRPr="0075511C">
              <w:t>If prescriptive then scoring will be based on the supplier’s compliance with the prescribed target/s, and evidence provided that the output target/s can be achieved</w:t>
            </w:r>
            <w:r>
              <w:t>.</w:t>
            </w:r>
          </w:p>
          <w:p w14:paraId="4A5DD3FA" w14:textId="77777777" w:rsidR="00E62D19" w:rsidRPr="0075511C" w:rsidRDefault="00E62D19" w:rsidP="000532C9">
            <w:r w:rsidRPr="0075511C">
              <w:t xml:space="preserve">If non-prescriptive then differences in targets </w:t>
            </w:r>
            <w:r>
              <w:t xml:space="preserve">proposed by suppliers, </w:t>
            </w:r>
            <w:r w:rsidRPr="0075511C">
              <w:t xml:space="preserve">and associated evidence that the </w:t>
            </w:r>
            <w:r>
              <w:t xml:space="preserve">output </w:t>
            </w:r>
            <w:r w:rsidRPr="0075511C">
              <w:t>target/s can be ach</w:t>
            </w:r>
            <w:r>
              <w:t>ieved, will be compared to determine scoring.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C9A0CF1" w14:textId="77777777" w:rsidR="00E62D19" w:rsidRPr="0075511C" w:rsidRDefault="00E62D19" w:rsidP="000532C9">
            <w:r>
              <w:t>25</w:t>
            </w:r>
            <w:r w:rsidRPr="0075511C">
              <w:t>%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CEF3B57" w14:textId="77777777" w:rsidR="00E62D19" w:rsidRPr="0075511C" w:rsidRDefault="00E62D19" w:rsidP="000532C9">
            <w:r>
              <w:t>0-2.5</w:t>
            </w:r>
          </w:p>
        </w:tc>
      </w:tr>
      <w:tr w:rsidR="00E62D19" w:rsidRPr="0075511C" w14:paraId="0DC0D5F7" w14:textId="77777777" w:rsidTr="00060E50"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139F137D" w14:textId="77777777" w:rsidR="00E62D19" w:rsidRPr="007C0A6C" w:rsidRDefault="00E62D19" w:rsidP="000532C9">
            <w:pPr>
              <w:rPr>
                <w:b/>
              </w:rPr>
            </w:pPr>
            <w:r w:rsidRPr="007C0A6C">
              <w:rPr>
                <w:b/>
              </w:rPr>
              <w:t>Sustainable Victorian regions</w:t>
            </w:r>
          </w:p>
          <w:p w14:paraId="58BB6B77" w14:textId="77777777" w:rsidR="00E62D19" w:rsidRPr="0075511C" w:rsidRDefault="00E62D19" w:rsidP="000532C9">
            <w:r w:rsidRPr="00470BC2">
              <w:t>Targets for employment and training for people in regions with entrenched disadvantage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291691E4" w14:textId="77777777" w:rsidR="00E62D19" w:rsidRPr="0075511C" w:rsidRDefault="00E62D19" w:rsidP="000532C9">
            <w:r w:rsidRPr="00D655C4">
              <w:t xml:space="preserve">This objective is one of the social procurement objectives in which social outputs can be sought within procurement options </w:t>
            </w:r>
            <w:r>
              <w:t>for the</w:t>
            </w:r>
            <w:r w:rsidRPr="0075511C">
              <w:t>s</w:t>
            </w:r>
            <w:r>
              <w:t>e</w:t>
            </w:r>
            <w:r w:rsidRPr="0075511C">
              <w:t xml:space="preserve"> </w:t>
            </w:r>
            <w:r>
              <w:t>value bands</w:t>
            </w:r>
            <w:r w:rsidRPr="00D655C4">
              <w:t xml:space="preserve">. </w:t>
            </w:r>
            <w:r>
              <w:t xml:space="preserve">It has </w:t>
            </w:r>
            <w:r w:rsidRPr="0075511C">
              <w:t xml:space="preserve">a </w:t>
            </w:r>
            <w:r>
              <w:t>25</w:t>
            </w:r>
            <w:r w:rsidRPr="0075511C">
              <w:t xml:space="preserve">% weighting. The </w:t>
            </w:r>
            <w:r>
              <w:t xml:space="preserve">government </w:t>
            </w:r>
            <w:r w:rsidRPr="0075511C">
              <w:t xml:space="preserve">buyer can use this option as one of two </w:t>
            </w:r>
            <w:r>
              <w:t>outputs to</w:t>
            </w:r>
            <w:r w:rsidRPr="0075511C">
              <w:t xml:space="preserve"> be evaluated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61E7B39D" w14:textId="77777777" w:rsidR="00E62D19" w:rsidRPr="0075511C" w:rsidRDefault="00E62D19" w:rsidP="000532C9">
            <w:r>
              <w:t>0–</w:t>
            </w:r>
            <w:r w:rsidRPr="0075511C">
              <w:t>10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14:paraId="10E27B6F" w14:textId="77777777" w:rsidR="00E62D19" w:rsidRPr="0075511C" w:rsidRDefault="00E62D19" w:rsidP="000532C9">
            <w:r w:rsidRPr="0075511C">
              <w:t xml:space="preserve">Scoring will initially be dependent </w:t>
            </w:r>
            <w:r>
              <w:t>on</w:t>
            </w:r>
            <w:r w:rsidRPr="0075511C">
              <w:t xml:space="preserve"> whether </w:t>
            </w:r>
            <w:r>
              <w:t>the government</w:t>
            </w:r>
            <w:r w:rsidRPr="0075511C">
              <w:t xml:space="preserve"> buyer’s approach has been prescriptive or non</w:t>
            </w:r>
            <w:r>
              <w:noBreakHyphen/>
            </w:r>
            <w:r w:rsidRPr="0075511C">
              <w:t>prescriptive</w:t>
            </w:r>
            <w:r>
              <w:t>.</w:t>
            </w:r>
          </w:p>
          <w:p w14:paraId="5BA60C4B" w14:textId="77777777" w:rsidR="00E62D19" w:rsidRPr="0075511C" w:rsidRDefault="00E62D19" w:rsidP="000532C9">
            <w:r w:rsidRPr="0075511C">
              <w:t>If prescriptive then scoring will be based on the supplier’s compliance with the prescribed target/s, and evidence provided that the output target/s can be achieved</w:t>
            </w:r>
            <w:r>
              <w:t>.</w:t>
            </w:r>
          </w:p>
          <w:p w14:paraId="0C327137" w14:textId="77777777" w:rsidR="00E62D19" w:rsidRPr="0075511C" w:rsidRDefault="00E62D19" w:rsidP="000532C9">
            <w:r w:rsidRPr="0075511C">
              <w:t xml:space="preserve">If non-prescriptive then differences in targets </w:t>
            </w:r>
            <w:r>
              <w:t xml:space="preserve">proposed by suppliers, </w:t>
            </w:r>
            <w:r w:rsidRPr="0075511C">
              <w:t xml:space="preserve">and associated evidence that the </w:t>
            </w:r>
            <w:r>
              <w:t xml:space="preserve">output </w:t>
            </w:r>
            <w:r w:rsidRPr="0075511C">
              <w:t xml:space="preserve">target/s can be achieved, </w:t>
            </w:r>
            <w:r>
              <w:t>will be compared to determine</w:t>
            </w:r>
            <w:r w:rsidRPr="0075511C">
              <w:t xml:space="preserve"> scoring</w:t>
            </w:r>
            <w:r>
              <w:t>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62E07E7" w14:textId="77777777" w:rsidR="00E62D19" w:rsidRPr="0075511C" w:rsidRDefault="00E62D19" w:rsidP="000532C9">
            <w:r>
              <w:t>25</w:t>
            </w:r>
            <w:r w:rsidRPr="0075511C">
              <w:t>%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EF1CFE2" w14:textId="77777777" w:rsidR="00E62D19" w:rsidRPr="0075511C" w:rsidRDefault="00E62D19" w:rsidP="000532C9">
            <w:r>
              <w:t>0-2.5</w:t>
            </w:r>
          </w:p>
        </w:tc>
      </w:tr>
      <w:tr w:rsidR="00E62D19" w:rsidRPr="0075511C" w14:paraId="0901612C" w14:textId="77777777" w:rsidTr="00060E50"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39DD156F" w14:textId="77777777" w:rsidR="00E62D19" w:rsidRPr="007A370D" w:rsidRDefault="00E62D19" w:rsidP="000532C9">
            <w:pPr>
              <w:rPr>
                <w:b/>
              </w:rPr>
            </w:pPr>
            <w:bookmarkStart w:id="0" w:name="_Hlk521678155"/>
            <w:r w:rsidRPr="007A370D">
              <w:rPr>
                <w:b/>
              </w:rPr>
              <w:t>Opportunities for Victorians with disability</w:t>
            </w:r>
          </w:p>
          <w:p w14:paraId="718C1FB5" w14:textId="77777777" w:rsidR="00E62D19" w:rsidRPr="007C0A6C" w:rsidRDefault="00E62D19" w:rsidP="000532C9">
            <w:pPr>
              <w:rPr>
                <w:b/>
              </w:rPr>
            </w:pPr>
            <w:r w:rsidRPr="00470BC2">
              <w:t>Performance standards or targets for labour hours performed by Victorians with disability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27A96189" w14:textId="77777777" w:rsidR="00E62D19" w:rsidRPr="0075511C" w:rsidRDefault="00E62D19" w:rsidP="000532C9">
            <w:r w:rsidRPr="0075511C">
              <w:t xml:space="preserve">This objective is one of </w:t>
            </w:r>
            <w:r>
              <w:t xml:space="preserve">the </w:t>
            </w:r>
            <w:r w:rsidRPr="0075511C">
              <w:t>social</w:t>
            </w:r>
            <w:r>
              <w:t xml:space="preserve"> procurement</w:t>
            </w:r>
            <w:r w:rsidRPr="0075511C">
              <w:t xml:space="preserve"> objective</w:t>
            </w:r>
            <w:r>
              <w:t>s in which social outputs</w:t>
            </w:r>
            <w:r w:rsidRPr="00504981">
              <w:t xml:space="preserve"> can be </w:t>
            </w:r>
            <w:r>
              <w:t xml:space="preserve">sought within </w:t>
            </w:r>
            <w:r w:rsidRPr="00504981">
              <w:t>procurement</w:t>
            </w:r>
            <w:r w:rsidRPr="0075511C">
              <w:t xml:space="preserve"> options </w:t>
            </w:r>
            <w:r>
              <w:t>for the</w:t>
            </w:r>
            <w:r w:rsidRPr="0075511C">
              <w:t>s</w:t>
            </w:r>
            <w:r>
              <w:t>e</w:t>
            </w:r>
            <w:r w:rsidRPr="0075511C">
              <w:t xml:space="preserve"> </w:t>
            </w:r>
            <w:r>
              <w:t xml:space="preserve">value bands. It has </w:t>
            </w:r>
            <w:r w:rsidRPr="0075511C">
              <w:t xml:space="preserve">a </w:t>
            </w:r>
            <w:r>
              <w:t>25</w:t>
            </w:r>
            <w:r w:rsidRPr="0075511C">
              <w:t xml:space="preserve">% weighting. The </w:t>
            </w:r>
            <w:r>
              <w:t xml:space="preserve">government </w:t>
            </w:r>
            <w:r w:rsidRPr="0075511C">
              <w:t xml:space="preserve">buyer can use this option as one of two </w:t>
            </w:r>
            <w:r>
              <w:t>outputs to</w:t>
            </w:r>
            <w:r w:rsidRPr="0075511C">
              <w:t xml:space="preserve"> be evaluated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280F8522" w14:textId="77777777" w:rsidR="00E62D19" w:rsidRDefault="00E62D19" w:rsidP="000532C9">
            <w:r>
              <w:t>0-10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14:paraId="76734450" w14:textId="77777777" w:rsidR="00E62D19" w:rsidRPr="0075511C" w:rsidRDefault="00E62D19" w:rsidP="000532C9">
            <w:r w:rsidRPr="0075511C">
              <w:t xml:space="preserve">Scoring will initially be dependent </w:t>
            </w:r>
            <w:r>
              <w:t>on</w:t>
            </w:r>
            <w:r w:rsidRPr="0075511C">
              <w:t xml:space="preserve"> whether </w:t>
            </w:r>
            <w:r>
              <w:t>the government</w:t>
            </w:r>
            <w:r w:rsidRPr="0075511C">
              <w:t xml:space="preserve"> buyer’s approach has been prescriptive or non</w:t>
            </w:r>
            <w:r>
              <w:noBreakHyphen/>
            </w:r>
            <w:r w:rsidRPr="0075511C">
              <w:t>prescriptive</w:t>
            </w:r>
          </w:p>
          <w:p w14:paraId="3F109E88" w14:textId="77777777" w:rsidR="00E62D19" w:rsidRPr="0075511C" w:rsidRDefault="00E62D19" w:rsidP="000532C9">
            <w:r w:rsidRPr="0075511C">
              <w:t>If prescriptive then scoring will be based on the supplier’s compliance with the prescribed target/s, and evidence provided that the output target/s can be achieved</w:t>
            </w:r>
          </w:p>
          <w:p w14:paraId="7B9EAFC7" w14:textId="77777777" w:rsidR="00E62D19" w:rsidRPr="0075511C" w:rsidRDefault="00E62D19" w:rsidP="000532C9">
            <w:r w:rsidRPr="0075511C">
              <w:t xml:space="preserve">If non-prescriptive then differences in targets </w:t>
            </w:r>
            <w:r>
              <w:t xml:space="preserve">proposed by suppliers, </w:t>
            </w:r>
            <w:r w:rsidRPr="0075511C">
              <w:t xml:space="preserve">and associated evidence that the </w:t>
            </w:r>
            <w:r>
              <w:t xml:space="preserve">output </w:t>
            </w:r>
            <w:r w:rsidRPr="0075511C">
              <w:t xml:space="preserve">target/s can be achieved, </w:t>
            </w:r>
            <w:r>
              <w:t>will be compared to determine</w:t>
            </w:r>
            <w:r w:rsidRPr="0075511C">
              <w:t xml:space="preserve"> scoring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1CA6679" w14:textId="77777777" w:rsidR="00E62D19" w:rsidRPr="0075511C" w:rsidRDefault="00E62D19" w:rsidP="000532C9">
            <w:r>
              <w:t>25%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CC9E921" w14:textId="77777777" w:rsidR="00E62D19" w:rsidRPr="0075511C" w:rsidRDefault="00E62D19" w:rsidP="000532C9">
            <w:r>
              <w:t>0-2.5</w:t>
            </w:r>
          </w:p>
        </w:tc>
      </w:tr>
      <w:tr w:rsidR="00E62D19" w:rsidRPr="0075511C" w14:paraId="75482381" w14:textId="77777777" w:rsidTr="00060E50"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14F981B8" w14:textId="77777777" w:rsidR="00E62D19" w:rsidRDefault="00E62D19" w:rsidP="000532C9">
            <w:pPr>
              <w:rPr>
                <w:b/>
              </w:rPr>
            </w:pPr>
            <w:r>
              <w:rPr>
                <w:b/>
              </w:rPr>
              <w:t>Opportunities for Victorian Aboriginal people</w:t>
            </w:r>
          </w:p>
          <w:p w14:paraId="42F2342E" w14:textId="77777777" w:rsidR="00E62D19" w:rsidRPr="007C0A6C" w:rsidRDefault="00E62D19" w:rsidP="000532C9">
            <w:pPr>
              <w:rPr>
                <w:b/>
              </w:rPr>
            </w:pPr>
            <w:r w:rsidRPr="00470BC2">
              <w:t>Targets for purchasing from Aboriginal businesses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60C8955C" w14:textId="77777777" w:rsidR="00E62D19" w:rsidRPr="0075511C" w:rsidRDefault="00E62D19" w:rsidP="000532C9">
            <w:r w:rsidRPr="0075511C">
              <w:t xml:space="preserve">This objective is one of </w:t>
            </w:r>
            <w:r>
              <w:t xml:space="preserve">the </w:t>
            </w:r>
            <w:r w:rsidRPr="0075511C">
              <w:t>social</w:t>
            </w:r>
            <w:r>
              <w:t xml:space="preserve"> procurement</w:t>
            </w:r>
            <w:r w:rsidRPr="0075511C">
              <w:t xml:space="preserve"> objective</w:t>
            </w:r>
            <w:r>
              <w:t>s in which social outputs</w:t>
            </w:r>
            <w:r w:rsidRPr="00504981">
              <w:t xml:space="preserve"> can be </w:t>
            </w:r>
            <w:r>
              <w:t xml:space="preserve">sought within </w:t>
            </w:r>
            <w:r w:rsidRPr="00504981">
              <w:t>procurement</w:t>
            </w:r>
            <w:r w:rsidRPr="0075511C">
              <w:t xml:space="preserve"> options </w:t>
            </w:r>
            <w:r>
              <w:t>for the</w:t>
            </w:r>
            <w:r w:rsidRPr="0075511C">
              <w:t>s</w:t>
            </w:r>
            <w:r>
              <w:t>e</w:t>
            </w:r>
            <w:r w:rsidRPr="0075511C">
              <w:t xml:space="preserve"> </w:t>
            </w:r>
            <w:r>
              <w:t xml:space="preserve">value bands. It has </w:t>
            </w:r>
            <w:r w:rsidRPr="0075511C">
              <w:t xml:space="preserve">a </w:t>
            </w:r>
            <w:r>
              <w:t>25</w:t>
            </w:r>
            <w:r w:rsidRPr="0075511C">
              <w:t xml:space="preserve">% weighting. The </w:t>
            </w:r>
            <w:r>
              <w:t xml:space="preserve">government </w:t>
            </w:r>
            <w:r w:rsidRPr="0075511C">
              <w:t xml:space="preserve">buyer can use this option as one of two </w:t>
            </w:r>
            <w:r>
              <w:t>outputs to</w:t>
            </w:r>
            <w:r w:rsidRPr="0075511C">
              <w:t xml:space="preserve"> be evaluated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0A16E3A9" w14:textId="77777777" w:rsidR="00E62D19" w:rsidRDefault="00E62D19" w:rsidP="000532C9"/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14:paraId="2B2879D3" w14:textId="77777777" w:rsidR="00E62D19" w:rsidRPr="0075511C" w:rsidRDefault="00E62D19" w:rsidP="000532C9">
            <w:r w:rsidRPr="0075511C">
              <w:t xml:space="preserve">Scoring will initially be dependent </w:t>
            </w:r>
            <w:r>
              <w:t>on</w:t>
            </w:r>
            <w:r w:rsidRPr="0075511C">
              <w:t xml:space="preserve"> </w:t>
            </w:r>
            <w:r>
              <w:t>whether the government</w:t>
            </w:r>
            <w:r w:rsidRPr="0075511C">
              <w:t xml:space="preserve"> buyer’s approach has been prescriptive or non</w:t>
            </w:r>
            <w:r>
              <w:noBreakHyphen/>
            </w:r>
            <w:r w:rsidRPr="0075511C">
              <w:t>prescriptive</w:t>
            </w:r>
          </w:p>
          <w:p w14:paraId="4AD66CAB" w14:textId="77777777" w:rsidR="00E62D19" w:rsidRPr="0075511C" w:rsidRDefault="00E62D19" w:rsidP="000532C9">
            <w:r w:rsidRPr="0075511C">
              <w:t>If prescriptive then scoring will be based on the supplier’s compliance with the prescribed target/s, and evidence provided that the output target/s can be achieved</w:t>
            </w:r>
          </w:p>
          <w:p w14:paraId="1F13ADDF" w14:textId="77777777" w:rsidR="00E62D19" w:rsidRPr="0075511C" w:rsidRDefault="00E62D19" w:rsidP="000532C9">
            <w:r w:rsidRPr="0075511C">
              <w:t xml:space="preserve">If non-prescriptive then differences in targets </w:t>
            </w:r>
            <w:r>
              <w:t xml:space="preserve">proposed by suppliers, </w:t>
            </w:r>
            <w:r w:rsidRPr="0075511C">
              <w:t xml:space="preserve">and associated evidence that the </w:t>
            </w:r>
            <w:r>
              <w:t xml:space="preserve">output </w:t>
            </w:r>
            <w:r w:rsidRPr="0075511C">
              <w:t xml:space="preserve">target/s can be achieved, </w:t>
            </w:r>
            <w:r>
              <w:t>will be compared to determine</w:t>
            </w:r>
            <w:r w:rsidRPr="0075511C">
              <w:t xml:space="preserve"> scoring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101FE01" w14:textId="77777777" w:rsidR="00E62D19" w:rsidRPr="0075511C" w:rsidRDefault="00E62D19" w:rsidP="000532C9">
            <w:r>
              <w:t>25%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47A5CD4" w14:textId="77777777" w:rsidR="00E62D19" w:rsidRPr="0075511C" w:rsidRDefault="00E62D19" w:rsidP="000532C9">
            <w:r>
              <w:t>0-2.5</w:t>
            </w:r>
          </w:p>
        </w:tc>
      </w:tr>
      <w:bookmarkEnd w:id="0"/>
      <w:tr w:rsidR="00060E50" w:rsidRPr="00060E50" w14:paraId="344BD7ED" w14:textId="77777777" w:rsidTr="00060E50">
        <w:tc>
          <w:tcPr>
            <w:tcW w:w="14516" w:type="dxa"/>
            <w:gridSpan w:val="6"/>
            <w:tcBorders>
              <w:top w:val="single" w:sz="6" w:space="0" w:color="auto"/>
              <w:bottom w:val="nil"/>
            </w:tcBorders>
          </w:tcPr>
          <w:p w14:paraId="6B86FAAE" w14:textId="77777777" w:rsidR="00E62D19" w:rsidRPr="00060E50" w:rsidRDefault="00E62D19" w:rsidP="000532C9">
            <w:pPr>
              <w:pStyle w:val="Heading3"/>
              <w:rPr>
                <w:color w:val="auto"/>
              </w:rPr>
            </w:pPr>
            <w:r w:rsidRPr="00060E50">
              <w:rPr>
                <w:color w:val="auto"/>
              </w:rPr>
              <w:t>SUSTAINABLE OUTPUTS</w:t>
            </w:r>
          </w:p>
        </w:tc>
      </w:tr>
      <w:tr w:rsidR="00E62D19" w:rsidRPr="0075511C" w14:paraId="71D798D4" w14:textId="77777777" w:rsidTr="00060E50">
        <w:tc>
          <w:tcPr>
            <w:tcW w:w="1758" w:type="dxa"/>
            <w:tcBorders>
              <w:top w:val="nil"/>
              <w:bottom w:val="single" w:sz="6" w:space="0" w:color="auto"/>
            </w:tcBorders>
          </w:tcPr>
          <w:p w14:paraId="5CA77C88" w14:textId="77777777" w:rsidR="00E62D19" w:rsidRPr="0042570E" w:rsidRDefault="00E62D19" w:rsidP="000532C9">
            <w:pPr>
              <w:rPr>
                <w:b/>
              </w:rPr>
            </w:pPr>
            <w:r w:rsidRPr="0042570E">
              <w:rPr>
                <w:b/>
              </w:rPr>
              <w:t>Environmentally sustainable outputs</w:t>
            </w:r>
          </w:p>
          <w:p w14:paraId="20615AA7" w14:textId="77777777" w:rsidR="00E62D19" w:rsidRPr="0075511C" w:rsidRDefault="00E62D19" w:rsidP="000532C9">
            <w:r w:rsidRPr="00470BC2">
              <w:t>Requirements on recycled content, waste management and/or energy consumption, as relevant</w:t>
            </w:r>
          </w:p>
        </w:tc>
        <w:tc>
          <w:tcPr>
            <w:tcW w:w="2127" w:type="dxa"/>
            <w:tcBorders>
              <w:top w:val="nil"/>
              <w:bottom w:val="single" w:sz="6" w:space="0" w:color="auto"/>
            </w:tcBorders>
          </w:tcPr>
          <w:p w14:paraId="51DF8C10" w14:textId="77777777" w:rsidR="00E62D19" w:rsidRPr="0075511C" w:rsidRDefault="00E62D19" w:rsidP="000532C9">
            <w:r w:rsidRPr="0075511C">
              <w:t xml:space="preserve">This objective is one of </w:t>
            </w:r>
            <w:r>
              <w:t xml:space="preserve">the </w:t>
            </w:r>
            <w:r w:rsidRPr="0075511C">
              <w:t>s</w:t>
            </w:r>
            <w:r>
              <w:t xml:space="preserve">ustainable procurement </w:t>
            </w:r>
            <w:r w:rsidRPr="0075511C">
              <w:t>objective</w:t>
            </w:r>
            <w:r>
              <w:t>s in which sustainable outputs</w:t>
            </w:r>
            <w:r w:rsidRPr="00504981">
              <w:t xml:space="preserve"> can be </w:t>
            </w:r>
            <w:r>
              <w:t xml:space="preserve">sought within </w:t>
            </w:r>
            <w:r w:rsidRPr="00504981">
              <w:t>procurement</w:t>
            </w:r>
            <w:r w:rsidRPr="0075511C">
              <w:t xml:space="preserve"> options </w:t>
            </w:r>
            <w:r>
              <w:t>for the</w:t>
            </w:r>
            <w:r w:rsidRPr="0075511C">
              <w:t>s</w:t>
            </w:r>
            <w:r>
              <w:t>e</w:t>
            </w:r>
            <w:r w:rsidRPr="0075511C">
              <w:t xml:space="preserve"> </w:t>
            </w:r>
            <w:r>
              <w:t xml:space="preserve">value bands. It has </w:t>
            </w:r>
            <w:r w:rsidRPr="0075511C">
              <w:t xml:space="preserve">a </w:t>
            </w:r>
            <w:r>
              <w:t>25</w:t>
            </w:r>
            <w:r w:rsidRPr="0075511C">
              <w:t xml:space="preserve">% weighting. The </w:t>
            </w:r>
            <w:r>
              <w:t xml:space="preserve">government </w:t>
            </w:r>
            <w:r w:rsidRPr="0075511C">
              <w:t xml:space="preserve">buyer can use this option as one of two </w:t>
            </w:r>
            <w:r>
              <w:t>outputs to</w:t>
            </w:r>
            <w:r w:rsidRPr="0075511C">
              <w:t xml:space="preserve"> be evaluated</w:t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080D2206" w14:textId="77777777" w:rsidR="00E62D19" w:rsidRPr="0075511C" w:rsidRDefault="00E62D19" w:rsidP="000532C9">
            <w:r>
              <w:t>0–</w:t>
            </w:r>
            <w:r w:rsidRPr="0075511C">
              <w:t>10</w:t>
            </w:r>
          </w:p>
        </w:tc>
        <w:tc>
          <w:tcPr>
            <w:tcW w:w="6521" w:type="dxa"/>
            <w:tcBorders>
              <w:top w:val="nil"/>
              <w:bottom w:val="single" w:sz="6" w:space="0" w:color="auto"/>
            </w:tcBorders>
          </w:tcPr>
          <w:p w14:paraId="7ADEFC58" w14:textId="77777777" w:rsidR="00E62D19" w:rsidRPr="0075511C" w:rsidRDefault="00E62D19" w:rsidP="000532C9">
            <w:r w:rsidRPr="0075511C">
              <w:t xml:space="preserve">Scoring will initially be dependent </w:t>
            </w:r>
            <w:r>
              <w:t>on</w:t>
            </w:r>
            <w:r w:rsidRPr="0075511C">
              <w:t xml:space="preserve"> </w:t>
            </w:r>
            <w:r>
              <w:t>whether the government</w:t>
            </w:r>
            <w:r w:rsidRPr="0075511C">
              <w:t xml:space="preserve"> buyer’s approach has been prescriptive or non</w:t>
            </w:r>
            <w:r>
              <w:noBreakHyphen/>
            </w:r>
            <w:r w:rsidRPr="0075511C">
              <w:t>prescriptive</w:t>
            </w:r>
          </w:p>
          <w:p w14:paraId="5783B6B3" w14:textId="77777777" w:rsidR="00E62D19" w:rsidRPr="0075511C" w:rsidRDefault="00E62D19" w:rsidP="000532C9">
            <w:r w:rsidRPr="0075511C">
              <w:t>If prescriptive then scoring will be based on the supplier’s compliance with the prescribed target/s, and evidence provided that the output target/s can be achieved</w:t>
            </w:r>
          </w:p>
          <w:p w14:paraId="7304DF3E" w14:textId="77777777" w:rsidR="00E62D19" w:rsidRPr="0075511C" w:rsidRDefault="00E62D19" w:rsidP="000532C9">
            <w:r w:rsidRPr="0075511C">
              <w:t xml:space="preserve">If non-prescriptive then differences in targets </w:t>
            </w:r>
            <w:r>
              <w:t xml:space="preserve">proposed by suppliers, </w:t>
            </w:r>
            <w:r w:rsidRPr="0075511C">
              <w:t xml:space="preserve">and associated evidence that the </w:t>
            </w:r>
            <w:r>
              <w:t xml:space="preserve">output </w:t>
            </w:r>
            <w:r w:rsidRPr="0075511C">
              <w:t xml:space="preserve">target/s can be achieved, </w:t>
            </w:r>
            <w:r>
              <w:t>will be compared to determine</w:t>
            </w:r>
            <w:r w:rsidRPr="0075511C">
              <w:t xml:space="preserve"> scoring</w:t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1CF55525" w14:textId="77777777" w:rsidR="00E62D19" w:rsidRPr="0075511C" w:rsidRDefault="00E62D19" w:rsidP="000532C9">
            <w:r>
              <w:t>25</w:t>
            </w:r>
            <w:r w:rsidRPr="0075511C">
              <w:t>%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0AD03D98" w14:textId="77777777" w:rsidR="00E62D19" w:rsidRPr="0075511C" w:rsidRDefault="00E62D19" w:rsidP="000532C9">
            <w:r>
              <w:t>0-2.5</w:t>
            </w:r>
          </w:p>
        </w:tc>
      </w:tr>
      <w:tr w:rsidR="00E62D19" w:rsidRPr="0075511C" w14:paraId="21A11257" w14:textId="77777777" w:rsidTr="00060E50"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770EE816" w14:textId="77777777" w:rsidR="00E62D19" w:rsidRPr="0042570E" w:rsidRDefault="00E62D19" w:rsidP="000532C9">
            <w:pPr>
              <w:rPr>
                <w:b/>
              </w:rPr>
            </w:pPr>
            <w:r w:rsidRPr="0042570E">
              <w:rPr>
                <w:b/>
              </w:rPr>
              <w:t>Implementation of the Climate Change Policy Objectives</w:t>
            </w:r>
          </w:p>
          <w:p w14:paraId="6CC5F09E" w14:textId="1FE37228" w:rsidR="00E62D19" w:rsidRPr="0075511C" w:rsidRDefault="00E62D19" w:rsidP="000532C9">
            <w:r w:rsidRPr="00470BC2">
              <w:t xml:space="preserve">Requirements </w:t>
            </w:r>
            <w:r>
              <w:t>on</w:t>
            </w:r>
            <w:r w:rsidRPr="00470BC2">
              <w:t xml:space="preserve"> greenhouse gas emissions and climate change resilience, where a design component is involved in procurement activity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00ACDE47" w14:textId="77777777" w:rsidR="00E62D19" w:rsidRPr="0075511C" w:rsidRDefault="00E62D19" w:rsidP="000532C9">
            <w:r w:rsidRPr="0075511C">
              <w:t xml:space="preserve">This objective is one of </w:t>
            </w:r>
            <w:r>
              <w:t xml:space="preserve">the </w:t>
            </w:r>
            <w:r w:rsidRPr="0075511C">
              <w:t>s</w:t>
            </w:r>
            <w:r>
              <w:t xml:space="preserve">ustainable procurement </w:t>
            </w:r>
            <w:r w:rsidRPr="0075511C">
              <w:t>objective</w:t>
            </w:r>
            <w:r>
              <w:t>s in which sustainable outputs</w:t>
            </w:r>
            <w:r w:rsidRPr="00504981">
              <w:t xml:space="preserve"> can be </w:t>
            </w:r>
            <w:r>
              <w:t xml:space="preserve">sought within </w:t>
            </w:r>
            <w:r w:rsidRPr="00504981">
              <w:t>procurement</w:t>
            </w:r>
            <w:r w:rsidRPr="0075511C">
              <w:t xml:space="preserve"> options </w:t>
            </w:r>
            <w:r>
              <w:t>for the</w:t>
            </w:r>
            <w:r w:rsidRPr="0075511C">
              <w:t>s</w:t>
            </w:r>
            <w:r>
              <w:t>e</w:t>
            </w:r>
            <w:r w:rsidRPr="0075511C">
              <w:t xml:space="preserve"> </w:t>
            </w:r>
            <w:r>
              <w:t xml:space="preserve">value bands. It has </w:t>
            </w:r>
            <w:r w:rsidRPr="0075511C">
              <w:t xml:space="preserve">a </w:t>
            </w:r>
            <w:r>
              <w:t>25</w:t>
            </w:r>
            <w:r w:rsidRPr="0075511C">
              <w:t xml:space="preserve">% weighting. The </w:t>
            </w:r>
            <w:r>
              <w:t xml:space="preserve">government </w:t>
            </w:r>
            <w:r w:rsidRPr="0075511C">
              <w:t xml:space="preserve">buyer can use this option as one of two </w:t>
            </w:r>
            <w:r>
              <w:t>outputs to</w:t>
            </w:r>
            <w:r w:rsidRPr="0075511C">
              <w:t xml:space="preserve"> be evaluated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02D80D75" w14:textId="77777777" w:rsidR="00E62D19" w:rsidRPr="0075511C" w:rsidRDefault="00E62D19" w:rsidP="000532C9">
            <w:r w:rsidRPr="0075511C">
              <w:t>0-10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14:paraId="3588F5CE" w14:textId="77777777" w:rsidR="00E62D19" w:rsidRPr="0075511C" w:rsidRDefault="00E62D19" w:rsidP="000532C9">
            <w:r w:rsidRPr="0075511C">
              <w:t xml:space="preserve">Scoring will initially be dependent </w:t>
            </w:r>
            <w:r>
              <w:t>on</w:t>
            </w:r>
            <w:r w:rsidRPr="0075511C">
              <w:t xml:space="preserve"> whether </w:t>
            </w:r>
            <w:r>
              <w:t>the government</w:t>
            </w:r>
            <w:r w:rsidRPr="0075511C">
              <w:t xml:space="preserve"> buyer’s approach has been prescriptive or non-prescriptive</w:t>
            </w:r>
          </w:p>
          <w:p w14:paraId="624ABCEE" w14:textId="77777777" w:rsidR="00E62D19" w:rsidRPr="0075511C" w:rsidRDefault="00E62D19" w:rsidP="000532C9">
            <w:r w:rsidRPr="0075511C">
              <w:t>If prescriptive then scoring will be based on the supplier’s compliance with the prescribed target/s, and evidence provided that the output target/s can be achieved</w:t>
            </w:r>
          </w:p>
          <w:p w14:paraId="683EE6ED" w14:textId="77777777" w:rsidR="00E62D19" w:rsidRPr="0075511C" w:rsidRDefault="00E62D19" w:rsidP="000532C9">
            <w:r w:rsidRPr="0075511C">
              <w:t xml:space="preserve">If non-prescriptive then differences in targets </w:t>
            </w:r>
            <w:r>
              <w:t xml:space="preserve">proposed by suppliers, </w:t>
            </w:r>
            <w:r w:rsidRPr="0075511C">
              <w:t xml:space="preserve">and associated evidence that the </w:t>
            </w:r>
            <w:r>
              <w:t xml:space="preserve">output </w:t>
            </w:r>
            <w:r w:rsidRPr="0075511C">
              <w:t xml:space="preserve">target/s can be achieved, </w:t>
            </w:r>
            <w:r>
              <w:t>will be compared to determine</w:t>
            </w:r>
            <w:r w:rsidRPr="0075511C">
              <w:t xml:space="preserve"> scoring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02E0496" w14:textId="77777777" w:rsidR="00E62D19" w:rsidRPr="0075511C" w:rsidRDefault="00E62D19" w:rsidP="000532C9">
            <w:r>
              <w:t>25</w:t>
            </w:r>
            <w:r w:rsidRPr="0075511C">
              <w:t>%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072DD50" w14:textId="77777777" w:rsidR="00E62D19" w:rsidRPr="0075511C" w:rsidRDefault="00E62D19" w:rsidP="000532C9">
            <w:r>
              <w:t>0-2.5</w:t>
            </w:r>
          </w:p>
        </w:tc>
      </w:tr>
      <w:tr w:rsidR="00E62D19" w:rsidRPr="0075511C" w14:paraId="7FD1F9D8" w14:textId="77777777" w:rsidTr="00060E50">
        <w:tc>
          <w:tcPr>
            <w:tcW w:w="1451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B496A00" w14:textId="37ADC175" w:rsidR="00E62D19" w:rsidRDefault="00E62D19" w:rsidP="000532C9">
            <w:pPr>
              <w:spacing w:before="240" w:after="60"/>
              <w:rPr>
                <w:b/>
              </w:rPr>
            </w:pPr>
            <w:r w:rsidRPr="00060E50">
              <w:t>Note</w:t>
            </w:r>
            <w:r>
              <w:rPr>
                <w:b/>
              </w:rPr>
              <w:t>:</w:t>
            </w:r>
          </w:p>
          <w:p w14:paraId="0A74460A" w14:textId="65D501AA" w:rsidR="00E62D19" w:rsidRPr="007621AC" w:rsidRDefault="00775086" w:rsidP="000532C9">
            <w:pPr>
              <w:spacing w:before="60" w:after="60"/>
            </w:pPr>
            <w:r>
              <w:t>I</w:t>
            </w:r>
            <w:r w:rsidR="00E62D19" w:rsidRPr="007621AC">
              <w:t>n addition to the weighted score for demonstrating each of two social or sustainable outputs, the supplier may attain additional scores for demonstrating:</w:t>
            </w:r>
          </w:p>
          <w:p w14:paraId="29AF9E6A" w14:textId="77777777" w:rsidR="00E62D19" w:rsidRPr="007621AC" w:rsidRDefault="00E62D19" w:rsidP="00E62D19">
            <w:pPr>
              <w:pStyle w:val="ListParagraph"/>
              <w:numPr>
                <w:ilvl w:val="0"/>
                <w:numId w:val="13"/>
              </w:numPr>
              <w:spacing w:before="60" w:after="60" w:line="264" w:lineRule="auto"/>
              <w:contextualSpacing w:val="0"/>
            </w:pPr>
            <w:r w:rsidRPr="007621AC">
              <w:t>that they are a social benefit supplier;</w:t>
            </w:r>
          </w:p>
          <w:p w14:paraId="515D0580" w14:textId="77777777" w:rsidR="00E62D19" w:rsidRPr="007621AC" w:rsidRDefault="00E62D19" w:rsidP="00E62D19">
            <w:pPr>
              <w:pStyle w:val="ListParagraph"/>
              <w:numPr>
                <w:ilvl w:val="0"/>
                <w:numId w:val="13"/>
              </w:numPr>
              <w:spacing w:before="60" w:after="60" w:line="264" w:lineRule="auto"/>
              <w:contextualSpacing w:val="0"/>
            </w:pPr>
            <w:r w:rsidRPr="007621AC">
              <w:t>that they are a mainstream supplier that will involve a social benefit supplier through the supply chain, as well as demonstrate a social or sustainable business practice;</w:t>
            </w:r>
          </w:p>
          <w:p w14:paraId="78A8D3CB" w14:textId="77777777" w:rsidR="00E62D19" w:rsidRPr="007621AC" w:rsidRDefault="00E62D19" w:rsidP="00E62D19">
            <w:pPr>
              <w:pStyle w:val="ListParagraph"/>
              <w:numPr>
                <w:ilvl w:val="0"/>
                <w:numId w:val="13"/>
              </w:numPr>
              <w:spacing w:before="60" w:after="240" w:line="264" w:lineRule="auto"/>
              <w:ind w:left="499" w:hanging="357"/>
              <w:contextualSpacing w:val="0"/>
            </w:pPr>
            <w:r w:rsidRPr="007621AC">
              <w:t>that they are a mainstream supplier that demonstrates two social or sustainable business practices.</w:t>
            </w:r>
            <w:r>
              <w:rPr>
                <w:b/>
              </w:rPr>
              <w:t xml:space="preserve"> </w:t>
            </w:r>
          </w:p>
        </w:tc>
      </w:tr>
    </w:tbl>
    <w:p w14:paraId="7A35BC61" w14:textId="77777777" w:rsidR="00C84D2E" w:rsidRDefault="00C84D2E" w:rsidP="00060E50">
      <w:pPr>
        <w:spacing w:after="120" w:line="240" w:lineRule="auto"/>
      </w:pPr>
    </w:p>
    <w:sectPr w:rsidR="00C84D2E" w:rsidSect="00060E5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CA21" w14:textId="77777777" w:rsidR="00105EE8" w:rsidRDefault="00105EE8" w:rsidP="00C84D2E">
      <w:pPr>
        <w:spacing w:before="0" w:after="0" w:line="240" w:lineRule="auto"/>
      </w:pPr>
      <w:r>
        <w:separator/>
      </w:r>
    </w:p>
  </w:endnote>
  <w:endnote w:type="continuationSeparator" w:id="0">
    <w:p w14:paraId="6B4D2D06" w14:textId="77777777" w:rsidR="00105EE8" w:rsidRDefault="00105EE8" w:rsidP="00C84D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9A6E" w14:textId="226D3EB4" w:rsidR="00060E50" w:rsidRDefault="00060E50" w:rsidP="00060E50">
    <w:pPr>
      <w:pStyle w:val="Footer"/>
      <w:tabs>
        <w:tab w:val="clear" w:pos="4513"/>
        <w:tab w:val="clear" w:pos="9026"/>
        <w:tab w:val="center" w:pos="10915"/>
        <w:tab w:val="right" w:pos="13892"/>
      </w:tabs>
    </w:pPr>
    <w:r>
      <w:t>Model social procurement evaluation matrix</w:t>
    </w:r>
    <w:r>
      <w:br/>
      <w:t>procurement valued at or above $20 million (exclusive of GST)</w:t>
    </w:r>
    <w:r>
      <w:tab/>
    </w:r>
    <w:sdt>
      <w:sdtPr>
        <w:id w:val="-2026619730"/>
        <w:docPartObj>
          <w:docPartGallery w:val="Page Numbers (Top of Page)"/>
          <w:docPartUnique/>
        </w:docPartObj>
      </w:sdtPr>
      <w:sdtContent>
        <w:r>
          <w:tab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37B9" w14:textId="52DD82A8" w:rsidR="00CD69E9" w:rsidRDefault="00CD69E9" w:rsidP="008D5665">
    <w:pPr>
      <w:pStyle w:val="Footer"/>
      <w:rPr>
        <w:b/>
        <w:color w:val="4472C4" w:themeColor="accent1"/>
      </w:rPr>
    </w:pPr>
    <w:r>
      <w:rPr>
        <w:b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6EA5434" wp14:editId="1228ED9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8" name="MSIPCMbf954246a0c6b9ccd251e692" descr="{&quot;HashCode&quot;:-1267603503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248C46" w14:textId="487E164F" w:rsidR="00CD69E9" w:rsidRPr="00F069C1" w:rsidRDefault="00F069C1" w:rsidP="00F069C1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069C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A5434" id="_x0000_t202" coordsize="21600,21600" o:spt="202" path="m,l,21600r21600,l21600,xe">
              <v:stroke joinstyle="miter"/>
              <v:path gradientshapeok="t" o:connecttype="rect"/>
            </v:shapetype>
            <v:shape id="MSIPCMbf954246a0c6b9ccd251e692" o:spid="_x0000_s1026" type="#_x0000_t202" alt="{&quot;HashCode&quot;:-1267603503,&quot;Height&quot;:9999999.0,&quot;Width&quot;:9999999.0,&quot;Placement&quot;:&quot;Footer&quot;,&quot;Index&quot;:&quot;FirstPage&quot;,&quot;Section&quot;:2,&quot;Top&quot;:0.0,&quot;Left&quot;:0.0}" style="position:absolute;margin-left:0;margin-top:0;width:612pt;height:21pt;z-index:25166540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" o:allowincell="f" filled="f" stroked="f" strokeweight=".5pt">
              <v:textbox inset="20pt,0,,0">
                <w:txbxContent>
                  <w:p w14:paraId="0A248C46" w14:textId="487E164F" w:rsidR="00CD69E9" w:rsidRPr="00F069C1" w:rsidRDefault="00F069C1" w:rsidP="00F069C1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069C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B275B2" w14:textId="77777777" w:rsidR="00CD69E9" w:rsidRDefault="00CD69E9" w:rsidP="008D5665">
    <w:pPr>
      <w:pStyle w:val="Footer"/>
    </w:pPr>
    <w:r>
      <w:rPr>
        <w:b/>
        <w:color w:val="4472C4" w:themeColor="accent1"/>
      </w:rPr>
      <w:t>Victoria’s Social Procurement Framework – Buyer Guidance</w:t>
    </w:r>
    <w:r>
      <w:t xml:space="preserve"> </w:t>
    </w:r>
  </w:p>
  <w:p w14:paraId="2859FE10" w14:textId="77777777" w:rsidR="00CD69E9" w:rsidRPr="003A70DC" w:rsidRDefault="00CD69E9" w:rsidP="008D5665">
    <w:pPr>
      <w:pStyle w:val="Footer"/>
    </w:pPr>
    <w:r w:rsidRPr="003A70DC">
      <w:t xml:space="preserve">Guide to mandatory planning requirements </w:t>
    </w:r>
    <w:r w:rsidRPr="003A70DC">
      <w:tab/>
      <w:t xml:space="preserve">Page </w:t>
    </w:r>
    <w:r w:rsidRPr="003A70DC">
      <w:rPr>
        <w:rStyle w:val="PageNumber"/>
      </w:rPr>
      <w:fldChar w:fldCharType="begin"/>
    </w:r>
    <w:r w:rsidRPr="003A70DC">
      <w:rPr>
        <w:rStyle w:val="PageNumber"/>
      </w:rPr>
      <w:instrText xml:space="preserve"> Page </w:instrText>
    </w:r>
    <w:r w:rsidRPr="003A70DC">
      <w:rPr>
        <w:rStyle w:val="PageNumber"/>
      </w:rPr>
      <w:fldChar w:fldCharType="separate"/>
    </w:r>
    <w:r>
      <w:rPr>
        <w:rStyle w:val="PageNumber"/>
      </w:rPr>
      <w:t>8</w:t>
    </w:r>
    <w:r w:rsidRPr="003A70D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4F9F" w14:textId="77777777" w:rsidR="00105EE8" w:rsidRDefault="00105EE8" w:rsidP="00C84D2E">
      <w:pPr>
        <w:spacing w:before="0" w:after="0" w:line="240" w:lineRule="auto"/>
      </w:pPr>
      <w:r>
        <w:separator/>
      </w:r>
    </w:p>
  </w:footnote>
  <w:footnote w:type="continuationSeparator" w:id="0">
    <w:p w14:paraId="4F4772AE" w14:textId="77777777" w:rsidR="00105EE8" w:rsidRDefault="00105EE8" w:rsidP="00C84D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9E70" w14:textId="7063F7BB" w:rsidR="00060E50" w:rsidRDefault="00060E50" w:rsidP="00060E50">
    <w:pPr>
      <w:pStyle w:val="Header"/>
      <w:jc w:val="right"/>
    </w:pPr>
    <w:r>
      <w:t xml:space="preserve">Department of </w:t>
    </w:r>
    <w:r w:rsidR="002A7FC4">
      <w:t>Government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07AA" w14:textId="77777777" w:rsidR="00CD69E9" w:rsidRDefault="00CD69E9" w:rsidP="008D566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BA7CC5" wp14:editId="55518ED8">
          <wp:simplePos x="0" y="0"/>
          <wp:positionH relativeFrom="page">
            <wp:posOffset>153508</wp:posOffset>
          </wp:positionH>
          <wp:positionV relativeFrom="page">
            <wp:posOffset>156210</wp:posOffset>
          </wp:positionV>
          <wp:extent cx="7545070" cy="10673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4E1E948" wp14:editId="59BF4FD0">
          <wp:simplePos x="0" y="0"/>
          <wp:positionH relativeFrom="page">
            <wp:posOffset>3261360</wp:posOffset>
          </wp:positionH>
          <wp:positionV relativeFrom="page">
            <wp:posOffset>311041</wp:posOffset>
          </wp:positionV>
          <wp:extent cx="7545070" cy="73780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 1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71"/>
                  <a:stretch/>
                </pic:blipFill>
                <pic:spPr bwMode="auto">
                  <a:xfrm>
                    <a:off x="0" y="0"/>
                    <a:ext cx="7545070" cy="737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DC0E" w14:textId="77777777" w:rsidR="00CD69E9" w:rsidRDefault="00CD69E9" w:rsidP="008D5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FFD"/>
    <w:multiLevelType w:val="hybridMultilevel"/>
    <w:tmpl w:val="12D49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166"/>
    <w:multiLevelType w:val="hybridMultilevel"/>
    <w:tmpl w:val="DC148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D16A4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1B4B3A43"/>
    <w:multiLevelType w:val="hybridMultilevel"/>
    <w:tmpl w:val="AF34D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311C"/>
    <w:multiLevelType w:val="hybridMultilevel"/>
    <w:tmpl w:val="78D4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3D88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34D22A3F"/>
    <w:multiLevelType w:val="multilevel"/>
    <w:tmpl w:val="1E1EB83C"/>
    <w:lvl w:ilvl="0">
      <w:start w:val="1"/>
      <w:numFmt w:val="none"/>
      <w:pStyle w:val="LDStandard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LDStandard2"/>
      <w:lvlText w:val="%2."/>
      <w:lvlJc w:val="left"/>
      <w:pPr>
        <w:tabs>
          <w:tab w:val="num" w:pos="851"/>
        </w:tabs>
        <w:ind w:left="851" w:hanging="851"/>
      </w:pPr>
      <w:rPr>
        <w:rFonts w:ascii="Arial" w:eastAsiaTheme="minorHAnsi" w:hAnsi="Arial" w:cs="Arial" w:hint="default"/>
      </w:rPr>
    </w:lvl>
    <w:lvl w:ilvl="2">
      <w:start w:val="1"/>
      <w:numFmt w:val="decimal"/>
      <w:pStyle w:val="LDStandard3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LDStandard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LDStandard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upperLetter"/>
      <w:pStyle w:val="LDStandard6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upperRoman"/>
      <w:pStyle w:val="LDStandard7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EEB652D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63D4AC9"/>
    <w:multiLevelType w:val="multilevel"/>
    <w:tmpl w:val="6B1A1D8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539B383F"/>
    <w:multiLevelType w:val="hybridMultilevel"/>
    <w:tmpl w:val="EF9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5E7E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1" w15:restartNumberingAfterBreak="0">
    <w:nsid w:val="5F187010"/>
    <w:multiLevelType w:val="hybridMultilevel"/>
    <w:tmpl w:val="6026E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22329">
    <w:abstractNumId w:val="7"/>
  </w:num>
  <w:num w:numId="2" w16cid:durableId="1692342598">
    <w:abstractNumId w:val="0"/>
  </w:num>
  <w:num w:numId="3" w16cid:durableId="2014257203">
    <w:abstractNumId w:val="11"/>
  </w:num>
  <w:num w:numId="4" w16cid:durableId="1200632717">
    <w:abstractNumId w:val="3"/>
  </w:num>
  <w:num w:numId="5" w16cid:durableId="109595051">
    <w:abstractNumId w:val="4"/>
  </w:num>
  <w:num w:numId="6" w16cid:durableId="357196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62366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3748821">
    <w:abstractNumId w:val="9"/>
  </w:num>
  <w:num w:numId="9" w16cid:durableId="1622347180">
    <w:abstractNumId w:val="1"/>
  </w:num>
  <w:num w:numId="10" w16cid:durableId="1462768986">
    <w:abstractNumId w:val="8"/>
  </w:num>
  <w:num w:numId="11" w16cid:durableId="1155148369">
    <w:abstractNumId w:val="10"/>
  </w:num>
  <w:num w:numId="12" w16cid:durableId="81412601">
    <w:abstractNumId w:val="2"/>
  </w:num>
  <w:num w:numId="13" w16cid:durableId="1791704806">
    <w:abstractNumId w:val="5"/>
  </w:num>
  <w:num w:numId="14" w16cid:durableId="915820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2E"/>
    <w:rsid w:val="0000388D"/>
    <w:rsid w:val="00014335"/>
    <w:rsid w:val="000230E2"/>
    <w:rsid w:val="000532C9"/>
    <w:rsid w:val="00060E50"/>
    <w:rsid w:val="000813F4"/>
    <w:rsid w:val="0008693F"/>
    <w:rsid w:val="00105EE8"/>
    <w:rsid w:val="00117CD2"/>
    <w:rsid w:val="001252B8"/>
    <w:rsid w:val="00127B7A"/>
    <w:rsid w:val="00174192"/>
    <w:rsid w:val="00177FA7"/>
    <w:rsid w:val="001A671C"/>
    <w:rsid w:val="001C1724"/>
    <w:rsid w:val="001C779D"/>
    <w:rsid w:val="001D2C56"/>
    <w:rsid w:val="00202188"/>
    <w:rsid w:val="002A7FC4"/>
    <w:rsid w:val="00312069"/>
    <w:rsid w:val="00313604"/>
    <w:rsid w:val="0035527B"/>
    <w:rsid w:val="003B0304"/>
    <w:rsid w:val="003B4C07"/>
    <w:rsid w:val="003F32E7"/>
    <w:rsid w:val="00404852"/>
    <w:rsid w:val="004052A2"/>
    <w:rsid w:val="00465CA5"/>
    <w:rsid w:val="005D1DE9"/>
    <w:rsid w:val="005E33F3"/>
    <w:rsid w:val="005F114A"/>
    <w:rsid w:val="00614446"/>
    <w:rsid w:val="00686C0A"/>
    <w:rsid w:val="006A3599"/>
    <w:rsid w:val="006D6E78"/>
    <w:rsid w:val="006E602E"/>
    <w:rsid w:val="006F51EF"/>
    <w:rsid w:val="0073607E"/>
    <w:rsid w:val="0074559B"/>
    <w:rsid w:val="00775086"/>
    <w:rsid w:val="007D4DEC"/>
    <w:rsid w:val="00816921"/>
    <w:rsid w:val="0083725E"/>
    <w:rsid w:val="008D5665"/>
    <w:rsid w:val="00930C1D"/>
    <w:rsid w:val="009408FF"/>
    <w:rsid w:val="00966F17"/>
    <w:rsid w:val="0098715D"/>
    <w:rsid w:val="00992C94"/>
    <w:rsid w:val="009933D2"/>
    <w:rsid w:val="009C17F5"/>
    <w:rsid w:val="009E3813"/>
    <w:rsid w:val="00A30928"/>
    <w:rsid w:val="00A3245D"/>
    <w:rsid w:val="00A419AA"/>
    <w:rsid w:val="00A60B96"/>
    <w:rsid w:val="00A73300"/>
    <w:rsid w:val="00AC42CE"/>
    <w:rsid w:val="00B40719"/>
    <w:rsid w:val="00B43D4C"/>
    <w:rsid w:val="00B92D03"/>
    <w:rsid w:val="00BB07F4"/>
    <w:rsid w:val="00C13481"/>
    <w:rsid w:val="00C364CF"/>
    <w:rsid w:val="00C84D2E"/>
    <w:rsid w:val="00CC7655"/>
    <w:rsid w:val="00CD69E9"/>
    <w:rsid w:val="00CF250F"/>
    <w:rsid w:val="00E213D5"/>
    <w:rsid w:val="00E32A43"/>
    <w:rsid w:val="00E53655"/>
    <w:rsid w:val="00E62D19"/>
    <w:rsid w:val="00EB03FB"/>
    <w:rsid w:val="00EB724A"/>
    <w:rsid w:val="00F069C1"/>
    <w:rsid w:val="00F74455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0515"/>
  <w15:chartTrackingRefBased/>
  <w15:docId w15:val="{C2991A47-0E94-46B5-A005-CD39C964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7E"/>
    <w:pPr>
      <w:spacing w:before="100" w:after="100" w:line="276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Heading1">
    <w:name w:val="heading 1"/>
    <w:next w:val="Normal"/>
    <w:link w:val="Heading1Char"/>
    <w:qFormat/>
    <w:rsid w:val="0073607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73607E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3607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2E"/>
  </w:style>
  <w:style w:type="paragraph" w:styleId="Footer">
    <w:name w:val="footer"/>
    <w:basedOn w:val="Normal"/>
    <w:link w:val="FooterChar"/>
    <w:uiPriority w:val="24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4"/>
    <w:rsid w:val="00C84D2E"/>
  </w:style>
  <w:style w:type="character" w:customStyle="1" w:styleId="Heading1Char">
    <w:name w:val="Heading 1 Char"/>
    <w:basedOn w:val="DefaultParagraphFont"/>
    <w:link w:val="Heading1"/>
    <w:rsid w:val="0073607E"/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lang w:eastAsia="en-AU"/>
    </w:rPr>
  </w:style>
  <w:style w:type="character" w:styleId="Hyperlink">
    <w:name w:val="Hyperlink"/>
    <w:basedOn w:val="DefaultParagraphFont"/>
    <w:uiPriority w:val="99"/>
    <w:rsid w:val="0073607E"/>
    <w:rPr>
      <w:color w:val="0563C1" w:themeColor="hyperlink"/>
      <w:u w:val="none"/>
    </w:rPr>
  </w:style>
  <w:style w:type="paragraph" w:customStyle="1" w:styleId="Bullet1">
    <w:name w:val="Bullet 1"/>
    <w:uiPriority w:val="1"/>
    <w:qFormat/>
    <w:rsid w:val="0073607E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73607E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73607E"/>
    <w:pPr>
      <w:numPr>
        <w:ilvl w:val="2"/>
      </w:numPr>
    </w:pPr>
  </w:style>
  <w:style w:type="paragraph" w:customStyle="1" w:styleId="Bulletindent2">
    <w:name w:val="Bullet indent 2"/>
    <w:basedOn w:val="Normal"/>
    <w:uiPriority w:val="9"/>
    <w:qFormat/>
    <w:rsid w:val="0073607E"/>
    <w:pPr>
      <w:numPr>
        <w:ilvl w:val="3"/>
        <w:numId w:val="1"/>
      </w:numPr>
      <w:contextualSpacing/>
    </w:pPr>
  </w:style>
  <w:style w:type="character" w:styleId="PageNumber">
    <w:name w:val="page number"/>
    <w:uiPriority w:val="49"/>
    <w:semiHidden/>
    <w:rsid w:val="0073607E"/>
    <w:rPr>
      <w:b w:val="0"/>
      <w:color w:val="000000" w:themeColor="text1"/>
    </w:rPr>
  </w:style>
  <w:style w:type="paragraph" w:styleId="ListParagraph">
    <w:name w:val="List Paragraph"/>
    <w:basedOn w:val="Normal"/>
    <w:uiPriority w:val="34"/>
    <w:qFormat/>
    <w:rsid w:val="007360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3607E"/>
    <w:pPr>
      <w:spacing w:before="0" w:after="6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07E"/>
    <w:rPr>
      <w:rFonts w:eastAsiaTheme="minorEastAsia"/>
      <w:spacing w:val="2"/>
      <w:sz w:val="17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73607E"/>
    <w:rPr>
      <w:vertAlign w:val="superscript"/>
    </w:rPr>
  </w:style>
  <w:style w:type="table" w:styleId="LightList">
    <w:name w:val="Light List"/>
    <w:basedOn w:val="TableNormal"/>
    <w:uiPriority w:val="61"/>
    <w:rsid w:val="0073607E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25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0F"/>
    <w:rPr>
      <w:rFonts w:ascii="Segoe UI" w:eastAsiaTheme="minorEastAsia" w:hAnsi="Segoe UI" w:cs="Segoe UI"/>
      <w:spacing w:val="2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F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5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0F"/>
    <w:rPr>
      <w:rFonts w:eastAsiaTheme="minorEastAsia"/>
      <w:spacing w:val="2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0F"/>
    <w:rPr>
      <w:rFonts w:eastAsiaTheme="minorEastAsia"/>
      <w:b/>
      <w:bCs/>
      <w:spacing w:val="2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202188"/>
    <w:rPr>
      <w:b/>
      <w:bCs/>
      <w:i w:val="0"/>
      <w:iCs w:val="0"/>
    </w:rPr>
  </w:style>
  <w:style w:type="paragraph" w:styleId="NoSpacing">
    <w:name w:val="No Spacing"/>
    <w:uiPriority w:val="1"/>
    <w:qFormat/>
    <w:rsid w:val="00312069"/>
    <w:pPr>
      <w:spacing w:after="0" w:line="240" w:lineRule="auto"/>
    </w:pPr>
  </w:style>
  <w:style w:type="paragraph" w:customStyle="1" w:styleId="LDIndent1">
    <w:name w:val="LD_Indent1"/>
    <w:basedOn w:val="Normal"/>
    <w:uiPriority w:val="1"/>
    <w:rsid w:val="00312069"/>
    <w:pPr>
      <w:spacing w:before="0" w:after="240" w:line="240" w:lineRule="auto"/>
      <w:ind w:left="851"/>
    </w:pPr>
    <w:rPr>
      <w:rFonts w:ascii="Arial" w:eastAsia="Times New Roman" w:hAnsi="Arial" w:cs="Times New Roman"/>
      <w:spacing w:val="0"/>
      <w:kern w:val="22"/>
      <w:sz w:val="22"/>
      <w:szCs w:val="24"/>
      <w:lang w:eastAsia="en-US"/>
    </w:rPr>
  </w:style>
  <w:style w:type="paragraph" w:customStyle="1" w:styleId="LDStandard1">
    <w:name w:val="LD_Standard1"/>
    <w:basedOn w:val="Normal"/>
    <w:next w:val="Normal"/>
    <w:uiPriority w:val="7"/>
    <w:qFormat/>
    <w:rsid w:val="00312069"/>
    <w:pPr>
      <w:keepNext/>
      <w:keepLines/>
      <w:numPr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2">
    <w:name w:val="LD_Standard2"/>
    <w:basedOn w:val="Normal"/>
    <w:uiPriority w:val="7"/>
    <w:qFormat/>
    <w:rsid w:val="00312069"/>
    <w:pPr>
      <w:keepNext/>
      <w:numPr>
        <w:ilvl w:val="1"/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3">
    <w:name w:val="LD_Standard3"/>
    <w:basedOn w:val="LDStandard2"/>
    <w:uiPriority w:val="7"/>
    <w:qFormat/>
    <w:rsid w:val="00312069"/>
    <w:pPr>
      <w:numPr>
        <w:ilvl w:val="2"/>
      </w:numPr>
    </w:pPr>
  </w:style>
  <w:style w:type="paragraph" w:customStyle="1" w:styleId="LDStandard4">
    <w:name w:val="LD_Standard4"/>
    <w:basedOn w:val="LDStandard3"/>
    <w:uiPriority w:val="7"/>
    <w:qFormat/>
    <w:rsid w:val="00312069"/>
    <w:pPr>
      <w:keepNext w:val="0"/>
      <w:numPr>
        <w:ilvl w:val="3"/>
      </w:numPr>
    </w:pPr>
    <w:rPr>
      <w:b w:val="0"/>
      <w:sz w:val="22"/>
    </w:rPr>
  </w:style>
  <w:style w:type="paragraph" w:customStyle="1" w:styleId="LDStandard5">
    <w:name w:val="LD_Standard5"/>
    <w:basedOn w:val="LDStandard4"/>
    <w:uiPriority w:val="7"/>
    <w:qFormat/>
    <w:rsid w:val="00312069"/>
    <w:pPr>
      <w:numPr>
        <w:ilvl w:val="4"/>
      </w:numPr>
    </w:pPr>
  </w:style>
  <w:style w:type="paragraph" w:customStyle="1" w:styleId="LDStandard6">
    <w:name w:val="LD_Standard6"/>
    <w:basedOn w:val="LDStandard5"/>
    <w:uiPriority w:val="7"/>
    <w:qFormat/>
    <w:rsid w:val="00312069"/>
    <w:pPr>
      <w:numPr>
        <w:ilvl w:val="5"/>
      </w:numPr>
    </w:pPr>
  </w:style>
  <w:style w:type="paragraph" w:customStyle="1" w:styleId="LDStandard7">
    <w:name w:val="LD_Standard7"/>
    <w:basedOn w:val="LDStandard6"/>
    <w:uiPriority w:val="7"/>
    <w:qFormat/>
    <w:rsid w:val="00312069"/>
    <w:pPr>
      <w:numPr>
        <w:ilvl w:val="6"/>
      </w:numPr>
    </w:pPr>
  </w:style>
  <w:style w:type="table" w:customStyle="1" w:styleId="DTFtexttable">
    <w:name w:val="DTF text table"/>
    <w:basedOn w:val="TableGrid"/>
    <w:uiPriority w:val="99"/>
    <w:rsid w:val="0000388D"/>
    <w:pPr>
      <w:spacing w:before="30" w:after="30" w:line="264" w:lineRule="auto"/>
    </w:pPr>
    <w:rPr>
      <w:spacing w:val="2"/>
      <w:sz w:val="17"/>
      <w:szCs w:val="21"/>
      <w:lang w:eastAsia="en-AU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12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74AA50"/>
        <w:vAlign w:val="bottom"/>
      </w:tcPr>
    </w:tblStylePr>
    <w:tblStylePr w:type="lastRow">
      <w:rPr>
        <w:b/>
      </w:rPr>
      <w:tblPr/>
      <w:tcPr>
        <w:tcBorders>
          <w:top w:val="single" w:sz="6" w:space="0" w:color="4472C4" w:themeColor="accent1"/>
          <w:left w:val="nil"/>
          <w:bottom w:val="single" w:sz="12" w:space="0" w:color="4472C4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DEDED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DEEAF6" w:themeFill="accent5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Tablechartdiagramheading">
    <w:name w:val="Table/chart/diagram heading"/>
    <w:uiPriority w:val="4"/>
    <w:qFormat/>
    <w:rsid w:val="0000388D"/>
    <w:pPr>
      <w:keepNext/>
      <w:tabs>
        <w:tab w:val="left" w:pos="1080"/>
      </w:tabs>
      <w:spacing w:before="160" w:after="100" w:line="276" w:lineRule="auto"/>
    </w:pPr>
    <w:rPr>
      <w:rFonts w:eastAsiaTheme="minorEastAsia"/>
      <w:b/>
      <w:bCs/>
      <w:spacing w:val="2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00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97C45-AD95-427F-8318-FFA533CE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Alex E D'Aloia (DGS)</cp:lastModifiedBy>
  <cp:revision>4</cp:revision>
  <dcterms:created xsi:type="dcterms:W3CDTF">2023-11-06T06:19:00Z</dcterms:created>
  <dcterms:modified xsi:type="dcterms:W3CDTF">2023-11-06T06:28:00Z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2019-07-20T08:28:29.2443402Z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