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2EAE" w14:textId="71ED147B" w:rsidR="00565B09" w:rsidRPr="00002990" w:rsidRDefault="00565B09" w:rsidP="00565B09">
      <w:pPr>
        <w:pStyle w:val="Heading2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Objectives and outcomes</w:t>
      </w:r>
    </w:p>
    <w:p w14:paraId="6FB97EC8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The Framework has 10 objectives, each with specific and measurable outcomes.</w:t>
      </w:r>
    </w:p>
    <w:p w14:paraId="5AD19020" w14:textId="77777777" w:rsidR="00CB4256" w:rsidRPr="00002990" w:rsidRDefault="00CB4256" w:rsidP="00CB4256">
      <w:pPr>
        <w:spacing w:after="120" w:line="240" w:lineRule="auto"/>
        <w:rPr>
          <w:rFonts w:ascii="Arial" w:hAnsi="Arial" w:cs="Arial"/>
          <w:b/>
          <w:bCs/>
        </w:rPr>
      </w:pPr>
    </w:p>
    <w:p w14:paraId="33582406" w14:textId="77777777" w:rsidR="00763CF7" w:rsidRPr="00002990" w:rsidRDefault="00763CF7" w:rsidP="00763CF7">
      <w:pPr>
        <w:rPr>
          <w:rFonts w:ascii="Arial" w:hAnsi="Arial" w:cs="Arial"/>
          <w:b/>
          <w:bCs/>
        </w:rPr>
      </w:pPr>
      <w:r w:rsidRPr="00002990">
        <w:rPr>
          <w:rFonts w:ascii="Arial" w:hAnsi="Arial" w:cs="Arial"/>
          <w:b/>
          <w:bCs/>
        </w:rPr>
        <w:t>Table 1: The Framework’s objectives and outcomes</w:t>
      </w:r>
    </w:p>
    <w:p w14:paraId="5E7A2498" w14:textId="77777777" w:rsidR="00CB4256" w:rsidRPr="00002990" w:rsidRDefault="00CB4256" w:rsidP="00CB4256">
      <w:pPr>
        <w:spacing w:after="120" w:line="240" w:lineRule="auto"/>
        <w:rPr>
          <w:rFonts w:ascii="Arial" w:hAnsi="Arial" w:cs="Arial"/>
        </w:rPr>
      </w:pPr>
      <w:r w:rsidRPr="00002990">
        <w:rPr>
          <w:rFonts w:ascii="Arial" w:hAnsi="Arial" w:cs="Arial"/>
        </w:rPr>
        <w:t>Extract from Social Procurement Framework Annual Report 2022–23</w:t>
      </w:r>
    </w:p>
    <w:p w14:paraId="395EE389" w14:textId="77777777" w:rsidR="00CB4256" w:rsidRPr="00002990" w:rsidRDefault="00CB4256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</w:p>
    <w:p w14:paraId="3A41B9FD" w14:textId="28ED799A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Opportunities for Victorian Aboriginal people</w:t>
      </w:r>
    </w:p>
    <w:p w14:paraId="0688F827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4FA4B075" w14:textId="77777777" w:rsidR="00565B09" w:rsidRPr="00002990" w:rsidRDefault="00565B09" w:rsidP="00565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Purchasing from Victorian Aboriginal businesses.</w:t>
      </w:r>
    </w:p>
    <w:p w14:paraId="7C124C7F" w14:textId="77777777" w:rsidR="00565B09" w:rsidRPr="00002990" w:rsidRDefault="00565B09" w:rsidP="00565B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Employment of Victorian Aboriginal people by suppliers to the Victorian Government.</w:t>
      </w:r>
    </w:p>
    <w:p w14:paraId="650D95BA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Opportunities for Victorians with disability</w:t>
      </w:r>
    </w:p>
    <w:p w14:paraId="5535E87F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10252782" w14:textId="0D0846DA" w:rsidR="00565B09" w:rsidRPr="00002990" w:rsidRDefault="00644E3A" w:rsidP="00565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Purchasing from Victorian social enterprises (led by a social mission for people with disabilities) and Australian Disability Enterprises</w:t>
      </w:r>
      <w:r w:rsidR="00565B09" w:rsidRPr="00002990">
        <w:rPr>
          <w:rFonts w:ascii="Arial" w:hAnsi="Arial" w:cs="Arial"/>
          <w:color w:val="1A1A1A"/>
          <w:spacing w:val="5"/>
        </w:rPr>
        <w:t>.</w:t>
      </w:r>
    </w:p>
    <w:p w14:paraId="7C6951C2" w14:textId="77777777" w:rsidR="00565B09" w:rsidRPr="00002990" w:rsidRDefault="00565B09" w:rsidP="00565B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Employment of Victorians with disability by suppliers to the Victorian Government.</w:t>
      </w:r>
    </w:p>
    <w:p w14:paraId="6F726DC5" w14:textId="0D3F5680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Women’s equality and safety</w:t>
      </w:r>
    </w:p>
    <w:p w14:paraId="13EA06CB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141366B3" w14:textId="77777777" w:rsidR="00565B09" w:rsidRPr="00002990" w:rsidRDefault="00565B09" w:rsidP="00565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Adoption of family violence leave by Victorian Government suppliers.</w:t>
      </w:r>
    </w:p>
    <w:p w14:paraId="4757A968" w14:textId="77777777" w:rsidR="00565B09" w:rsidRPr="00002990" w:rsidRDefault="00565B09" w:rsidP="00565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Gender equality within Victorian Government suppliers.</w:t>
      </w:r>
    </w:p>
    <w:p w14:paraId="090AE675" w14:textId="51E61C9A" w:rsidR="00565B09" w:rsidRPr="00002990" w:rsidRDefault="00565B09" w:rsidP="00565B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Improved gender equality within the construction sector</w:t>
      </w:r>
      <w:r w:rsidR="00413D78" w:rsidRPr="00002990">
        <w:rPr>
          <w:rFonts w:ascii="Arial" w:hAnsi="Arial" w:cs="Arial"/>
          <w:color w:val="1A1A1A"/>
          <w:vertAlign w:val="superscript"/>
        </w:rPr>
        <w:t>2</w:t>
      </w:r>
      <w:r w:rsidRPr="00002990">
        <w:rPr>
          <w:rFonts w:ascii="Arial" w:hAnsi="Arial" w:cs="Arial"/>
          <w:color w:val="1A1A1A"/>
          <w:spacing w:val="5"/>
        </w:rPr>
        <w:t>.</w:t>
      </w:r>
    </w:p>
    <w:p w14:paraId="0237CAA8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Opportunities for disadvantaged Victorians</w:t>
      </w:r>
    </w:p>
    <w:p w14:paraId="316652B1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3D7F2AF8" w14:textId="438520C2" w:rsidR="00565B09" w:rsidRPr="00002990" w:rsidRDefault="00B42371" w:rsidP="00565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Purchasing from Victorian social enterprises (led by a social mission for one of the five disadvantaged cohorts)</w:t>
      </w:r>
      <w:r w:rsidR="00565B09" w:rsidRPr="00002990">
        <w:rPr>
          <w:rFonts w:ascii="Arial" w:hAnsi="Arial" w:cs="Arial"/>
          <w:color w:val="1A1A1A"/>
          <w:spacing w:val="5"/>
        </w:rPr>
        <w:t>.</w:t>
      </w:r>
    </w:p>
    <w:p w14:paraId="52A02E54" w14:textId="77777777" w:rsidR="00565B09" w:rsidRPr="00002990" w:rsidRDefault="00565B09" w:rsidP="00565B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Job readiness and employment for:</w:t>
      </w:r>
    </w:p>
    <w:p w14:paraId="661E3C3B" w14:textId="77777777" w:rsidR="00565B09" w:rsidRPr="00002990" w:rsidRDefault="00565B09" w:rsidP="00565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long-term unemployed</w:t>
      </w:r>
    </w:p>
    <w:p w14:paraId="30F99CF8" w14:textId="77777777" w:rsidR="00565B09" w:rsidRPr="00002990" w:rsidRDefault="00565B09" w:rsidP="00565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disengaged youth</w:t>
      </w:r>
    </w:p>
    <w:p w14:paraId="7307A165" w14:textId="77777777" w:rsidR="00565B09" w:rsidRPr="00002990" w:rsidRDefault="00565B09" w:rsidP="00565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lastRenderedPageBreak/>
        <w:t>single parents</w:t>
      </w:r>
    </w:p>
    <w:p w14:paraId="06C78E97" w14:textId="77777777" w:rsidR="00565B09" w:rsidRPr="00002990" w:rsidRDefault="00565B09" w:rsidP="00565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migrants and refugees</w:t>
      </w:r>
    </w:p>
    <w:p w14:paraId="30B5E3BD" w14:textId="77777777" w:rsidR="00565B09" w:rsidRPr="00002990" w:rsidRDefault="00565B09" w:rsidP="00565B0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workers in transition.</w:t>
      </w:r>
    </w:p>
    <w:p w14:paraId="4CEE9BEE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Supporting safe and fair workplaces</w:t>
      </w:r>
    </w:p>
    <w:p w14:paraId="78E0E43B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66A0A56A" w14:textId="77777777" w:rsidR="00565B09" w:rsidRPr="00002990" w:rsidRDefault="00565B09" w:rsidP="00565B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Purchasing from suppliers that comply with industrial relations laws and promote secure employment.</w:t>
      </w:r>
    </w:p>
    <w:p w14:paraId="3BF6C89F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Sustainable Victorian social enterprise and Aboriginal business sectors</w:t>
      </w:r>
    </w:p>
    <w:p w14:paraId="057B51EF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6702ECF4" w14:textId="77777777" w:rsidR="00565B09" w:rsidRPr="00002990" w:rsidRDefault="00565B09" w:rsidP="00565B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Purchasing from Victorian social enterprises and Aboriginal businesses.</w:t>
      </w:r>
    </w:p>
    <w:p w14:paraId="76493024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Sustainable Victorian regions</w:t>
      </w:r>
    </w:p>
    <w:p w14:paraId="70C8DDAB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64ECEE6B" w14:textId="77777777" w:rsidR="00565B09" w:rsidRPr="00002990" w:rsidRDefault="00565B09" w:rsidP="00565B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Job readiness and employment for people in regions with entrenched disadvantage.</w:t>
      </w:r>
    </w:p>
    <w:p w14:paraId="70835E1A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Environmentally sustainable outputs</w:t>
      </w:r>
    </w:p>
    <w:p w14:paraId="7ABE0679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670B5A0C" w14:textId="77777777" w:rsidR="00565B09" w:rsidRPr="00002990" w:rsidRDefault="00565B09" w:rsidP="00565B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Project-specific requirements to use sustainable resources and to manage waste and pollution.</w:t>
      </w:r>
    </w:p>
    <w:p w14:paraId="398A7592" w14:textId="77777777" w:rsidR="00565B09" w:rsidRPr="00002990" w:rsidRDefault="00565B09" w:rsidP="00565B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Use of recycled content in construction works.</w:t>
      </w:r>
    </w:p>
    <w:p w14:paraId="0FCD3B82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Environmentally sustainable business practices</w:t>
      </w:r>
    </w:p>
    <w:p w14:paraId="4F70990E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2DAC9C15" w14:textId="77777777" w:rsidR="00565B09" w:rsidRPr="00002990" w:rsidRDefault="00565B09" w:rsidP="00565B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Adoption of sustainable business practices by suppliers to the Victorian Government.</w:t>
      </w:r>
    </w:p>
    <w:p w14:paraId="51EC9DFB" w14:textId="77777777" w:rsidR="00565B09" w:rsidRPr="00002990" w:rsidRDefault="00565B09" w:rsidP="00565B09">
      <w:pPr>
        <w:pStyle w:val="Heading3"/>
        <w:spacing w:after="0"/>
        <w:rPr>
          <w:rFonts w:ascii="Arial" w:hAnsi="Arial" w:cs="Arial"/>
          <w:b/>
          <w:bCs/>
          <w:color w:val="1A1A1A"/>
        </w:rPr>
      </w:pPr>
      <w:r w:rsidRPr="00002990">
        <w:rPr>
          <w:rFonts w:ascii="Arial" w:hAnsi="Arial" w:cs="Arial"/>
          <w:b/>
          <w:bCs/>
          <w:color w:val="1A1A1A"/>
        </w:rPr>
        <w:t>Implementation of Victoria’s Climate Change Policy objectives</w:t>
      </w:r>
    </w:p>
    <w:p w14:paraId="7D75838A" w14:textId="77777777" w:rsidR="00565B09" w:rsidRPr="00002990" w:rsidRDefault="00565B09" w:rsidP="00565B09">
      <w:pPr>
        <w:pStyle w:val="NormalWeb"/>
        <w:spacing w:after="0" w:afterAutospacing="0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Outcomes sought:</w:t>
      </w:r>
    </w:p>
    <w:p w14:paraId="204451C7" w14:textId="77777777" w:rsidR="00565B09" w:rsidRPr="00002990" w:rsidRDefault="00565B09" w:rsidP="00565B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lastRenderedPageBreak/>
        <w:t xml:space="preserve">Project-specific requirements to </w:t>
      </w:r>
      <w:proofErr w:type="spellStart"/>
      <w:r w:rsidRPr="00002990">
        <w:rPr>
          <w:rFonts w:ascii="Arial" w:hAnsi="Arial" w:cs="Arial"/>
          <w:color w:val="1A1A1A"/>
          <w:spacing w:val="5"/>
        </w:rPr>
        <w:t>minimise</w:t>
      </w:r>
      <w:proofErr w:type="spellEnd"/>
      <w:r w:rsidRPr="00002990">
        <w:rPr>
          <w:rFonts w:ascii="Arial" w:hAnsi="Arial" w:cs="Arial"/>
          <w:color w:val="1A1A1A"/>
          <w:spacing w:val="5"/>
        </w:rPr>
        <w:t xml:space="preserve"> greenhouse gas emissions.</w:t>
      </w:r>
    </w:p>
    <w:p w14:paraId="7801F085" w14:textId="77777777" w:rsidR="00565B09" w:rsidRPr="00002990" w:rsidRDefault="00565B09" w:rsidP="00565B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color w:val="1A1A1A"/>
          <w:spacing w:val="5"/>
        </w:rPr>
      </w:pPr>
      <w:r w:rsidRPr="00002990">
        <w:rPr>
          <w:rFonts w:ascii="Arial" w:hAnsi="Arial" w:cs="Arial"/>
          <w:color w:val="1A1A1A"/>
          <w:spacing w:val="5"/>
        </w:rPr>
        <w:t>Procurement of goods and services that are resilient against the impacts of climate change.</w:t>
      </w:r>
    </w:p>
    <w:p w14:paraId="2C078E63" w14:textId="73E8F307" w:rsidR="006872A3" w:rsidRPr="00002990" w:rsidRDefault="00D06A4C">
      <w:pPr>
        <w:rPr>
          <w:rFonts w:ascii="Arial" w:hAnsi="Arial" w:cs="Arial"/>
        </w:rPr>
      </w:pPr>
      <w:r w:rsidRPr="00002990">
        <w:rPr>
          <w:rStyle w:val="FootnoteReference"/>
          <w:rFonts w:ascii="Arial" w:hAnsi="Arial" w:cs="Arial"/>
        </w:rPr>
        <w:t>2</w:t>
      </w:r>
      <w:r w:rsidRPr="00002990">
        <w:rPr>
          <w:rFonts w:ascii="Arial" w:hAnsi="Arial" w:cs="Arial"/>
        </w:rPr>
        <w:t xml:space="preserve"> </w:t>
      </w:r>
      <w:r w:rsidRPr="00002990">
        <w:rPr>
          <w:rFonts w:ascii="Arial" w:hAnsi="Arial" w:cs="Arial"/>
          <w:sz w:val="16"/>
          <w:szCs w:val="16"/>
        </w:rPr>
        <w:t xml:space="preserve">For all publicly funded construction projects valued at $20 million or more, the </w:t>
      </w:r>
      <w:hyperlink r:id="rId10" w:history="1">
        <w:r w:rsidRPr="00002990">
          <w:rPr>
            <w:rStyle w:val="Hyperlink"/>
            <w:rFonts w:ascii="Arial" w:hAnsi="Arial" w:cs="Arial"/>
            <w:sz w:val="16"/>
            <w:szCs w:val="16"/>
          </w:rPr>
          <w:t>Building Equality Policy</w:t>
        </w:r>
      </w:hyperlink>
      <w:r w:rsidRPr="00002990">
        <w:rPr>
          <w:rFonts w:ascii="Arial" w:hAnsi="Arial" w:cs="Arial"/>
          <w:sz w:val="16"/>
          <w:szCs w:val="16"/>
        </w:rPr>
        <w:t xml:space="preserve"> (BEP) replaces this objective.</w:t>
      </w:r>
    </w:p>
    <w:sectPr w:rsidR="006872A3" w:rsidRPr="000029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0314" w14:textId="77777777" w:rsidR="00565B09" w:rsidRDefault="00565B09" w:rsidP="00565B09">
      <w:pPr>
        <w:spacing w:after="0" w:line="240" w:lineRule="auto"/>
      </w:pPr>
      <w:r>
        <w:separator/>
      </w:r>
    </w:p>
  </w:endnote>
  <w:endnote w:type="continuationSeparator" w:id="0">
    <w:p w14:paraId="7B8095F8" w14:textId="77777777" w:rsidR="00565B09" w:rsidRDefault="00565B09" w:rsidP="0056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8ED9" w14:textId="77777777" w:rsidR="00565B09" w:rsidRDefault="00565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3B12" w14:textId="3650F610" w:rsidR="00565B09" w:rsidRDefault="00565B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C93DF" wp14:editId="6CBF534C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d3524f5ab451d0b30ef6c75b" descr="{&quot;HashCode&quot;:37626020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07937D" w14:textId="409BAA16" w:rsidR="00565B09" w:rsidRPr="00565B09" w:rsidRDefault="00565B09" w:rsidP="00565B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65B09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C93DF" id="_x0000_t202" coordsize="21600,21600" o:spt="202" path="m,l,21600r21600,l21600,xe">
              <v:stroke joinstyle="miter"/>
              <v:path gradientshapeok="t" o:connecttype="rect"/>
            </v:shapetype>
            <v:shape id="MSIPCMd3524f5ab451d0b30ef6c75b" o:spid="_x0000_s1027" type="#_x0000_t202" alt="{&quot;HashCode&quot;:376260202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BUrsjL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1D07937D" w14:textId="409BAA16" w:rsidR="00565B09" w:rsidRPr="00565B09" w:rsidRDefault="00565B09" w:rsidP="00565B0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565B09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519B" w14:textId="77777777" w:rsidR="00565B09" w:rsidRDefault="0056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0988" w14:textId="77777777" w:rsidR="00565B09" w:rsidRDefault="00565B09" w:rsidP="00565B09">
      <w:pPr>
        <w:spacing w:after="0" w:line="240" w:lineRule="auto"/>
      </w:pPr>
      <w:r>
        <w:separator/>
      </w:r>
    </w:p>
  </w:footnote>
  <w:footnote w:type="continuationSeparator" w:id="0">
    <w:p w14:paraId="568CEEE5" w14:textId="77777777" w:rsidR="00565B09" w:rsidRDefault="00565B09" w:rsidP="0056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11D7" w14:textId="77777777" w:rsidR="00565B09" w:rsidRDefault="00565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0FE5" w14:textId="1FBDB062" w:rsidR="00565B09" w:rsidRDefault="00565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24607E" wp14:editId="30177E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1a6f4db2ba25b2ab25f550c3" descr="{&quot;HashCode&quot;:35212263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138BB9" w14:textId="347C083D" w:rsidR="00565B09" w:rsidRPr="00565B09" w:rsidRDefault="00565B09" w:rsidP="00565B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65B09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4607E" id="_x0000_t202" coordsize="21600,21600" o:spt="202" path="m,l,21600r21600,l21600,xe">
              <v:stroke joinstyle="miter"/>
              <v:path gradientshapeok="t" o:connecttype="rect"/>
            </v:shapetype>
            <v:shape id="MSIPCM1a6f4db2ba25b2ab25f550c3" o:spid="_x0000_s1026" type="#_x0000_t202" alt="{&quot;HashCode&quot;:35212263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25138BB9" w14:textId="347C083D" w:rsidR="00565B09" w:rsidRPr="00565B09" w:rsidRDefault="00565B09" w:rsidP="00565B0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565B09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8281" w14:textId="77777777" w:rsidR="00565B09" w:rsidRDefault="00565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BD3"/>
    <w:multiLevelType w:val="multilevel"/>
    <w:tmpl w:val="B7C0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A5C6E"/>
    <w:multiLevelType w:val="multilevel"/>
    <w:tmpl w:val="5646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329AA"/>
    <w:multiLevelType w:val="multilevel"/>
    <w:tmpl w:val="0FC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87F05"/>
    <w:multiLevelType w:val="multilevel"/>
    <w:tmpl w:val="67EE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0773B"/>
    <w:multiLevelType w:val="multilevel"/>
    <w:tmpl w:val="D40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975FC"/>
    <w:multiLevelType w:val="multilevel"/>
    <w:tmpl w:val="3134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D18CA"/>
    <w:multiLevelType w:val="multilevel"/>
    <w:tmpl w:val="484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A1822"/>
    <w:multiLevelType w:val="multilevel"/>
    <w:tmpl w:val="EA54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57321"/>
    <w:multiLevelType w:val="multilevel"/>
    <w:tmpl w:val="2D6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4058C"/>
    <w:multiLevelType w:val="multilevel"/>
    <w:tmpl w:val="FDAE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4757586">
    <w:abstractNumId w:val="9"/>
  </w:num>
  <w:num w:numId="2" w16cid:durableId="625888993">
    <w:abstractNumId w:val="5"/>
  </w:num>
  <w:num w:numId="3" w16cid:durableId="1587686522">
    <w:abstractNumId w:val="3"/>
  </w:num>
  <w:num w:numId="4" w16cid:durableId="1984772890">
    <w:abstractNumId w:val="2"/>
  </w:num>
  <w:num w:numId="5" w16cid:durableId="364911081">
    <w:abstractNumId w:val="6"/>
  </w:num>
  <w:num w:numId="6" w16cid:durableId="998729801">
    <w:abstractNumId w:val="0"/>
  </w:num>
  <w:num w:numId="7" w16cid:durableId="405804076">
    <w:abstractNumId w:val="7"/>
  </w:num>
  <w:num w:numId="8" w16cid:durableId="218638488">
    <w:abstractNumId w:val="8"/>
  </w:num>
  <w:num w:numId="9" w16cid:durableId="452599979">
    <w:abstractNumId w:val="1"/>
  </w:num>
  <w:num w:numId="10" w16cid:durableId="2096900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5A8156"/>
    <w:rsid w:val="00002990"/>
    <w:rsid w:val="00413D78"/>
    <w:rsid w:val="00565B09"/>
    <w:rsid w:val="00644E3A"/>
    <w:rsid w:val="006872A3"/>
    <w:rsid w:val="00763CF7"/>
    <w:rsid w:val="008B501C"/>
    <w:rsid w:val="00A85E2D"/>
    <w:rsid w:val="00B42371"/>
    <w:rsid w:val="00CB4256"/>
    <w:rsid w:val="00D06A4C"/>
    <w:rsid w:val="00D4646A"/>
    <w:rsid w:val="255A8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A8156"/>
  <w15:chartTrackingRefBased/>
  <w15:docId w15:val="{80203003-88B9-4E99-9650-091A271F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5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09"/>
  </w:style>
  <w:style w:type="paragraph" w:styleId="Footer">
    <w:name w:val="footer"/>
    <w:basedOn w:val="Normal"/>
    <w:link w:val="FooterChar"/>
    <w:uiPriority w:val="99"/>
    <w:unhideWhenUsed/>
    <w:rsid w:val="00565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09"/>
  </w:style>
  <w:style w:type="paragraph" w:styleId="NormalWeb">
    <w:name w:val="Normal (Web)"/>
    <w:basedOn w:val="Normal"/>
    <w:uiPriority w:val="99"/>
    <w:semiHidden/>
    <w:unhideWhenUsed/>
    <w:rsid w:val="0056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styleId="FootnoteReference">
    <w:name w:val="footnote reference"/>
    <w:aliases w:val="(NECG) Footnote Reference"/>
    <w:basedOn w:val="DefaultParagraphFont"/>
    <w:uiPriority w:val="99"/>
    <w:unhideWhenUsed/>
    <w:rsid w:val="00D06A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6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ic.gov.au/building-equalit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30" ma:contentTypeDescription="Create a new document." ma:contentTypeScope="" ma:versionID="980fac1f2630334113d37dee52895806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22c8419693b2d49f6244e2a244f87dfb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b5f67cef-e94a-4906-b074-010088b9decf">Agenda</Agenda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BB52B-8075-4B70-85EC-5E54D9720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96043-ED54-40AB-B113-C4B7DAB82D74}">
  <ds:schemaRefs>
    <ds:schemaRef ds:uri="http://purl.org/dc/elements/1.1/"/>
    <ds:schemaRef ds:uri="http://schemas.microsoft.com/office/2006/metadata/properties"/>
    <ds:schemaRef ds:uri="http://purl.org/dc/terms/"/>
    <ds:schemaRef ds:uri="b5f67cef-e94a-4906-b074-010088b9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f94229c-c7eb-44c7-a435-91425a4637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0B6296-86FD-4432-B8CA-7BF5CD78F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N De Saram (DGS)</dc:creator>
  <cp:keywords/>
  <dc:description/>
  <cp:lastModifiedBy>Celeste De Saram</cp:lastModifiedBy>
  <cp:revision>12</cp:revision>
  <dcterms:created xsi:type="dcterms:W3CDTF">2024-04-23T06:16:00Z</dcterms:created>
  <dcterms:modified xsi:type="dcterms:W3CDTF">2024-04-23T06:23:00Z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0x010100F0042BBEAB6E854F8F0D6466C534E4F0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2024-04-23T06:16:16Z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1658a500-6173-4441-9977-46233b188210</vt:lpwstr>
  </property>
  <property fmtid="{D5CDD505-2E9C-101B-9397-08002B2CF9AE}" pid="9" name="MSIP_Label_d00a4df9-c942-4b09-b23a-6c1023f6de27_ContentBits">
    <vt:lpwstr>3</vt:lpwstr>
  </property>
  <property fmtid="{D5CDD505-2E9C-101B-9397-08002B2CF9AE}" pid="10" name="MediaServiceImageTags">
    <vt:lpwstr/>
  </property>
  <property fmtid="{D5CDD505-2E9C-101B-9397-08002B2CF9AE}" pid="11" name="Metadata Tags">
    <vt:lpwstr/>
  </property>
</Properties>
</file>