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3207" w14:textId="77777777" w:rsidR="00591233" w:rsidRPr="00F624F3" w:rsidRDefault="00591233" w:rsidP="00591233">
      <w:pPr>
        <w:pStyle w:val="Heading1"/>
        <w:rPr>
          <w:color w:val="404040"/>
        </w:rPr>
      </w:pPr>
      <w:bookmarkStart w:id="0" w:name="_Toc413937020"/>
      <w:bookmarkStart w:id="1" w:name="_Toc61971442"/>
      <w:bookmarkStart w:id="2" w:name="_Ref61971880"/>
      <w:bookmarkStart w:id="3" w:name="_Ref61971886"/>
      <w:r w:rsidRPr="00F624F3">
        <w:t>Policy Two: Complexity and capability assessment</w:t>
      </w:r>
      <w:bookmarkEnd w:id="0"/>
      <w:bookmarkEnd w:id="1"/>
      <w:bookmarkEnd w:id="2"/>
      <w:bookmarkEnd w:id="3"/>
      <w:r w:rsidRPr="00F624F3">
        <w:t xml:space="preserve"> </w:t>
      </w:r>
    </w:p>
    <w:p w14:paraId="62A605E4" w14:textId="77777777" w:rsidR="00591233" w:rsidRPr="00F624F3" w:rsidRDefault="00591233" w:rsidP="00591233">
      <w:pPr>
        <w:keepNext/>
        <w:keepLines/>
        <w:widowControl w:val="0"/>
        <w:spacing w:before="280" w:after="120" w:line="216" w:lineRule="auto"/>
        <w:ind w:left="794"/>
        <w:outlineLvl w:val="1"/>
        <w:rPr>
          <w:color w:val="4D4D4D"/>
          <w:sz w:val="32"/>
          <w:lang w:eastAsia="en-US"/>
        </w:rPr>
      </w:pPr>
      <w:bookmarkStart w:id="4" w:name="_Toc413924131"/>
      <w:bookmarkStart w:id="5" w:name="_Toc413937021"/>
      <w:r w:rsidRPr="00F624F3">
        <w:rPr>
          <w:color w:val="4D4D4D"/>
          <w:sz w:val="32"/>
          <w:lang w:eastAsia="en-US"/>
        </w:rPr>
        <w:t>Context</w:t>
      </w:r>
      <w:bookmarkEnd w:id="4"/>
      <w:bookmarkEnd w:id="5"/>
    </w:p>
    <w:p w14:paraId="163CE362" w14:textId="77777777" w:rsidR="00591233" w:rsidRPr="00E329AC" w:rsidRDefault="00591233" w:rsidP="00591233">
      <w:pPr>
        <w:spacing w:line="240" w:lineRule="auto"/>
        <w:ind w:left="794"/>
        <w:rPr>
          <w:lang w:eastAsia="en-US"/>
        </w:rPr>
      </w:pPr>
      <w:r w:rsidRPr="00E329AC">
        <w:rPr>
          <w:lang w:eastAsia="en-US"/>
        </w:rPr>
        <w:t xml:space="preserve">This policy outlines the requirements for carrying out complexity and capability assessments. It is mandatory for all Victorian Government departments and any public bodies (hereafter referred to as ‘organisations’) that are subject to the supply policies of the Victorian Government Purchasing Board (VGPB) </w:t>
      </w:r>
      <w:bookmarkStart w:id="6" w:name="_Hlk51242300"/>
      <w:r w:rsidRPr="00E329AC">
        <w:rPr>
          <w:lang w:eastAsia="en-US"/>
        </w:rPr>
        <w:t>except where supply policies are not mandatory for a public body in accordance with Policy One (Governance).</w:t>
      </w:r>
    </w:p>
    <w:p w14:paraId="38EBDB21" w14:textId="77777777" w:rsidR="00591233" w:rsidRPr="00E329AC" w:rsidRDefault="00591233" w:rsidP="00591233">
      <w:pPr>
        <w:spacing w:line="240" w:lineRule="auto"/>
        <w:ind w:left="794"/>
        <w:rPr>
          <w:lang w:eastAsia="en-US"/>
        </w:rPr>
      </w:pPr>
      <w:r w:rsidRPr="00E329AC">
        <w:rPr>
          <w:lang w:eastAsia="en-US"/>
        </w:rPr>
        <w:t>In meeting the VGPB mandatory requirements, the level of detail in the organisation’s procurement policies and processes will be determined by the Chief Procurement Officer or equivalent and will be commensurate with the organisation’s procurement profile.</w:t>
      </w:r>
      <w:bookmarkEnd w:id="6"/>
      <w:r w:rsidRPr="00E329AC">
        <w:rPr>
          <w:lang w:eastAsia="en-US"/>
        </w:rPr>
        <w:t xml:space="preserve"> </w:t>
      </w:r>
    </w:p>
    <w:p w14:paraId="4B424120" w14:textId="77777777" w:rsidR="00591233" w:rsidRPr="00F624F3" w:rsidRDefault="00591233" w:rsidP="00591233">
      <w:pPr>
        <w:spacing w:line="240" w:lineRule="auto"/>
        <w:ind w:left="794"/>
        <w:rPr>
          <w:lang w:eastAsia="en-US"/>
        </w:rPr>
      </w:pPr>
      <w:r w:rsidRPr="00F624F3">
        <w:rPr>
          <w:lang w:eastAsia="en-US"/>
        </w:rPr>
        <w:t xml:space="preserve">Figure 1 illustrates where complexity and capability fit into the procurement process. </w:t>
      </w:r>
    </w:p>
    <w:p w14:paraId="47C9550C" w14:textId="77777777" w:rsidR="00591233" w:rsidRPr="00F624F3" w:rsidRDefault="00591233" w:rsidP="00591233">
      <w:pPr>
        <w:keepNext/>
        <w:keepLines/>
        <w:tabs>
          <w:tab w:val="left" w:pos="851"/>
        </w:tabs>
        <w:spacing w:before="60" w:after="60" w:line="228" w:lineRule="auto"/>
        <w:ind w:left="794"/>
        <w:rPr>
          <w:b/>
          <w:lang w:eastAsia="en-US"/>
        </w:rPr>
      </w:pPr>
      <w:r w:rsidRPr="00F624F3">
        <w:rPr>
          <w:b/>
        </w:rPr>
        <w:t>Figure 1: Complexity and capability assessments and the procurement process</w:t>
      </w:r>
    </w:p>
    <w:p w14:paraId="11D080D5" w14:textId="77777777" w:rsidR="00591233" w:rsidRPr="00F624F3" w:rsidRDefault="00591233" w:rsidP="00591233">
      <w:pPr>
        <w:spacing w:before="0" w:after="0" w:line="240" w:lineRule="auto"/>
        <w:ind w:left="794"/>
        <w:rPr>
          <w:lang w:eastAsia="en-US"/>
        </w:rPr>
      </w:pPr>
      <w:r w:rsidRPr="00F624F3">
        <w:object w:dxaOrig="8805" w:dyaOrig="2145" w14:anchorId="37C0B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06.5pt" o:ole="" filled="t">
            <v:imagedata r:id="rId8" o:title=""/>
          </v:shape>
          <o:OLEObject Type="Embed" ProgID="Visio.Drawing.11" ShapeID="_x0000_i1025" DrawAspect="Content" ObjectID="_1777378623" r:id="rId9"/>
        </w:object>
      </w:r>
    </w:p>
    <w:p w14:paraId="06EB2C32" w14:textId="77777777" w:rsidR="00591233" w:rsidRPr="00F624F3" w:rsidRDefault="00591233" w:rsidP="00591233">
      <w:pPr>
        <w:spacing w:line="240" w:lineRule="auto"/>
        <w:ind w:left="794"/>
        <w:rPr>
          <w:lang w:eastAsia="en-US"/>
        </w:rPr>
      </w:pPr>
      <w:r w:rsidRPr="00F624F3">
        <w:rPr>
          <w:lang w:eastAsia="en-US"/>
        </w:rPr>
        <w:t xml:space="preserve">The </w:t>
      </w:r>
      <w:r w:rsidRPr="00F624F3">
        <w:rPr>
          <w:i/>
          <w:lang w:eastAsia="en-US"/>
        </w:rPr>
        <w:t>Complexity and capability assessment policy</w:t>
      </w:r>
      <w:r w:rsidRPr="00F624F3">
        <w:rPr>
          <w:lang w:eastAsia="en-US"/>
        </w:rPr>
        <w:t xml:space="preserve"> covers two components.</w:t>
      </w:r>
    </w:p>
    <w:p w14:paraId="070B3237" w14:textId="77777777" w:rsidR="00591233" w:rsidRPr="00F624F3" w:rsidRDefault="00591233" w:rsidP="00591233">
      <w:pPr>
        <w:keepNext/>
        <w:keepLines/>
        <w:widowControl w:val="0"/>
        <w:numPr>
          <w:ilvl w:val="0"/>
          <w:numId w:val="7"/>
        </w:numPr>
        <w:spacing w:before="200" w:after="120" w:line="216" w:lineRule="auto"/>
        <w:ind w:left="1134"/>
        <w:outlineLvl w:val="2"/>
        <w:rPr>
          <w:b/>
          <w:color w:val="4D4D4D"/>
          <w:kern w:val="28"/>
          <w:sz w:val="26"/>
          <w:lang w:eastAsia="en-US"/>
        </w:rPr>
      </w:pPr>
      <w:bookmarkStart w:id="7" w:name="_Toc413924132"/>
      <w:bookmarkStart w:id="8" w:name="_Toc413937022"/>
      <w:r w:rsidRPr="00F624F3">
        <w:rPr>
          <w:b/>
          <w:color w:val="4D4D4D"/>
          <w:kern w:val="28"/>
          <w:sz w:val="26"/>
          <w:lang w:eastAsia="en-US"/>
        </w:rPr>
        <w:t>Complexity</w:t>
      </w:r>
      <w:bookmarkEnd w:id="7"/>
      <w:bookmarkEnd w:id="8"/>
    </w:p>
    <w:p w14:paraId="5392165C" w14:textId="77777777" w:rsidR="00591233" w:rsidRPr="00F624F3" w:rsidRDefault="00591233" w:rsidP="00591233">
      <w:pPr>
        <w:spacing w:line="240" w:lineRule="auto"/>
        <w:ind w:left="794"/>
      </w:pPr>
      <w:r w:rsidRPr="00F624F3">
        <w:t xml:space="preserve">Procurement complexity is the level of intricacy and scope of issues involved in procuring a good or service. The complexity assessment considers a broad range of factors including risk, total cost of ownership and market dynamics associated with the procurement activity. </w:t>
      </w:r>
    </w:p>
    <w:p w14:paraId="2670B1F9" w14:textId="77777777" w:rsidR="00591233" w:rsidRPr="00F624F3" w:rsidRDefault="00591233" w:rsidP="00591233">
      <w:pPr>
        <w:keepNext/>
        <w:keepLines/>
        <w:widowControl w:val="0"/>
        <w:numPr>
          <w:ilvl w:val="0"/>
          <w:numId w:val="7"/>
        </w:numPr>
        <w:spacing w:before="200" w:after="120" w:line="216" w:lineRule="auto"/>
        <w:ind w:left="1134"/>
        <w:outlineLvl w:val="2"/>
        <w:rPr>
          <w:b/>
          <w:color w:val="4D4D4D"/>
          <w:kern w:val="28"/>
          <w:sz w:val="26"/>
          <w:lang w:eastAsia="en-US"/>
        </w:rPr>
      </w:pPr>
      <w:bookmarkStart w:id="9" w:name="_Toc413924133"/>
      <w:bookmarkStart w:id="10" w:name="_Toc413937023"/>
      <w:r w:rsidRPr="00F624F3">
        <w:rPr>
          <w:b/>
          <w:color w:val="4D4D4D"/>
          <w:kern w:val="28"/>
          <w:sz w:val="26"/>
          <w:lang w:eastAsia="en-US"/>
        </w:rPr>
        <w:t>Capability</w:t>
      </w:r>
      <w:bookmarkEnd w:id="9"/>
      <w:bookmarkEnd w:id="10"/>
      <w:r w:rsidRPr="00F624F3">
        <w:rPr>
          <w:b/>
          <w:color w:val="4D4D4D"/>
          <w:kern w:val="28"/>
          <w:sz w:val="26"/>
          <w:lang w:eastAsia="en-US"/>
        </w:rPr>
        <w:t xml:space="preserve"> </w:t>
      </w:r>
    </w:p>
    <w:p w14:paraId="4C685C2C" w14:textId="77777777" w:rsidR="00591233" w:rsidRPr="00F624F3" w:rsidRDefault="00591233" w:rsidP="00591233">
      <w:pPr>
        <w:spacing w:line="240" w:lineRule="auto"/>
        <w:ind w:left="794"/>
      </w:pPr>
      <w:r w:rsidRPr="00F624F3">
        <w:t xml:space="preserve">The capability assessment indicates the level of procurement capability in an organisation. Procurement capability is about matching the people, resources, </w:t>
      </w:r>
      <w:proofErr w:type="gramStart"/>
      <w:r w:rsidRPr="00F624F3">
        <w:t>systems</w:t>
      </w:r>
      <w:proofErr w:type="gramEnd"/>
      <w:r w:rsidRPr="00F624F3">
        <w:t xml:space="preserve"> and processes to the requirements of procurement activity, ensuring sufficient expertise is in place to carry out the procurement successfully. </w:t>
      </w:r>
    </w:p>
    <w:p w14:paraId="5AA4DF19" w14:textId="77777777" w:rsidR="00591233" w:rsidRPr="00F624F3" w:rsidRDefault="00591233" w:rsidP="00591233">
      <w:pPr>
        <w:spacing w:line="240" w:lineRule="auto"/>
        <w:ind w:left="794"/>
      </w:pPr>
      <w:r w:rsidRPr="00F624F3">
        <w:t>Figure 1 details the procurement process and highlights the point at which complexity and capability assessments take place. The assessments are considered together so an organisation can see what level of procurement activity it can carry out with existing resources and where additional or specialist capability may be required.</w:t>
      </w:r>
    </w:p>
    <w:p w14:paraId="020F9721" w14:textId="77777777" w:rsidR="00591233" w:rsidRPr="00F624F3" w:rsidRDefault="00591233" w:rsidP="00591233">
      <w:pPr>
        <w:spacing w:line="240" w:lineRule="auto"/>
        <w:ind w:left="794"/>
        <w:rPr>
          <w:lang w:eastAsia="en-US"/>
        </w:rPr>
      </w:pPr>
      <w:r w:rsidRPr="00F624F3">
        <w:t xml:space="preserve">The assessments take place early in the procurement process and focus on the category level of procurement. However, the assessments should be reviewed during the procurement process as additional considerations and more detailed information is obtained from the sourcing stages of the procurement process. </w:t>
      </w:r>
    </w:p>
    <w:p w14:paraId="2B2586AF" w14:textId="77777777" w:rsidR="00591233" w:rsidRPr="00F624F3" w:rsidRDefault="00591233" w:rsidP="00591233">
      <w:pPr>
        <w:spacing w:line="240" w:lineRule="auto"/>
        <w:ind w:left="794"/>
        <w:rPr>
          <w:lang w:eastAsia="en-US"/>
        </w:rPr>
      </w:pPr>
    </w:p>
    <w:tbl>
      <w:tblPr>
        <w:tblW w:w="0" w:type="auto"/>
        <w:tblInd w:w="851" w:type="dxa"/>
        <w:tblBorders>
          <w:top w:val="single" w:sz="4" w:space="0" w:color="auto"/>
          <w:left w:val="single" w:sz="4" w:space="0" w:color="auto"/>
          <w:bottom w:val="single" w:sz="4" w:space="0" w:color="auto"/>
          <w:right w:val="single" w:sz="4" w:space="0" w:color="auto"/>
        </w:tblBorders>
        <w:shd w:val="clear" w:color="auto" w:fill="D9D9D9"/>
        <w:tblCellMar>
          <w:left w:w="57" w:type="dxa"/>
          <w:right w:w="57" w:type="dxa"/>
        </w:tblCellMar>
        <w:tblLook w:val="01E0" w:firstRow="1" w:lastRow="1" w:firstColumn="1" w:lastColumn="1" w:noHBand="0" w:noVBand="0"/>
      </w:tblPr>
      <w:tblGrid>
        <w:gridCol w:w="8334"/>
      </w:tblGrid>
      <w:tr w:rsidR="00591233" w:rsidRPr="00F624F3" w14:paraId="52BBB13C" w14:textId="77777777" w:rsidTr="00EE2704">
        <w:trPr>
          <w:cantSplit/>
        </w:trPr>
        <w:tc>
          <w:tcPr>
            <w:tcW w:w="8334" w:type="dxa"/>
            <w:tcBorders>
              <w:top w:val="single" w:sz="4" w:space="0" w:color="auto"/>
              <w:left w:val="single" w:sz="4" w:space="0" w:color="auto"/>
              <w:bottom w:val="single" w:sz="4" w:space="0" w:color="auto"/>
              <w:right w:val="single" w:sz="4" w:space="0" w:color="auto"/>
            </w:tcBorders>
            <w:shd w:val="clear" w:color="auto" w:fill="D9D9D9"/>
            <w:hideMark/>
          </w:tcPr>
          <w:p w14:paraId="59ACBC2B" w14:textId="77777777" w:rsidR="00591233" w:rsidRPr="00F624F3" w:rsidRDefault="00591233" w:rsidP="00EE2704">
            <w:pPr>
              <w:spacing w:before="0" w:after="0" w:line="240" w:lineRule="auto"/>
              <w:rPr>
                <w:color w:val="4C4C4C"/>
                <w:szCs w:val="20"/>
              </w:rPr>
            </w:pPr>
            <w:r w:rsidRPr="00F624F3">
              <w:rPr>
                <w:color w:val="4C4C4C"/>
                <w:szCs w:val="20"/>
              </w:rPr>
              <w:t xml:space="preserve">For further information and advice on applying VGPB policies (including guides, </w:t>
            </w:r>
            <w:proofErr w:type="gramStart"/>
            <w:r w:rsidRPr="00F624F3">
              <w:rPr>
                <w:color w:val="4C4C4C"/>
                <w:szCs w:val="20"/>
              </w:rPr>
              <w:t>tools</w:t>
            </w:r>
            <w:proofErr w:type="gramEnd"/>
            <w:r w:rsidRPr="00F624F3">
              <w:rPr>
                <w:color w:val="4C4C4C"/>
                <w:szCs w:val="20"/>
              </w:rPr>
              <w:t xml:space="preserve"> and templates), visit the Procurement Victoria website at </w:t>
            </w:r>
            <w:hyperlink r:id="rId10" w:history="1">
              <w:r w:rsidRPr="00F624F3">
                <w:rPr>
                  <w:color w:val="404040"/>
                  <w:szCs w:val="20"/>
                </w:rPr>
                <w:t>http://www.procurement.vic.gov.au</w:t>
              </w:r>
            </w:hyperlink>
            <w:r w:rsidRPr="00F624F3">
              <w:rPr>
                <w:color w:val="4C4C4C"/>
                <w:szCs w:val="20"/>
              </w:rPr>
              <w:t>.</w:t>
            </w:r>
          </w:p>
        </w:tc>
      </w:tr>
    </w:tbl>
    <w:p w14:paraId="058B2F0E" w14:textId="77777777" w:rsidR="00591233" w:rsidRPr="00F624F3" w:rsidRDefault="00591233" w:rsidP="00591233">
      <w:pPr>
        <w:spacing w:before="0" w:after="0" w:line="240" w:lineRule="auto"/>
      </w:pPr>
    </w:p>
    <w:p w14:paraId="4798E0E9" w14:textId="77777777" w:rsidR="00591233" w:rsidRPr="00F624F3" w:rsidRDefault="00591233" w:rsidP="00591233">
      <w:pPr>
        <w:keepNext/>
        <w:keepLines/>
        <w:pageBreakBefore/>
        <w:numPr>
          <w:ilvl w:val="0"/>
          <w:numId w:val="8"/>
        </w:numPr>
        <w:spacing w:before="0" w:after="1120" w:line="216" w:lineRule="auto"/>
        <w:outlineLvl w:val="0"/>
        <w:rPr>
          <w:color w:val="404040"/>
          <w:sz w:val="40"/>
          <w:lang w:eastAsia="en-US"/>
        </w:rPr>
      </w:pPr>
      <w:bookmarkStart w:id="11" w:name="_Toc413924134"/>
      <w:bookmarkStart w:id="12" w:name="_Toc413937024"/>
      <w:bookmarkStart w:id="13" w:name="_Toc61971443"/>
      <w:r w:rsidRPr="00F624F3">
        <w:rPr>
          <w:color w:val="404040"/>
          <w:sz w:val="40"/>
          <w:lang w:eastAsia="en-US"/>
        </w:rPr>
        <w:lastRenderedPageBreak/>
        <w:t>Complexity assessment</w:t>
      </w:r>
      <w:bookmarkEnd w:id="11"/>
      <w:bookmarkEnd w:id="12"/>
      <w:bookmarkEnd w:id="13"/>
    </w:p>
    <w:p w14:paraId="4EF926A8" w14:textId="77777777" w:rsidR="00591233" w:rsidRPr="00F624F3" w:rsidRDefault="00591233" w:rsidP="00591233">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bookmarkStart w:id="14" w:name="_Toc323210285"/>
      <w:bookmarkStart w:id="15" w:name="_Toc413924135"/>
      <w:bookmarkStart w:id="16" w:name="_Toc413937025"/>
      <w:r>
        <w:rPr>
          <w:color w:val="4D4D4D"/>
          <w:sz w:val="32"/>
          <w:lang w:eastAsia="en-US"/>
        </w:rPr>
        <w:t>1.1</w:t>
      </w:r>
      <w:r>
        <w:rPr>
          <w:color w:val="4D4D4D"/>
          <w:sz w:val="32"/>
          <w:lang w:eastAsia="en-US"/>
        </w:rPr>
        <w:tab/>
      </w:r>
      <w:r w:rsidRPr="00F624F3">
        <w:rPr>
          <w:color w:val="4D4D4D"/>
          <w:sz w:val="32"/>
          <w:lang w:eastAsia="en-US"/>
        </w:rPr>
        <w:t>Mandatory requirements</w:t>
      </w:r>
      <w:bookmarkEnd w:id="14"/>
      <w:r w:rsidRPr="00F624F3">
        <w:rPr>
          <w:color w:val="4D4D4D"/>
          <w:sz w:val="32"/>
          <w:lang w:eastAsia="en-US"/>
        </w:rPr>
        <w:t xml:space="preserve"> for a complexity assessment</w:t>
      </w:r>
      <w:bookmarkEnd w:id="15"/>
      <w:bookmarkEnd w:id="16"/>
    </w:p>
    <w:p w14:paraId="474CD6F8" w14:textId="77777777" w:rsidR="00591233" w:rsidRPr="00F624F3" w:rsidRDefault="00591233" w:rsidP="00591233">
      <w:pPr>
        <w:spacing w:line="240" w:lineRule="auto"/>
        <w:ind w:left="794"/>
      </w:pPr>
      <w:r w:rsidRPr="00F624F3">
        <w:t>To achieve the best value</w:t>
      </w:r>
      <w:r w:rsidRPr="00F624F3">
        <w:noBreakHyphen/>
        <w:t>for</w:t>
      </w:r>
      <w:r w:rsidRPr="00F624F3">
        <w:noBreakHyphen/>
        <w:t>money, an organisation must assess the complexity of a procurement activity before it begins.</w:t>
      </w:r>
    </w:p>
    <w:p w14:paraId="69DFBD0F" w14:textId="77777777" w:rsidR="00591233" w:rsidRPr="00F624F3" w:rsidRDefault="00591233" w:rsidP="00591233">
      <w:pPr>
        <w:spacing w:line="240" w:lineRule="auto"/>
        <w:ind w:left="794"/>
      </w:pPr>
      <w:r w:rsidRPr="00F624F3">
        <w:t>The assessment of complexity must be applied to:</w:t>
      </w:r>
    </w:p>
    <w:p w14:paraId="4764E7E7" w14:textId="597DA50A" w:rsidR="00591233" w:rsidRPr="00F624F3" w:rsidRDefault="00591233" w:rsidP="00591233">
      <w:pPr>
        <w:numPr>
          <w:ilvl w:val="0"/>
          <w:numId w:val="1"/>
        </w:numPr>
        <w:tabs>
          <w:tab w:val="clear" w:pos="360"/>
          <w:tab w:val="num" w:pos="1077"/>
        </w:tabs>
        <w:spacing w:before="80" w:after="80" w:line="240" w:lineRule="auto"/>
        <w:ind w:left="1077" w:hanging="283"/>
      </w:pPr>
      <w:r w:rsidRPr="00F624F3">
        <w:t>relevant categories of procurement</w:t>
      </w:r>
    </w:p>
    <w:p w14:paraId="052161A3" w14:textId="77B83B74" w:rsidR="00591233" w:rsidRPr="00F624F3" w:rsidRDefault="00591233" w:rsidP="00591233">
      <w:pPr>
        <w:numPr>
          <w:ilvl w:val="0"/>
          <w:numId w:val="1"/>
        </w:numPr>
        <w:tabs>
          <w:tab w:val="clear" w:pos="360"/>
          <w:tab w:val="num" w:pos="1077"/>
        </w:tabs>
        <w:spacing w:before="80" w:after="80" w:line="240" w:lineRule="auto"/>
        <w:ind w:left="1077" w:hanging="283"/>
      </w:pPr>
      <w:r w:rsidRPr="00F624F3">
        <w:t>any individual procurement activity that</w:t>
      </w:r>
    </w:p>
    <w:p w14:paraId="6CAB6016" w14:textId="29AFB9D3" w:rsidR="00591233" w:rsidRPr="00F624F3" w:rsidRDefault="00591233" w:rsidP="00591233">
      <w:pPr>
        <w:numPr>
          <w:ilvl w:val="1"/>
          <w:numId w:val="1"/>
        </w:numPr>
        <w:tabs>
          <w:tab w:val="clear" w:pos="720"/>
          <w:tab w:val="num" w:pos="1361"/>
        </w:tabs>
        <w:spacing w:before="80" w:after="80" w:line="240" w:lineRule="auto"/>
        <w:ind w:left="1361" w:hanging="284"/>
      </w:pPr>
      <w:r w:rsidRPr="00F624F3">
        <w:t xml:space="preserve">does not fall into a category of </w:t>
      </w:r>
      <w:proofErr w:type="gramStart"/>
      <w:r w:rsidRPr="00F624F3">
        <w:t>procurement</w:t>
      </w:r>
      <w:proofErr w:type="gramEnd"/>
    </w:p>
    <w:p w14:paraId="05921CD7" w14:textId="0E0F95B4" w:rsidR="00591233" w:rsidRPr="00F624F3" w:rsidRDefault="00591233" w:rsidP="00591233">
      <w:pPr>
        <w:numPr>
          <w:ilvl w:val="1"/>
          <w:numId w:val="1"/>
        </w:numPr>
        <w:tabs>
          <w:tab w:val="clear" w:pos="720"/>
          <w:tab w:val="num" w:pos="1361"/>
        </w:tabs>
        <w:spacing w:before="80" w:after="80" w:line="240" w:lineRule="auto"/>
        <w:ind w:left="1361" w:hanging="284"/>
      </w:pPr>
      <w:r w:rsidRPr="00F624F3">
        <w:t xml:space="preserve">is strategic or high risk to the business of the </w:t>
      </w:r>
      <w:proofErr w:type="gramStart"/>
      <w:r w:rsidRPr="00F624F3">
        <w:t>organisation</w:t>
      </w:r>
      <w:proofErr w:type="gramEnd"/>
    </w:p>
    <w:p w14:paraId="5169067F" w14:textId="77777777" w:rsidR="00591233" w:rsidRPr="00F624F3" w:rsidRDefault="00591233" w:rsidP="00591233">
      <w:pPr>
        <w:spacing w:line="240" w:lineRule="auto"/>
        <w:ind w:left="794"/>
      </w:pPr>
      <w:r w:rsidRPr="00F624F3">
        <w:t>Carrying out an assessment of complexity at the category level can identify individual procurement(s) and strategic and high</w:t>
      </w:r>
      <w:r w:rsidRPr="00F624F3">
        <w:noBreakHyphen/>
        <w:t xml:space="preserve">risk procurement(s) that require an individual complexity assessment. </w:t>
      </w:r>
    </w:p>
    <w:p w14:paraId="452B1E49" w14:textId="77777777" w:rsidR="00591233" w:rsidRPr="00F624F3" w:rsidRDefault="00591233" w:rsidP="00591233">
      <w:pPr>
        <w:spacing w:line="240" w:lineRule="auto"/>
        <w:ind w:left="794"/>
      </w:pPr>
      <w:r w:rsidRPr="00F624F3">
        <w:t>An assessment of complexity must:</w:t>
      </w:r>
    </w:p>
    <w:p w14:paraId="2235C2CB" w14:textId="13D51E62"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identify and measure the internal and external factors that affect the </w:t>
      </w:r>
      <w:proofErr w:type="gramStart"/>
      <w:r w:rsidRPr="00F624F3">
        <w:t>procurement</w:t>
      </w:r>
      <w:proofErr w:type="gramEnd"/>
    </w:p>
    <w:p w14:paraId="037EAB49" w14:textId="71FB45DA"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set out the characteristics of the good or service being </w:t>
      </w:r>
      <w:proofErr w:type="gramStart"/>
      <w:r w:rsidRPr="00F624F3">
        <w:t>purchased</w:t>
      </w:r>
      <w:proofErr w:type="gramEnd"/>
    </w:p>
    <w:p w14:paraId="2D7DB236" w14:textId="4FB3BB7F"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assess the capacity, capability and motivation of the market to supply the goods or </w:t>
      </w:r>
      <w:proofErr w:type="gramStart"/>
      <w:r w:rsidRPr="00F624F3">
        <w:t>service</w:t>
      </w:r>
      <w:proofErr w:type="gramEnd"/>
    </w:p>
    <w:p w14:paraId="4A2A9F47" w14:textId="3D2CE85B" w:rsidR="00591233" w:rsidRPr="00F624F3" w:rsidRDefault="00591233" w:rsidP="00591233">
      <w:pPr>
        <w:numPr>
          <w:ilvl w:val="0"/>
          <w:numId w:val="1"/>
        </w:numPr>
        <w:tabs>
          <w:tab w:val="clear" w:pos="360"/>
          <w:tab w:val="num" w:pos="1077"/>
        </w:tabs>
        <w:spacing w:before="80" w:after="80" w:line="240" w:lineRule="auto"/>
        <w:ind w:left="1077" w:hanging="283"/>
      </w:pPr>
      <w:r w:rsidRPr="00F624F3">
        <w:t>set out the value created by the procurement to the organisation and analyse opportunities to improve value</w:t>
      </w:r>
      <w:r w:rsidRPr="00F624F3">
        <w:noBreakHyphen/>
        <w:t>for</w:t>
      </w:r>
      <w:r w:rsidRPr="00F624F3">
        <w:noBreakHyphen/>
      </w:r>
      <w:proofErr w:type="gramStart"/>
      <w:r w:rsidRPr="00F624F3">
        <w:t>money</w:t>
      </w:r>
      <w:proofErr w:type="gramEnd"/>
    </w:p>
    <w:p w14:paraId="602D4294" w14:textId="7EDAB024"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analyse the potential for aggregating </w:t>
      </w:r>
      <w:proofErr w:type="gramStart"/>
      <w:r w:rsidRPr="00F624F3">
        <w:t>demand</w:t>
      </w:r>
      <w:proofErr w:type="gramEnd"/>
    </w:p>
    <w:p w14:paraId="43601529" w14:textId="3BD60F4B"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analyse the potential within the overall procurement need to improve the opportunities for </w:t>
      </w:r>
      <w:r>
        <w:t>Australia and New Zealand</w:t>
      </w:r>
      <w:r w:rsidRPr="00F624F3">
        <w:t xml:space="preserve"> small to medium enterprises to participate in government </w:t>
      </w:r>
      <w:proofErr w:type="gramStart"/>
      <w:r w:rsidRPr="00F624F3">
        <w:t>procurement</w:t>
      </w:r>
      <w:proofErr w:type="gramEnd"/>
    </w:p>
    <w:p w14:paraId="5818A73A" w14:textId="1E15757B"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investigate the best way to approach the market that is cost effective to suppliers and buyers and considers opportunities for local businesses to </w:t>
      </w:r>
      <w:proofErr w:type="gramStart"/>
      <w:r w:rsidRPr="00F624F3">
        <w:t>participate</w:t>
      </w:r>
      <w:proofErr w:type="gramEnd"/>
    </w:p>
    <w:p w14:paraId="44D43409" w14:textId="77777777" w:rsidR="00591233" w:rsidRDefault="00591233" w:rsidP="00591233">
      <w:pPr>
        <w:spacing w:line="240" w:lineRule="auto"/>
        <w:ind w:left="794"/>
      </w:pPr>
      <w:r w:rsidRPr="00F624F3">
        <w:t xml:space="preserve">The outcome of the complexity assessment will allocate procurement categories and individual procurements into one of four quadrants of complexity. </w:t>
      </w:r>
    </w:p>
    <w:p w14:paraId="1BDD208D" w14:textId="77777777" w:rsidR="00591233" w:rsidRPr="00F624F3" w:rsidRDefault="00591233" w:rsidP="00591233">
      <w:pPr>
        <w:spacing w:line="240" w:lineRule="auto"/>
        <w:ind w:left="794"/>
      </w:pPr>
    </w:p>
    <w:tbl>
      <w:tblPr>
        <w:tblW w:w="8059" w:type="dxa"/>
        <w:tblInd w:w="851" w:type="dxa"/>
        <w:tblBorders>
          <w:bottom w:val="single" w:sz="4" w:space="0" w:color="404040"/>
          <w:insideH w:val="single" w:sz="4" w:space="0" w:color="404040"/>
        </w:tblBorders>
        <w:tblCellMar>
          <w:left w:w="57" w:type="dxa"/>
          <w:right w:w="57" w:type="dxa"/>
        </w:tblCellMar>
        <w:tblLook w:val="01E0" w:firstRow="1" w:lastRow="1" w:firstColumn="1" w:lastColumn="1" w:noHBand="0" w:noVBand="0"/>
      </w:tblPr>
      <w:tblGrid>
        <w:gridCol w:w="356"/>
        <w:gridCol w:w="1206"/>
        <w:gridCol w:w="6497"/>
      </w:tblGrid>
      <w:tr w:rsidR="00591233" w:rsidRPr="00F624F3" w14:paraId="28CA710E" w14:textId="77777777" w:rsidTr="00EE2704">
        <w:trPr>
          <w:cantSplit/>
        </w:trPr>
        <w:tc>
          <w:tcPr>
            <w:tcW w:w="356" w:type="dxa"/>
            <w:tcBorders>
              <w:top w:val="nil"/>
              <w:left w:val="nil"/>
              <w:bottom w:val="single" w:sz="4" w:space="0" w:color="404040"/>
              <w:right w:val="nil"/>
            </w:tcBorders>
            <w:shd w:val="clear" w:color="auto" w:fill="660B68"/>
          </w:tcPr>
          <w:p w14:paraId="0D368E8D" w14:textId="77777777" w:rsidR="00591233" w:rsidRPr="00F624F3" w:rsidRDefault="00591233" w:rsidP="00EE2704">
            <w:pPr>
              <w:keepNext/>
              <w:spacing w:before="40" w:after="40" w:line="240" w:lineRule="auto"/>
              <w:rPr>
                <w:color w:val="FFFFFF" w:themeColor="background1"/>
                <w:sz w:val="24"/>
              </w:rPr>
            </w:pPr>
          </w:p>
        </w:tc>
        <w:tc>
          <w:tcPr>
            <w:tcW w:w="1206" w:type="dxa"/>
            <w:tcBorders>
              <w:top w:val="nil"/>
              <w:left w:val="nil"/>
              <w:bottom w:val="single" w:sz="4" w:space="0" w:color="404040"/>
              <w:right w:val="nil"/>
            </w:tcBorders>
            <w:shd w:val="clear" w:color="auto" w:fill="660B68"/>
            <w:hideMark/>
          </w:tcPr>
          <w:p w14:paraId="01077C16" w14:textId="77777777" w:rsidR="00591233" w:rsidRPr="00F624F3" w:rsidRDefault="00591233" w:rsidP="00EE2704">
            <w:pPr>
              <w:keepNext/>
              <w:spacing w:before="40" w:after="40" w:line="240" w:lineRule="auto"/>
              <w:rPr>
                <w:color w:val="FFFFFF" w:themeColor="background1"/>
                <w:sz w:val="24"/>
              </w:rPr>
            </w:pPr>
            <w:r w:rsidRPr="00F624F3">
              <w:rPr>
                <w:color w:val="FFFFFF" w:themeColor="background1"/>
                <w:sz w:val="24"/>
              </w:rPr>
              <w:t>Quadrant</w:t>
            </w:r>
          </w:p>
        </w:tc>
        <w:tc>
          <w:tcPr>
            <w:tcW w:w="6497" w:type="dxa"/>
            <w:tcBorders>
              <w:top w:val="nil"/>
              <w:left w:val="nil"/>
              <w:bottom w:val="single" w:sz="4" w:space="0" w:color="404040"/>
              <w:right w:val="nil"/>
            </w:tcBorders>
            <w:shd w:val="clear" w:color="auto" w:fill="660B68"/>
            <w:hideMark/>
          </w:tcPr>
          <w:p w14:paraId="173008B3" w14:textId="77777777" w:rsidR="00591233" w:rsidRPr="00F624F3" w:rsidRDefault="00591233" w:rsidP="00EE2704">
            <w:pPr>
              <w:keepNext/>
              <w:spacing w:before="40" w:after="40" w:line="240" w:lineRule="auto"/>
              <w:rPr>
                <w:color w:val="FFFFFF" w:themeColor="background1"/>
                <w:sz w:val="24"/>
              </w:rPr>
            </w:pPr>
            <w:r w:rsidRPr="00F624F3">
              <w:rPr>
                <w:color w:val="FFFFFF" w:themeColor="background1"/>
                <w:sz w:val="24"/>
              </w:rPr>
              <w:t>Description (example only)</w:t>
            </w:r>
          </w:p>
        </w:tc>
      </w:tr>
      <w:tr w:rsidR="00591233" w:rsidRPr="00F624F3" w14:paraId="24516E91" w14:textId="77777777" w:rsidTr="00EE2704">
        <w:trPr>
          <w:cantSplit/>
        </w:trPr>
        <w:tc>
          <w:tcPr>
            <w:tcW w:w="356" w:type="dxa"/>
            <w:tcBorders>
              <w:top w:val="single" w:sz="4" w:space="0" w:color="404040"/>
              <w:left w:val="nil"/>
              <w:bottom w:val="single" w:sz="4" w:space="0" w:color="404040"/>
              <w:right w:val="nil"/>
            </w:tcBorders>
            <w:shd w:val="clear" w:color="auto" w:fill="D9D9D9"/>
            <w:hideMark/>
          </w:tcPr>
          <w:p w14:paraId="795FE3A3" w14:textId="77777777" w:rsidR="00591233" w:rsidRPr="00F624F3" w:rsidRDefault="00591233" w:rsidP="00EE2704">
            <w:pPr>
              <w:spacing w:before="20" w:after="20" w:line="240" w:lineRule="auto"/>
              <w:rPr>
                <w:color w:val="4C4C4C"/>
                <w:sz w:val="20"/>
              </w:rPr>
            </w:pPr>
            <w:r w:rsidRPr="00F624F3">
              <w:rPr>
                <w:color w:val="4C4C4C"/>
                <w:sz w:val="20"/>
              </w:rPr>
              <w:t>1</w:t>
            </w:r>
          </w:p>
        </w:tc>
        <w:tc>
          <w:tcPr>
            <w:tcW w:w="1206" w:type="dxa"/>
            <w:tcBorders>
              <w:top w:val="single" w:sz="4" w:space="0" w:color="404040"/>
              <w:left w:val="nil"/>
              <w:bottom w:val="single" w:sz="4" w:space="0" w:color="404040"/>
              <w:right w:val="nil"/>
            </w:tcBorders>
            <w:hideMark/>
          </w:tcPr>
          <w:p w14:paraId="6EACD996" w14:textId="77777777" w:rsidR="00591233" w:rsidRPr="00F624F3" w:rsidRDefault="00591233" w:rsidP="00EE2704">
            <w:pPr>
              <w:spacing w:before="20" w:after="20" w:line="240" w:lineRule="auto"/>
              <w:rPr>
                <w:sz w:val="20"/>
              </w:rPr>
            </w:pPr>
            <w:r w:rsidRPr="00F624F3">
              <w:rPr>
                <w:sz w:val="20"/>
              </w:rPr>
              <w:t>Transactional</w:t>
            </w:r>
          </w:p>
        </w:tc>
        <w:tc>
          <w:tcPr>
            <w:tcW w:w="6497" w:type="dxa"/>
            <w:tcBorders>
              <w:top w:val="single" w:sz="4" w:space="0" w:color="404040"/>
              <w:left w:val="nil"/>
              <w:bottom w:val="single" w:sz="4" w:space="0" w:color="404040"/>
              <w:right w:val="nil"/>
            </w:tcBorders>
            <w:hideMark/>
          </w:tcPr>
          <w:p w14:paraId="78245157" w14:textId="77777777" w:rsidR="00591233" w:rsidRPr="00F624F3" w:rsidRDefault="00591233" w:rsidP="00EE2704">
            <w:pPr>
              <w:spacing w:before="20" w:after="20" w:line="240" w:lineRule="auto"/>
              <w:rPr>
                <w:sz w:val="20"/>
              </w:rPr>
            </w:pPr>
            <w:r w:rsidRPr="00F624F3">
              <w:rPr>
                <w:sz w:val="20"/>
              </w:rPr>
              <w:t>Small value and low</w:t>
            </w:r>
            <w:r w:rsidRPr="00F624F3">
              <w:rPr>
                <w:sz w:val="20"/>
              </w:rPr>
              <w:noBreakHyphen/>
              <w:t xml:space="preserve">risk transactions where approved suppliers (e.g. state purchase contracts) are not available. </w:t>
            </w:r>
          </w:p>
        </w:tc>
      </w:tr>
      <w:tr w:rsidR="00591233" w:rsidRPr="00F624F3" w14:paraId="61335C4E" w14:textId="77777777" w:rsidTr="00EE2704">
        <w:trPr>
          <w:cantSplit/>
        </w:trPr>
        <w:tc>
          <w:tcPr>
            <w:tcW w:w="356" w:type="dxa"/>
            <w:tcBorders>
              <w:top w:val="single" w:sz="4" w:space="0" w:color="404040"/>
              <w:left w:val="nil"/>
              <w:bottom w:val="single" w:sz="4" w:space="0" w:color="404040"/>
              <w:right w:val="nil"/>
            </w:tcBorders>
            <w:shd w:val="clear" w:color="auto" w:fill="D9D9D9"/>
            <w:hideMark/>
          </w:tcPr>
          <w:p w14:paraId="630B832C" w14:textId="77777777" w:rsidR="00591233" w:rsidRPr="00F624F3" w:rsidRDefault="00591233" w:rsidP="00EE2704">
            <w:pPr>
              <w:spacing w:before="20" w:after="20" w:line="240" w:lineRule="auto"/>
              <w:rPr>
                <w:color w:val="4C4C4C"/>
                <w:sz w:val="20"/>
              </w:rPr>
            </w:pPr>
            <w:r w:rsidRPr="00F624F3">
              <w:rPr>
                <w:color w:val="4C4C4C"/>
                <w:sz w:val="20"/>
              </w:rPr>
              <w:t>2</w:t>
            </w:r>
          </w:p>
        </w:tc>
        <w:tc>
          <w:tcPr>
            <w:tcW w:w="1206" w:type="dxa"/>
            <w:tcBorders>
              <w:top w:val="single" w:sz="4" w:space="0" w:color="404040"/>
              <w:left w:val="nil"/>
              <w:bottom w:val="single" w:sz="4" w:space="0" w:color="404040"/>
              <w:right w:val="nil"/>
            </w:tcBorders>
            <w:shd w:val="clear" w:color="auto" w:fill="E0E0E0"/>
            <w:hideMark/>
          </w:tcPr>
          <w:p w14:paraId="4BB4084C" w14:textId="77777777" w:rsidR="00591233" w:rsidRPr="00F624F3" w:rsidRDefault="00591233" w:rsidP="00EE2704">
            <w:pPr>
              <w:spacing w:before="20" w:after="20" w:line="240" w:lineRule="auto"/>
              <w:rPr>
                <w:sz w:val="20"/>
              </w:rPr>
            </w:pPr>
            <w:r w:rsidRPr="00F624F3">
              <w:rPr>
                <w:sz w:val="20"/>
              </w:rPr>
              <w:t>Leveraged</w:t>
            </w:r>
          </w:p>
        </w:tc>
        <w:tc>
          <w:tcPr>
            <w:tcW w:w="6497" w:type="dxa"/>
            <w:tcBorders>
              <w:top w:val="single" w:sz="4" w:space="0" w:color="404040"/>
              <w:left w:val="nil"/>
              <w:bottom w:val="single" w:sz="4" w:space="0" w:color="404040"/>
              <w:right w:val="nil"/>
            </w:tcBorders>
            <w:shd w:val="clear" w:color="auto" w:fill="E0E0E0"/>
            <w:hideMark/>
          </w:tcPr>
          <w:p w14:paraId="54AF393B" w14:textId="77777777" w:rsidR="00591233" w:rsidRPr="00F624F3" w:rsidRDefault="00591233" w:rsidP="00EE2704">
            <w:pPr>
              <w:spacing w:before="20" w:after="20" w:line="240" w:lineRule="auto"/>
              <w:rPr>
                <w:sz w:val="20"/>
              </w:rPr>
            </w:pPr>
            <w:r w:rsidRPr="00F624F3">
              <w:rPr>
                <w:sz w:val="20"/>
              </w:rPr>
              <w:t xml:space="preserve">Frequently used goods/services in a competitive marketplace that are procured by an individual department or whole of government, where the organisation </w:t>
            </w:r>
            <w:proofErr w:type="gramStart"/>
            <w:r w:rsidRPr="00F624F3">
              <w:rPr>
                <w:sz w:val="20"/>
              </w:rPr>
              <w:t>has the ability to</w:t>
            </w:r>
            <w:proofErr w:type="gramEnd"/>
            <w:r w:rsidRPr="00F624F3">
              <w:rPr>
                <w:sz w:val="20"/>
              </w:rPr>
              <w:t xml:space="preserve"> drive value.</w:t>
            </w:r>
          </w:p>
        </w:tc>
      </w:tr>
      <w:tr w:rsidR="00591233" w:rsidRPr="00F624F3" w14:paraId="33A113D9" w14:textId="77777777" w:rsidTr="00EE2704">
        <w:trPr>
          <w:cantSplit/>
        </w:trPr>
        <w:tc>
          <w:tcPr>
            <w:tcW w:w="356" w:type="dxa"/>
            <w:tcBorders>
              <w:top w:val="single" w:sz="4" w:space="0" w:color="404040"/>
              <w:left w:val="nil"/>
              <w:bottom w:val="single" w:sz="4" w:space="0" w:color="404040"/>
              <w:right w:val="nil"/>
            </w:tcBorders>
            <w:shd w:val="clear" w:color="auto" w:fill="D9D9D9"/>
            <w:hideMark/>
          </w:tcPr>
          <w:p w14:paraId="0A690E4E" w14:textId="77777777" w:rsidR="00591233" w:rsidRPr="00F624F3" w:rsidRDefault="00591233" w:rsidP="00EE2704">
            <w:pPr>
              <w:spacing w:before="20" w:after="20" w:line="240" w:lineRule="auto"/>
              <w:rPr>
                <w:color w:val="4C4C4C"/>
                <w:sz w:val="20"/>
              </w:rPr>
            </w:pPr>
            <w:r w:rsidRPr="00F624F3">
              <w:rPr>
                <w:color w:val="4C4C4C"/>
                <w:sz w:val="20"/>
              </w:rPr>
              <w:t>3</w:t>
            </w:r>
          </w:p>
        </w:tc>
        <w:tc>
          <w:tcPr>
            <w:tcW w:w="1206" w:type="dxa"/>
            <w:tcBorders>
              <w:top w:val="single" w:sz="4" w:space="0" w:color="404040"/>
              <w:left w:val="nil"/>
              <w:bottom w:val="single" w:sz="4" w:space="0" w:color="404040"/>
              <w:right w:val="nil"/>
            </w:tcBorders>
            <w:hideMark/>
          </w:tcPr>
          <w:p w14:paraId="7B568460" w14:textId="77777777" w:rsidR="00591233" w:rsidRPr="00F624F3" w:rsidRDefault="00591233" w:rsidP="00EE2704">
            <w:pPr>
              <w:spacing w:before="20" w:after="20" w:line="240" w:lineRule="auto"/>
              <w:rPr>
                <w:sz w:val="20"/>
              </w:rPr>
            </w:pPr>
            <w:r w:rsidRPr="00F624F3">
              <w:rPr>
                <w:sz w:val="20"/>
              </w:rPr>
              <w:t>Focused</w:t>
            </w:r>
          </w:p>
        </w:tc>
        <w:tc>
          <w:tcPr>
            <w:tcW w:w="6497" w:type="dxa"/>
            <w:tcBorders>
              <w:top w:val="single" w:sz="4" w:space="0" w:color="404040"/>
              <w:left w:val="nil"/>
              <w:bottom w:val="single" w:sz="4" w:space="0" w:color="404040"/>
              <w:right w:val="nil"/>
            </w:tcBorders>
            <w:hideMark/>
          </w:tcPr>
          <w:p w14:paraId="41214000" w14:textId="77777777" w:rsidR="00591233" w:rsidRPr="00F624F3" w:rsidRDefault="00591233" w:rsidP="00EE2704">
            <w:pPr>
              <w:spacing w:before="20" w:after="20" w:line="240" w:lineRule="auto"/>
              <w:rPr>
                <w:sz w:val="20"/>
              </w:rPr>
            </w:pPr>
            <w:r w:rsidRPr="00F624F3">
              <w:rPr>
                <w:sz w:val="20"/>
              </w:rPr>
              <w:t>Procured goods/services where a limited number of suppliers are available or where novel commercial arrangements are in place. May include whole of government contracts.</w:t>
            </w:r>
          </w:p>
        </w:tc>
      </w:tr>
      <w:tr w:rsidR="00591233" w:rsidRPr="00F624F3" w14:paraId="545C9AB4" w14:textId="77777777" w:rsidTr="00EE2704">
        <w:trPr>
          <w:cantSplit/>
        </w:trPr>
        <w:tc>
          <w:tcPr>
            <w:tcW w:w="356" w:type="dxa"/>
            <w:tcBorders>
              <w:top w:val="single" w:sz="4" w:space="0" w:color="404040"/>
              <w:left w:val="nil"/>
              <w:bottom w:val="single" w:sz="4" w:space="0" w:color="404040"/>
              <w:right w:val="nil"/>
            </w:tcBorders>
            <w:shd w:val="clear" w:color="auto" w:fill="D9D9D9"/>
            <w:hideMark/>
          </w:tcPr>
          <w:p w14:paraId="45832920" w14:textId="77777777" w:rsidR="00591233" w:rsidRPr="00F624F3" w:rsidRDefault="00591233" w:rsidP="00EE2704">
            <w:pPr>
              <w:spacing w:before="20" w:after="20" w:line="240" w:lineRule="auto"/>
              <w:rPr>
                <w:color w:val="4C4C4C"/>
                <w:sz w:val="20"/>
              </w:rPr>
            </w:pPr>
            <w:r w:rsidRPr="00F624F3">
              <w:rPr>
                <w:color w:val="4C4C4C"/>
                <w:sz w:val="20"/>
              </w:rPr>
              <w:t>4</w:t>
            </w:r>
          </w:p>
        </w:tc>
        <w:tc>
          <w:tcPr>
            <w:tcW w:w="1206" w:type="dxa"/>
            <w:tcBorders>
              <w:top w:val="single" w:sz="4" w:space="0" w:color="404040"/>
              <w:left w:val="nil"/>
              <w:bottom w:val="single" w:sz="4" w:space="0" w:color="404040"/>
              <w:right w:val="nil"/>
            </w:tcBorders>
            <w:shd w:val="clear" w:color="auto" w:fill="E0E0E0"/>
            <w:hideMark/>
          </w:tcPr>
          <w:p w14:paraId="53CD7A6E" w14:textId="77777777" w:rsidR="00591233" w:rsidRPr="00F624F3" w:rsidRDefault="00591233" w:rsidP="00EE2704">
            <w:pPr>
              <w:spacing w:before="20" w:after="20" w:line="240" w:lineRule="auto"/>
              <w:rPr>
                <w:sz w:val="20"/>
              </w:rPr>
            </w:pPr>
            <w:r w:rsidRPr="00F624F3">
              <w:rPr>
                <w:sz w:val="20"/>
              </w:rPr>
              <w:t>Strategic</w:t>
            </w:r>
          </w:p>
        </w:tc>
        <w:tc>
          <w:tcPr>
            <w:tcW w:w="6497" w:type="dxa"/>
            <w:tcBorders>
              <w:top w:val="single" w:sz="4" w:space="0" w:color="404040"/>
              <w:left w:val="nil"/>
              <w:bottom w:val="single" w:sz="4" w:space="0" w:color="404040"/>
              <w:right w:val="nil"/>
            </w:tcBorders>
            <w:shd w:val="clear" w:color="auto" w:fill="E0E0E0"/>
            <w:hideMark/>
          </w:tcPr>
          <w:p w14:paraId="0CDEA495" w14:textId="77777777" w:rsidR="00591233" w:rsidRPr="00F624F3" w:rsidRDefault="00591233" w:rsidP="00EE2704">
            <w:pPr>
              <w:spacing w:before="20" w:after="20" w:line="240" w:lineRule="auto"/>
              <w:rPr>
                <w:sz w:val="20"/>
              </w:rPr>
            </w:pPr>
            <w:r w:rsidRPr="00F624F3">
              <w:rPr>
                <w:sz w:val="20"/>
              </w:rPr>
              <w:t xml:space="preserve">Goods/services in a competitive market that are high value, where business criticality is high, and/or where the good/service is of State significance. May include whole of government contracts. </w:t>
            </w:r>
          </w:p>
        </w:tc>
      </w:tr>
    </w:tbl>
    <w:p w14:paraId="7FA7DC87" w14:textId="77777777" w:rsidR="00591233" w:rsidRPr="00F624F3" w:rsidRDefault="00591233" w:rsidP="00591233">
      <w:pPr>
        <w:spacing w:before="0" w:after="0" w:line="240" w:lineRule="auto"/>
      </w:pPr>
    </w:p>
    <w:p w14:paraId="65C431E2" w14:textId="77777777" w:rsidR="00591233" w:rsidRDefault="00591233" w:rsidP="00591233">
      <w:pPr>
        <w:spacing w:line="240" w:lineRule="auto"/>
        <w:ind w:left="794"/>
      </w:pPr>
    </w:p>
    <w:p w14:paraId="32BA9B45" w14:textId="77777777" w:rsidR="00591233" w:rsidRDefault="00591233" w:rsidP="00591233">
      <w:pPr>
        <w:spacing w:line="240" w:lineRule="auto"/>
        <w:ind w:left="794"/>
      </w:pPr>
    </w:p>
    <w:p w14:paraId="3BE37CAF" w14:textId="77777777" w:rsidR="00591233" w:rsidRPr="00F624F3" w:rsidRDefault="00591233" w:rsidP="00591233">
      <w:pPr>
        <w:spacing w:line="240" w:lineRule="auto"/>
        <w:ind w:left="794"/>
      </w:pPr>
      <w:r w:rsidRPr="00F624F3">
        <w:lastRenderedPageBreak/>
        <w:t xml:space="preserve">The chief procurement officer is to be consulted when determining the optimal approach to market for any procurement identified as strategic or high risk to the organisation. </w:t>
      </w:r>
    </w:p>
    <w:p w14:paraId="21331E84" w14:textId="4471D245" w:rsidR="00591233" w:rsidRPr="00F624F3" w:rsidRDefault="00591233" w:rsidP="00591233">
      <w:pPr>
        <w:spacing w:line="240" w:lineRule="auto"/>
        <w:ind w:left="794"/>
      </w:pPr>
      <w:r w:rsidRPr="00F624F3">
        <w:t>Organisations are not required to assess</w:t>
      </w:r>
      <w:r w:rsidR="00A01B12">
        <w:t xml:space="preserve"> the</w:t>
      </w:r>
      <w:r w:rsidRPr="00F624F3">
        <w:t xml:space="preserve"> complexity of a procurement activity </w:t>
      </w:r>
      <w:r w:rsidR="00A01B12">
        <w:t>when using a standing offer that</w:t>
      </w:r>
      <w:r w:rsidRPr="00F624F3">
        <w:t xml:space="preserve"> is a sole supplier arrangement.</w:t>
      </w:r>
    </w:p>
    <w:p w14:paraId="412678BB" w14:textId="77777777" w:rsidR="00591233" w:rsidRPr="00175B27" w:rsidRDefault="00591233" w:rsidP="00591233">
      <w:pPr>
        <w:pStyle w:val="ListParagraph"/>
        <w:keepNext/>
        <w:keepLines/>
        <w:pageBreakBefore/>
        <w:numPr>
          <w:ilvl w:val="0"/>
          <w:numId w:val="8"/>
        </w:numPr>
        <w:spacing w:before="0" w:after="360" w:line="216" w:lineRule="auto"/>
        <w:outlineLvl w:val="0"/>
        <w:rPr>
          <w:color w:val="404040"/>
          <w:sz w:val="40"/>
          <w:lang w:eastAsia="en-US"/>
        </w:rPr>
      </w:pPr>
      <w:bookmarkStart w:id="17" w:name="_Toc413924136"/>
      <w:bookmarkStart w:id="18" w:name="_Toc413937026"/>
      <w:bookmarkStart w:id="19" w:name="_Toc61971444"/>
      <w:r w:rsidRPr="00175B27">
        <w:rPr>
          <w:color w:val="404040"/>
          <w:sz w:val="40"/>
          <w:lang w:eastAsia="en-US"/>
        </w:rPr>
        <w:lastRenderedPageBreak/>
        <w:t xml:space="preserve">Capability </w:t>
      </w:r>
      <w:bookmarkStart w:id="20" w:name="_Toc323210287"/>
      <w:r w:rsidRPr="00175B27">
        <w:rPr>
          <w:color w:val="404040"/>
          <w:sz w:val="40"/>
          <w:lang w:eastAsia="en-US"/>
        </w:rPr>
        <w:t>assessment</w:t>
      </w:r>
      <w:bookmarkEnd w:id="17"/>
      <w:bookmarkEnd w:id="18"/>
      <w:bookmarkEnd w:id="19"/>
    </w:p>
    <w:p w14:paraId="7BF28269" w14:textId="77777777" w:rsidR="00591233" w:rsidRPr="00F624F3" w:rsidRDefault="00591233" w:rsidP="00591233">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bookmarkStart w:id="21" w:name="_Toc413924137"/>
      <w:bookmarkStart w:id="22" w:name="_Toc413937027"/>
      <w:bookmarkEnd w:id="20"/>
      <w:r>
        <w:rPr>
          <w:color w:val="4D4D4D"/>
          <w:sz w:val="32"/>
          <w:lang w:eastAsia="en-US"/>
        </w:rPr>
        <w:t>2.1</w:t>
      </w:r>
      <w:r>
        <w:rPr>
          <w:color w:val="4D4D4D"/>
          <w:sz w:val="32"/>
          <w:lang w:eastAsia="en-US"/>
        </w:rPr>
        <w:tab/>
      </w:r>
      <w:r w:rsidRPr="00F624F3">
        <w:rPr>
          <w:color w:val="4D4D4D"/>
          <w:sz w:val="32"/>
          <w:lang w:eastAsia="en-US"/>
        </w:rPr>
        <w:t>Mandatory requirements for a capability assessment</w:t>
      </w:r>
      <w:bookmarkEnd w:id="21"/>
      <w:bookmarkEnd w:id="22"/>
    </w:p>
    <w:p w14:paraId="2181E63D" w14:textId="77777777" w:rsidR="00591233" w:rsidRPr="00F624F3" w:rsidRDefault="00591233" w:rsidP="00591233">
      <w:pPr>
        <w:spacing w:line="240" w:lineRule="auto"/>
        <w:ind w:left="794"/>
      </w:pPr>
      <w:r w:rsidRPr="00F624F3">
        <w:t xml:space="preserve">The accountable officer must ensure that the organisation has an appropriate level of procurement expertise, resources, </w:t>
      </w:r>
      <w:proofErr w:type="gramStart"/>
      <w:r w:rsidRPr="00F624F3">
        <w:t>systems</w:t>
      </w:r>
      <w:proofErr w:type="gramEnd"/>
      <w:r w:rsidRPr="00F624F3">
        <w:t xml:space="preserve"> and processes that enable procurement activities to be completed successfully.</w:t>
      </w:r>
    </w:p>
    <w:p w14:paraId="0F6A81D0" w14:textId="77777777" w:rsidR="00591233" w:rsidRPr="00F624F3" w:rsidRDefault="00591233" w:rsidP="00591233">
      <w:pPr>
        <w:spacing w:line="240" w:lineRule="auto"/>
        <w:ind w:left="794"/>
      </w:pPr>
      <w:r w:rsidRPr="00F624F3">
        <w:t>The assessment of capability must:</w:t>
      </w:r>
    </w:p>
    <w:p w14:paraId="0402BF44" w14:textId="3CC272AC"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be carried out by people with appropriate knowledge and </w:t>
      </w:r>
      <w:proofErr w:type="gramStart"/>
      <w:r w:rsidRPr="00F624F3">
        <w:t>expertise</w:t>
      </w:r>
      <w:proofErr w:type="gramEnd"/>
    </w:p>
    <w:p w14:paraId="787037BE" w14:textId="33CF141A"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identify the capabilities needed to carry out </w:t>
      </w:r>
      <w:proofErr w:type="gramStart"/>
      <w:r w:rsidRPr="00F624F3">
        <w:t>procurements</w:t>
      </w:r>
      <w:proofErr w:type="gramEnd"/>
    </w:p>
    <w:p w14:paraId="04175C07" w14:textId="2A42F9EC" w:rsidR="00591233" w:rsidRPr="00F624F3" w:rsidRDefault="00591233" w:rsidP="00591233">
      <w:pPr>
        <w:numPr>
          <w:ilvl w:val="0"/>
          <w:numId w:val="1"/>
        </w:numPr>
        <w:tabs>
          <w:tab w:val="clear" w:pos="360"/>
          <w:tab w:val="num" w:pos="1077"/>
        </w:tabs>
        <w:spacing w:before="80" w:after="80" w:line="240" w:lineRule="auto"/>
        <w:ind w:left="1077" w:hanging="283"/>
      </w:pPr>
      <w:r w:rsidRPr="00F624F3">
        <w:t xml:space="preserve">identify whether the capabilities in the organisation need to be developed or supplemented to undertake </w:t>
      </w:r>
      <w:proofErr w:type="gramStart"/>
      <w:r w:rsidRPr="00F624F3">
        <w:t>procurement</w:t>
      </w:r>
      <w:proofErr w:type="gramEnd"/>
    </w:p>
    <w:p w14:paraId="0F323085" w14:textId="77777777" w:rsidR="00591233" w:rsidRDefault="00591233" w:rsidP="00591233">
      <w:pPr>
        <w:spacing w:line="240" w:lineRule="auto"/>
        <w:ind w:left="794"/>
      </w:pPr>
      <w:r w:rsidRPr="00F624F3">
        <w:t xml:space="preserve">An assessment of capability may be based on the whole organisation or based on </w:t>
      </w:r>
      <w:proofErr w:type="gramStart"/>
      <w:r w:rsidRPr="00F624F3">
        <w:t>particular business</w:t>
      </w:r>
      <w:proofErr w:type="gramEnd"/>
      <w:r w:rsidRPr="00F624F3">
        <w:t xml:space="preserve"> units.</w:t>
      </w:r>
    </w:p>
    <w:p w14:paraId="137C05BB" w14:textId="77777777" w:rsidR="00591233" w:rsidRDefault="00591233" w:rsidP="00591233">
      <w:pPr>
        <w:spacing w:line="240" w:lineRule="auto"/>
        <w:ind w:left="794"/>
      </w:pPr>
      <w:r w:rsidRPr="00F624F3">
        <w:t>Your organisation must not carry out procurement where there is an insufficient level of capability.</w:t>
      </w:r>
    </w:p>
    <w:p w14:paraId="17F49F3E" w14:textId="77777777" w:rsidR="00591233" w:rsidRDefault="00591233" w:rsidP="00591233">
      <w:pPr>
        <w:spacing w:line="240" w:lineRule="auto"/>
        <w:ind w:left="794"/>
      </w:pPr>
      <w:r w:rsidRPr="00F624F3">
        <w:t xml:space="preserve">Refer to the </w:t>
      </w:r>
      <w:r w:rsidRPr="00F624F3">
        <w:rPr>
          <w:i/>
        </w:rPr>
        <w:t>Governance policy</w:t>
      </w:r>
      <w:r w:rsidRPr="00F624F3">
        <w:t xml:space="preserve"> for more information on roles and responsibilities.</w:t>
      </w:r>
    </w:p>
    <w:p w14:paraId="1E8DCBDE" w14:textId="77777777" w:rsidR="00591233" w:rsidRDefault="00591233" w:rsidP="00591233">
      <w:pPr>
        <w:spacing w:before="0" w:after="200" w:line="276" w:lineRule="auto"/>
      </w:pPr>
    </w:p>
    <w:p w14:paraId="40D2BBEB" w14:textId="77777777" w:rsidR="00591233" w:rsidRDefault="00591233" w:rsidP="00591233">
      <w:pPr>
        <w:spacing w:before="0" w:after="200" w:line="276" w:lineRule="auto"/>
      </w:pPr>
    </w:p>
    <w:p w14:paraId="6F801004" w14:textId="77777777" w:rsidR="00591233" w:rsidRDefault="00591233" w:rsidP="00591233">
      <w:pPr>
        <w:spacing w:before="0" w:after="200" w:line="276" w:lineRule="auto"/>
      </w:pPr>
    </w:p>
    <w:p w14:paraId="1EF36E01" w14:textId="77777777" w:rsidR="00591233" w:rsidRDefault="00591233" w:rsidP="00591233">
      <w:pPr>
        <w:spacing w:before="0" w:after="200" w:line="276" w:lineRule="auto"/>
      </w:pPr>
    </w:p>
    <w:p w14:paraId="7BCFDC46" w14:textId="77777777" w:rsidR="00591233" w:rsidRDefault="00591233" w:rsidP="00591233">
      <w:pPr>
        <w:spacing w:before="0" w:after="200" w:line="276" w:lineRule="auto"/>
      </w:pPr>
    </w:p>
    <w:p w14:paraId="7042674E" w14:textId="77777777" w:rsidR="00591233" w:rsidRDefault="00591233" w:rsidP="00591233">
      <w:pPr>
        <w:spacing w:before="0" w:after="200" w:line="276" w:lineRule="auto"/>
      </w:pPr>
    </w:p>
    <w:p w14:paraId="3E822188" w14:textId="77777777" w:rsidR="00591233" w:rsidRDefault="00591233" w:rsidP="00591233">
      <w:pPr>
        <w:spacing w:before="0" w:after="200" w:line="276" w:lineRule="auto"/>
      </w:pPr>
    </w:p>
    <w:p w14:paraId="214D4489" w14:textId="77777777" w:rsidR="00591233" w:rsidRDefault="00591233" w:rsidP="00591233">
      <w:pPr>
        <w:spacing w:before="0" w:after="200" w:line="276" w:lineRule="auto"/>
      </w:pPr>
    </w:p>
    <w:p w14:paraId="0D3E82EF" w14:textId="77777777" w:rsidR="00C976C1" w:rsidRDefault="00C976C1" w:rsidP="00591233">
      <w:pPr>
        <w:spacing w:before="0" w:after="200" w:line="276" w:lineRule="auto"/>
      </w:pPr>
    </w:p>
    <w:p w14:paraId="2C4B055A" w14:textId="77777777" w:rsidR="00591233" w:rsidRDefault="00591233" w:rsidP="008A2FAF">
      <w:pPr>
        <w:spacing w:before="0" w:after="200" w:line="276" w:lineRule="auto"/>
        <w:ind w:left="720"/>
      </w:pPr>
    </w:p>
    <w:p w14:paraId="55190F68" w14:textId="654843A2" w:rsidR="00591233" w:rsidRDefault="00591233" w:rsidP="00C976C1">
      <w:pPr>
        <w:spacing w:before="0"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This policy is one of</w:t>
      </w:r>
      <w:r w:rsidRPr="001E3B8B">
        <w:rPr>
          <w:rFonts w:asciiTheme="minorHAnsi" w:eastAsiaTheme="minorHAnsi" w:hAnsiTheme="minorHAnsi" w:cstheme="minorBidi"/>
          <w:lang w:eastAsia="en-US"/>
        </w:rPr>
        <w:t xml:space="preserve"> five Victorian Government Purchasing Board (VGPB) policies.  </w:t>
      </w:r>
    </w:p>
    <w:p w14:paraId="027C27FD" w14:textId="68A57EE1" w:rsidR="00591233" w:rsidRDefault="00591233" w:rsidP="00591233">
      <w:pPr>
        <w:spacing w:before="0" w:after="200" w:line="276" w:lineRule="auto"/>
        <w:rPr>
          <w:rFonts w:asciiTheme="minorHAnsi" w:eastAsiaTheme="minorHAnsi" w:hAnsiTheme="minorHAnsi" w:cstheme="minorBidi"/>
          <w:lang w:eastAsia="en-US"/>
        </w:rPr>
      </w:pPr>
      <w:r w:rsidRPr="001E3B8B">
        <w:rPr>
          <w:rFonts w:asciiTheme="minorHAnsi" w:eastAsiaTheme="minorHAnsi" w:hAnsiTheme="minorHAnsi" w:cstheme="minorBidi"/>
          <w:lang w:eastAsia="en-US"/>
        </w:rPr>
        <w:t>Fo</w:t>
      </w:r>
      <w:r>
        <w:rPr>
          <w:rFonts w:asciiTheme="minorHAnsi" w:eastAsiaTheme="minorHAnsi" w:hAnsiTheme="minorHAnsi" w:cstheme="minorBidi"/>
          <w:lang w:eastAsia="en-US"/>
        </w:rPr>
        <w:t>r more information regarding</w:t>
      </w:r>
      <w:r w:rsidRPr="001E3B8B">
        <w:rPr>
          <w:rFonts w:asciiTheme="minorHAnsi" w:eastAsiaTheme="minorHAnsi" w:hAnsiTheme="minorHAnsi" w:cstheme="minorBidi"/>
          <w:lang w:eastAsia="en-US"/>
        </w:rPr>
        <w:t xml:space="preserve"> VGPB </w:t>
      </w:r>
      <w:r>
        <w:rPr>
          <w:rFonts w:asciiTheme="minorHAnsi" w:eastAsiaTheme="minorHAnsi" w:hAnsiTheme="minorHAnsi" w:cstheme="minorBidi"/>
          <w:lang w:eastAsia="en-US"/>
        </w:rPr>
        <w:t>Supply Policies</w:t>
      </w:r>
      <w:r w:rsidRPr="001E3B8B">
        <w:rPr>
          <w:rFonts w:asciiTheme="minorHAnsi" w:eastAsiaTheme="minorHAnsi" w:hAnsiTheme="minorHAnsi" w:cstheme="minorBidi"/>
          <w:lang w:eastAsia="en-US"/>
        </w:rPr>
        <w:t xml:space="preserve"> refer to </w:t>
      </w:r>
      <w:hyperlink r:id="rId11" w:history="1">
        <w:r w:rsidRPr="0090187D">
          <w:rPr>
            <w:rStyle w:val="Hyperlink"/>
            <w:rFonts w:asciiTheme="minorHAnsi" w:eastAsiaTheme="minorHAnsi" w:hAnsiTheme="minorHAnsi" w:cstheme="minorBidi"/>
            <w:lang w:eastAsia="en-US"/>
          </w:rPr>
          <w:t>this link.</w:t>
        </w:r>
      </w:hyperlink>
    </w:p>
    <w:p w14:paraId="3F80CF51" w14:textId="77777777" w:rsidR="00C976C1" w:rsidRDefault="00C976C1" w:rsidP="00591233">
      <w:pPr>
        <w:spacing w:before="0" w:after="200" w:line="276" w:lineRule="auto"/>
        <w:rPr>
          <w:rFonts w:asciiTheme="minorHAnsi" w:eastAsiaTheme="minorHAnsi" w:hAnsiTheme="minorHAnsi" w:cstheme="minorBidi"/>
          <w:lang w:eastAsia="en-US"/>
        </w:rPr>
      </w:pPr>
    </w:p>
    <w:p w14:paraId="7016CFBA" w14:textId="77777777" w:rsidR="00591233" w:rsidRPr="001E3B8B" w:rsidRDefault="00591233" w:rsidP="00591233">
      <w:r w:rsidRPr="001E3B8B">
        <w:t>State of Victoria 20</w:t>
      </w:r>
      <w:r>
        <w:t>21</w:t>
      </w:r>
    </w:p>
    <w:p w14:paraId="362C02F7" w14:textId="77777777" w:rsidR="00591233" w:rsidRPr="001E3B8B" w:rsidRDefault="00591233" w:rsidP="00591233">
      <w:r w:rsidRPr="001E3B8B">
        <w:rPr>
          <w:noProof/>
        </w:rPr>
        <w:drawing>
          <wp:inline distT="0" distB="0" distL="0" distR="0" wp14:anchorId="772DDC2C" wp14:editId="35647A72">
            <wp:extent cx="1117460" cy="393651"/>
            <wp:effectExtent l="0" t="0" r="6985" b="6985"/>
            <wp:docPr id="10" name="Pictur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1E3B8B">
        <w:t xml:space="preserve"> </w:t>
      </w:r>
    </w:p>
    <w:p w14:paraId="517A99F7" w14:textId="77777777" w:rsidR="00591233" w:rsidRPr="001E3B8B" w:rsidRDefault="00591233" w:rsidP="00591233">
      <w:r w:rsidRPr="001E3B8B">
        <w:t xml:space="preserve">This work is licensed under a </w:t>
      </w:r>
      <w:hyperlink r:id="rId14" w:history="1">
        <w:r w:rsidRPr="001E3B8B">
          <w:rPr>
            <w:color w:val="660B68"/>
          </w:rPr>
          <w:t>Creative Commons Attribution 4.0 licence</w:t>
        </w:r>
      </w:hyperlink>
      <w:r w:rsidRPr="001E3B8B">
        <w:t xml:space="preserve">. You are free to re-use the work under that licence, on the condition that you credit the State of Victoria as author. The licence does not apply to any images, </w:t>
      </w:r>
      <w:proofErr w:type="gramStart"/>
      <w:r w:rsidRPr="001E3B8B">
        <w:t>photographs</w:t>
      </w:r>
      <w:proofErr w:type="gramEnd"/>
      <w:r w:rsidRPr="001E3B8B">
        <w:t xml:space="preserve"> or branding, including the Victorian Coat of Arms, the Victorian Government logo and the Department of Treasury and Finance logo.</w:t>
      </w:r>
    </w:p>
    <w:p w14:paraId="09B79503" w14:textId="5D9C865E" w:rsidR="00591233" w:rsidRPr="00A01B12" w:rsidRDefault="00591233" w:rsidP="00A01B12">
      <w:pPr>
        <w:spacing w:before="0" w:after="0" w:line="240" w:lineRule="auto"/>
        <w:rPr>
          <w:lang w:eastAsia="en-US"/>
        </w:rPr>
        <w:sectPr w:rsidR="00591233" w:rsidRPr="00A01B12" w:rsidSect="007D0601">
          <w:headerReference w:type="default" r:id="rId15"/>
          <w:footerReference w:type="default" r:id="rId16"/>
          <w:headerReference w:type="first" r:id="rId17"/>
          <w:footerReference w:type="first" r:id="rId18"/>
          <w:pgSz w:w="11901" w:h="16840" w:code="9"/>
          <w:pgMar w:top="907" w:right="1008" w:bottom="1138" w:left="1152" w:header="288" w:footer="330" w:gutter="0"/>
          <w:pgNumType w:start="1"/>
          <w:cols w:space="708"/>
          <w:titlePg/>
          <w:docGrid w:linePitch="360"/>
        </w:sectPr>
      </w:pPr>
      <w:r w:rsidRPr="001E3B8B">
        <w:t xml:space="preserve">Copyright queries may be directed to </w:t>
      </w:r>
      <w:hyperlink r:id="rId19" w:history="1">
        <w:r w:rsidRPr="001E3B8B">
          <w:rPr>
            <w:color w:val="660B68"/>
          </w:rPr>
          <w:t>IPpolicy@dtf.vic.gov.au</w:t>
        </w:r>
      </w:hyperlink>
    </w:p>
    <w:p w14:paraId="62DC47F0" w14:textId="37DD32FA" w:rsidR="002C60CC" w:rsidRDefault="002C60CC" w:rsidP="00A01B12">
      <w:pPr>
        <w:pStyle w:val="Heading1"/>
        <w:ind w:left="0"/>
      </w:pPr>
    </w:p>
    <w:sectPr w:rsidR="002C60CC" w:rsidSect="007D0601">
      <w:headerReference w:type="even" r:id="rId20"/>
      <w:headerReference w:type="default" r:id="rId21"/>
      <w:footerReference w:type="even" r:id="rId22"/>
      <w:footerReference w:type="default" r:id="rId23"/>
      <w:headerReference w:type="first" r:id="rId24"/>
      <w:footerReference w:type="first" r:id="rId25"/>
      <w:pgSz w:w="11901" w:h="16840" w:code="9"/>
      <w:pgMar w:top="907" w:right="1008" w:bottom="1138" w:left="1152" w:header="288" w:footer="3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F919" w14:textId="77777777" w:rsidR="00591233" w:rsidRDefault="00591233" w:rsidP="00591233">
      <w:pPr>
        <w:spacing w:before="0" w:after="0" w:line="240" w:lineRule="auto"/>
      </w:pPr>
      <w:r>
        <w:separator/>
      </w:r>
    </w:p>
  </w:endnote>
  <w:endnote w:type="continuationSeparator" w:id="0">
    <w:p w14:paraId="2B0E4DEA" w14:textId="77777777" w:rsidR="00591233" w:rsidRDefault="00591233" w:rsidP="00591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9218"/>
      <w:gridCol w:w="523"/>
    </w:tblGrid>
    <w:tr w:rsidR="00207449" w14:paraId="1753547B" w14:textId="77777777" w:rsidTr="007D0601">
      <w:trPr>
        <w:cantSplit/>
      </w:trPr>
      <w:tc>
        <w:tcPr>
          <w:tcW w:w="9327" w:type="dxa"/>
          <w:shd w:val="clear" w:color="auto" w:fill="auto"/>
          <w:vAlign w:val="center"/>
        </w:tcPr>
        <w:p w14:paraId="66EF5D9F" w14:textId="74D41D0C" w:rsidR="00CF3628" w:rsidRDefault="00B67E15" w:rsidP="007D0601">
          <w:pPr>
            <w:pStyle w:val="Footer"/>
          </w:pPr>
          <w:r>
            <mc:AlternateContent>
              <mc:Choice Requires="wps">
                <w:drawing>
                  <wp:anchor distT="0" distB="0" distL="114300" distR="114300" simplePos="0" relativeHeight="251666944" behindDoc="0" locked="0" layoutInCell="0" allowOverlap="1" wp14:anchorId="086B42E9" wp14:editId="1D50C5A4">
                    <wp:simplePos x="0" y="0"/>
                    <wp:positionH relativeFrom="page">
                      <wp:posOffset>0</wp:posOffset>
                    </wp:positionH>
                    <wp:positionV relativeFrom="page">
                      <wp:posOffset>10236200</wp:posOffset>
                    </wp:positionV>
                    <wp:extent cx="7557135" cy="266700"/>
                    <wp:effectExtent l="0" t="0" r="0" b="0"/>
                    <wp:wrapNone/>
                    <wp:docPr id="1" name="MSIPCM076f43029af1e952ae8ff88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138B4" w14:textId="3E748535" w:rsidR="00B67E15" w:rsidRPr="00B67E15" w:rsidRDefault="00B67E15" w:rsidP="00B67E15">
                                <w:pPr>
                                  <w:spacing w:before="0" w:after="0"/>
                                  <w:rPr>
                                    <w:color w:val="000000"/>
                                  </w:rPr>
                                </w:pPr>
                                <w:r w:rsidRPr="00B67E1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6B42E9" id="_x0000_t202" coordsize="21600,21600" o:spt="202" path="m,l,21600r21600,l21600,xe">
                    <v:stroke joinstyle="miter"/>
                    <v:path gradientshapeok="t" o:connecttype="rect"/>
                  </v:shapetype>
                  <v:shape id="MSIPCM076f43029af1e952ae8ff887" o:spid="_x0000_s1026" type="#_x0000_t202" alt="{&quot;HashCode&quot;:-1267603503,&quot;Height&quot;:842.0,&quot;Width&quot;:595.0,&quot;Placement&quot;:&quot;Footer&quot;,&quot;Index&quot;:&quot;Primary&quot;,&quot;Section&quot;:1,&quot;Top&quot;:0.0,&quot;Left&quot;:0.0}" style="position:absolute;left:0;text-align:left;margin-left:0;margin-top:806pt;width:595.05pt;height:21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" o:allowincell="f" filled="f" stroked="f" strokeweight=".5pt">
                    <v:fill o:detectmouseclick="t"/>
                    <v:textbox inset="20pt,0,,0">
                      <w:txbxContent>
                        <w:p w14:paraId="482138B4" w14:textId="3E748535" w:rsidR="00B67E15" w:rsidRPr="00B67E15" w:rsidRDefault="00B67E15" w:rsidP="00B67E15">
                          <w:pPr>
                            <w:spacing w:before="0" w:after="0"/>
                            <w:rPr>
                              <w:color w:val="000000"/>
                            </w:rPr>
                          </w:pPr>
                          <w:r w:rsidRPr="00B67E15">
                            <w:rPr>
                              <w:color w:val="000000"/>
                            </w:rPr>
                            <w:t>OFFICIAL</w:t>
                          </w:r>
                        </w:p>
                      </w:txbxContent>
                    </v:textbox>
                    <w10:wrap anchorx="page" anchory="page"/>
                  </v:shape>
                </w:pict>
              </mc:Fallback>
            </mc:AlternateContent>
          </w:r>
          <w:r w:rsidR="00591233">
            <mc:AlternateContent>
              <mc:Choice Requires="wps">
                <w:drawing>
                  <wp:anchor distT="0" distB="0" distL="114300" distR="114300" simplePos="0" relativeHeight="251664896" behindDoc="0" locked="0" layoutInCell="0" allowOverlap="1" wp14:anchorId="4BC2C78F" wp14:editId="0A6EA1B4">
                    <wp:simplePos x="0" y="0"/>
                    <wp:positionH relativeFrom="page">
                      <wp:posOffset>0</wp:posOffset>
                    </wp:positionH>
                    <wp:positionV relativeFrom="page">
                      <wp:posOffset>10236200</wp:posOffset>
                    </wp:positionV>
                    <wp:extent cx="7557135" cy="266700"/>
                    <wp:effectExtent l="0" t="0" r="0" b="0"/>
                    <wp:wrapNone/>
                    <wp:docPr id="220" name="MSIPCM7d4e491f853e10f99380b431"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8DDFD" w14:textId="77777777" w:rsidR="00CF3628" w:rsidRPr="00AC5D0B" w:rsidRDefault="00591233"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829DED" id="_x0000_t202" coordsize="21600,21600" o:spt="202" path="m,l,21600r21600,l21600,xe">
                    <v:stroke joinstyle="miter"/>
                    <v:path gradientshapeok="t" o:connecttype="rect"/>
                  </v:shapetype>
                  <v:shape id="MSIPCM7d4e491f853e10f99380b431" o:spid="_x0000_s1028" type="#_x0000_t202" alt="{&quot;HashCode&quot;:-1267603503,&quot;Height&quot;:842.0,&quot;Width&quot;:595.0,&quot;Placement&quot;:&quot;Footer&quot;,&quot;Index&quot;:&quot;Primary&quot;,&quot;Section&quot;:2,&quot;Top&quot;:0.0,&quot;Left&quot;:0.0}" style="position:absolute;left:0;text-align:left;margin-left:0;margin-top:806pt;width:595.05pt;height:21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" o:allowincell="f" filled="f" stroked="f" strokeweight=".5pt">
                    <v:textbox inset="20pt,0,,0">
                      <w:txbxContent>
                        <w:p w:rsidR="00207449" w:rsidRPr="00AC5D0B" w:rsidRDefault="00591233" w:rsidP="007D0601">
                          <w:pPr>
                            <w:spacing w:before="0" w:after="0"/>
                            <w:rPr>
                              <w:color w:val="000000"/>
                            </w:rPr>
                          </w:pPr>
                          <w:r>
                            <w:rPr>
                              <w:color w:val="000000"/>
                            </w:rPr>
                            <w:t>OFFICIAL</w:t>
                          </w:r>
                        </w:p>
                      </w:txbxContent>
                    </v:textbox>
                    <w10:wrap anchorx="page" anchory="page"/>
                  </v:shape>
                </w:pict>
              </mc:Fallback>
            </mc:AlternateContent>
          </w:r>
          <w:r w:rsidR="00591233">
            <w:t xml:space="preserve">VGPB </w:t>
          </w:r>
          <w:r w:rsidR="00591233" w:rsidRPr="00F624F3">
            <w:t>Policy Two: Complexity and capability assessment</w:t>
          </w:r>
        </w:p>
        <w:p w14:paraId="07E77781" w14:textId="453A1245" w:rsidR="00CF3628" w:rsidRDefault="00591233" w:rsidP="007D0601">
          <w:pPr>
            <w:pStyle w:val="Footer"/>
          </w:pPr>
          <w:r>
            <w:t>Version 1.</w:t>
          </w:r>
          <w:r w:rsidR="00CF3628">
            <w:t>3 May 2024</w:t>
          </w:r>
        </w:p>
      </w:tc>
      <w:tc>
        <w:tcPr>
          <w:tcW w:w="528" w:type="dxa"/>
          <w:shd w:val="clear" w:color="auto" w:fill="auto"/>
        </w:tcPr>
        <w:p w14:paraId="55E04210" w14:textId="77777777" w:rsidR="00CF3628" w:rsidRPr="0018749C" w:rsidRDefault="00591233" w:rsidP="007D0601">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3</w:t>
          </w:r>
          <w:r w:rsidRPr="0018749C">
            <w:rPr>
              <w:rStyle w:val="PageNumber"/>
            </w:rPr>
            <w:fldChar w:fldCharType="end"/>
          </w:r>
        </w:p>
      </w:tc>
    </w:tr>
  </w:tbl>
  <w:p w14:paraId="72DC9F0A" w14:textId="77777777" w:rsidR="00CF3628" w:rsidRDefault="00CF3628" w:rsidP="007D0601">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F301" w14:textId="23F080E0" w:rsidR="00CF3628" w:rsidRDefault="00B67E15" w:rsidP="007D0601">
    <w:pPr>
      <w:pStyle w:val="Footer"/>
    </w:pPr>
    <w:r>
      <mc:AlternateContent>
        <mc:Choice Requires="wps">
          <w:drawing>
            <wp:anchor distT="0" distB="0" distL="114300" distR="114300" simplePos="0" relativeHeight="251667968" behindDoc="0" locked="0" layoutInCell="0" allowOverlap="1" wp14:anchorId="5C8CE538" wp14:editId="49331D60">
              <wp:simplePos x="0" y="0"/>
              <wp:positionH relativeFrom="page">
                <wp:posOffset>0</wp:posOffset>
              </wp:positionH>
              <wp:positionV relativeFrom="page">
                <wp:posOffset>10236200</wp:posOffset>
              </wp:positionV>
              <wp:extent cx="7557135" cy="266700"/>
              <wp:effectExtent l="0" t="0" r="0" b="0"/>
              <wp:wrapNone/>
              <wp:docPr id="2" name="MSIPCMa87e4bb49c57b73a694caba2"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8BECE" w14:textId="37C51DF8" w:rsidR="00B67E15" w:rsidRPr="00B67E15" w:rsidRDefault="00B67E15" w:rsidP="00B67E15">
                          <w:pPr>
                            <w:spacing w:before="0" w:after="0"/>
                            <w:rPr>
                              <w:color w:val="000000"/>
                            </w:rPr>
                          </w:pPr>
                          <w:r w:rsidRPr="00B67E1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8CE538" id="_x0000_t202" coordsize="21600,21600" o:spt="202" path="m,l,21600r21600,l21600,xe">
              <v:stroke joinstyle="miter"/>
              <v:path gradientshapeok="t" o:connecttype="rect"/>
            </v:shapetype>
            <v:shape id="MSIPCMa87e4bb49c57b73a694caba2" o:spid="_x0000_s1028"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YgjnrYCAABR&#10;BQAADgAAAAAAAAAAAAAAAAAuAgAAZHJzL2Uyb0RvYy54bWxQSwECLQAUAAYACAAAACEAyEQiD94A&#10;AAALAQAADwAAAAAAAAAAAAAAAAAQBQAAZHJzL2Rvd25yZXYueG1sUEsFBgAAAAAEAAQA8wAAABsG&#10;AAAAAA==&#10;" o:allowincell="f" filled="f" stroked="f" strokeweight=".5pt">
              <v:fill o:detectmouseclick="t"/>
              <v:textbox inset="20pt,0,,0">
                <w:txbxContent>
                  <w:p w14:paraId="2528BECE" w14:textId="37C51DF8" w:rsidR="00B67E15" w:rsidRPr="00B67E15" w:rsidRDefault="00B67E15" w:rsidP="00B67E15">
                    <w:pPr>
                      <w:spacing w:before="0" w:after="0"/>
                      <w:rPr>
                        <w:color w:val="000000"/>
                      </w:rPr>
                    </w:pPr>
                    <w:r w:rsidRPr="00B67E15">
                      <w:rPr>
                        <w:color w:val="000000"/>
                      </w:rPr>
                      <w:t>OFFICIAL</w:t>
                    </w:r>
                  </w:p>
                </w:txbxContent>
              </v:textbox>
              <w10:wrap anchorx="page" anchory="page"/>
            </v:shape>
          </w:pict>
        </mc:Fallback>
      </mc:AlternateContent>
    </w:r>
    <w:r w:rsidR="00591233">
      <mc:AlternateContent>
        <mc:Choice Requires="wps">
          <w:drawing>
            <wp:anchor distT="0" distB="0" distL="114300" distR="114300" simplePos="0" relativeHeight="251665920" behindDoc="0" locked="0" layoutInCell="0" allowOverlap="1" wp14:anchorId="71D441E5" wp14:editId="76F0D60A">
              <wp:simplePos x="0" y="0"/>
              <wp:positionH relativeFrom="page">
                <wp:posOffset>0</wp:posOffset>
              </wp:positionH>
              <wp:positionV relativeFrom="page">
                <wp:posOffset>10236200</wp:posOffset>
              </wp:positionV>
              <wp:extent cx="7557135" cy="266700"/>
              <wp:effectExtent l="0" t="0" r="0" b="0"/>
              <wp:wrapNone/>
              <wp:docPr id="221" name="MSIPCM3bf84716be88c6447b9a59ad"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5CCB0B" w14:textId="77777777" w:rsidR="00CF3628" w:rsidRPr="00AC5D0B" w:rsidRDefault="00591233"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6A4F3A" id="_x0000_t202" coordsize="21600,21600" o:spt="202" path="m,l,21600r21600,l21600,xe">
              <v:stroke joinstyle="miter"/>
              <v:path gradientshapeok="t" o:connecttype="rect"/>
            </v:shapetype>
            <v:shape id="MSIPCM3bf84716be88c6447b9a59ad" o:spid="_x0000_s1029" type="#_x0000_t202" alt="{&quot;HashCode&quot;:-1267603503,&quot;Height&quot;:842.0,&quot;Width&quot;:595.0,&quot;Placement&quot;:&quot;Footer&quot;,&quot;Index&quot;:&quot;FirstPage&quot;,&quot;Section&quot;:2,&quot;Top&quot;:0.0,&quot;Left&quot;:0.0}" style="position:absolute;left:0;text-align:left;margin-left:0;margin-top:806pt;width:595.05pt;height:21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" o:allowincell="f" filled="f" stroked="f" strokeweight=".5pt">
              <v:textbox inset="20pt,0,,0">
                <w:txbxContent>
                  <w:p w:rsidR="00207449" w:rsidRPr="00AC5D0B" w:rsidRDefault="00591233" w:rsidP="007D0601">
                    <w:pPr>
                      <w:spacing w:before="0" w:after="0"/>
                      <w:rPr>
                        <w:color w:val="000000"/>
                      </w:rPr>
                    </w:pPr>
                    <w:r>
                      <w:rPr>
                        <w:color w:val="000000"/>
                      </w:rPr>
                      <w:t>OFFICIAL</w:t>
                    </w:r>
                  </w:p>
                </w:txbxContent>
              </v:textbox>
              <w10:wrap anchorx="page" anchory="page"/>
            </v:shape>
          </w:pict>
        </mc:Fallback>
      </mc:AlternateContent>
    </w:r>
    <w:r w:rsidR="00591233">
      <w:drawing>
        <wp:anchor distT="0" distB="0" distL="114300" distR="114300" simplePos="0" relativeHeight="251657728" behindDoc="0" locked="0" layoutInCell="1" allowOverlap="1" wp14:anchorId="1050348C" wp14:editId="6FFC9C86">
          <wp:simplePos x="0" y="0"/>
          <wp:positionH relativeFrom="column">
            <wp:posOffset>5675043</wp:posOffset>
          </wp:positionH>
          <wp:positionV relativeFrom="page">
            <wp:posOffset>10011878</wp:posOffset>
          </wp:positionV>
          <wp:extent cx="795528" cy="457200"/>
          <wp:effectExtent l="0" t="0" r="508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528"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1ABD" w14:textId="77777777" w:rsidR="00CF3628" w:rsidRDefault="00CF36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9218"/>
      <w:gridCol w:w="523"/>
    </w:tblGrid>
    <w:tr w:rsidR="00207449" w14:paraId="17707521" w14:textId="77777777" w:rsidTr="007D0601">
      <w:trPr>
        <w:cantSplit/>
      </w:trPr>
      <w:tc>
        <w:tcPr>
          <w:tcW w:w="9327" w:type="dxa"/>
          <w:shd w:val="clear" w:color="auto" w:fill="auto"/>
          <w:vAlign w:val="center"/>
        </w:tcPr>
        <w:p w14:paraId="4718E3CB" w14:textId="77777777" w:rsidR="00CF3628" w:rsidRDefault="00591233" w:rsidP="007D0601">
          <w:pPr>
            <w:pStyle w:val="Footer"/>
          </w:pPr>
          <w:r>
            <mc:AlternateContent>
              <mc:Choice Requires="wps">
                <w:drawing>
                  <wp:anchor distT="0" distB="0" distL="114300" distR="114300" simplePos="0" relativeHeight="251652608" behindDoc="0" locked="0" layoutInCell="0" allowOverlap="1" wp14:anchorId="3DE1A299" wp14:editId="14279EE0">
                    <wp:simplePos x="0" y="0"/>
                    <wp:positionH relativeFrom="page">
                      <wp:posOffset>0</wp:posOffset>
                    </wp:positionH>
                    <wp:positionV relativeFrom="page">
                      <wp:posOffset>10236200</wp:posOffset>
                    </wp:positionV>
                    <wp:extent cx="7557135" cy="266700"/>
                    <wp:effectExtent l="0" t="0" r="0" b="0"/>
                    <wp:wrapNone/>
                    <wp:docPr id="226" name="MSIPCMd4e94f0d82f04431df75a5cc" descr="{&quot;HashCode&quot;:-1267603503,&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914ED" w14:textId="77777777" w:rsidR="00CF3628" w:rsidRPr="00AC5D0B" w:rsidRDefault="00591233"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A01252" id="_x0000_t202" coordsize="21600,21600" o:spt="202" path="m,l,21600r21600,l21600,xe">
                    <v:stroke joinstyle="miter"/>
                    <v:path gradientshapeok="t" o:connecttype="rect"/>
                  </v:shapetype>
                  <v:shape id="MSIPCMd4e94f0d82f04431df75a5cc" o:spid="_x0000_s1034" type="#_x0000_t202" alt="{&quot;HashCode&quot;:-1267603503,&quot;Height&quot;:842.0,&quot;Width&quot;:595.0,&quot;Placement&quot;:&quot;Footer&quot;,&quot;Index&quot;:&quot;Primary&quot;,&quot;Section&quot;:5,&quot;Top&quot;:0.0,&quot;Left&quot;:0.0}" style="position:absolute;left:0;text-align:left;margin-left:0;margin-top:806pt;width:595.0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" o:allowincell="f" filled="f" stroked="f" strokeweight=".5pt">
                    <v:textbox inset="20pt,0,,0">
                      <w:txbxContent>
                        <w:p w:rsidR="00207449" w:rsidRPr="00AC5D0B" w:rsidRDefault="00591233" w:rsidP="007D0601">
                          <w:pPr>
                            <w:spacing w:before="0" w:after="0"/>
                            <w:rPr>
                              <w:color w:val="000000"/>
                            </w:rPr>
                          </w:pPr>
                          <w:r>
                            <w:rPr>
                              <w:color w:val="000000"/>
                            </w:rPr>
                            <w:t>OFFICIAL</w:t>
                          </w:r>
                        </w:p>
                      </w:txbxContent>
                    </v:textbox>
                    <w10:wrap anchorx="page" anchory="page"/>
                  </v:shape>
                </w:pict>
              </mc:Fallback>
            </mc:AlternateContent>
          </w:r>
          <w:r>
            <w:t xml:space="preserve">VGPB </w:t>
          </w:r>
          <w:r w:rsidRPr="00264154">
            <w:t>Policy Five: Contract management and contract disclosure</w:t>
          </w:r>
        </w:p>
        <w:p w14:paraId="20E7AFED" w14:textId="77777777" w:rsidR="00CF3628" w:rsidRDefault="00591233" w:rsidP="007D0601">
          <w:pPr>
            <w:pStyle w:val="Footer"/>
          </w:pPr>
          <w:r>
            <w:t>Version 1.1</w:t>
          </w:r>
        </w:p>
      </w:tc>
      <w:tc>
        <w:tcPr>
          <w:tcW w:w="528" w:type="dxa"/>
          <w:shd w:val="clear" w:color="auto" w:fill="auto"/>
        </w:tcPr>
        <w:p w14:paraId="7354CE04" w14:textId="77777777" w:rsidR="00CF3628" w:rsidRPr="0018749C" w:rsidRDefault="00591233" w:rsidP="007D0601">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6</w:t>
          </w:r>
          <w:r w:rsidRPr="0018749C">
            <w:rPr>
              <w:rStyle w:val="PageNumber"/>
            </w:rPr>
            <w:fldChar w:fldCharType="end"/>
          </w:r>
        </w:p>
      </w:tc>
    </w:tr>
  </w:tbl>
  <w:p w14:paraId="504A2843" w14:textId="77777777" w:rsidR="00CF3628" w:rsidRDefault="00CF3628" w:rsidP="007D0601">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C7B5" w14:textId="77777777" w:rsidR="00CF3628" w:rsidRDefault="00591233" w:rsidP="007D0601">
    <w:pPr>
      <w:pStyle w:val="Footer"/>
    </w:pPr>
    <w:r>
      <mc:AlternateContent>
        <mc:Choice Requires="wps">
          <w:drawing>
            <wp:anchor distT="0" distB="0" distL="114300" distR="114300" simplePos="0" relativeHeight="251654656" behindDoc="0" locked="0" layoutInCell="0" allowOverlap="1" wp14:anchorId="5CF11BD0" wp14:editId="28C4F153">
              <wp:simplePos x="0" y="0"/>
              <wp:positionH relativeFrom="page">
                <wp:posOffset>0</wp:posOffset>
              </wp:positionH>
              <wp:positionV relativeFrom="page">
                <wp:posOffset>10236200</wp:posOffset>
              </wp:positionV>
              <wp:extent cx="7557135" cy="266700"/>
              <wp:effectExtent l="0" t="0" r="0" b="0"/>
              <wp:wrapNone/>
              <wp:docPr id="227" name="MSIPCM612146ce80380e1d0d542b4a" descr="{&quot;HashCode&quot;:-1267603503,&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629D0" w14:textId="77777777" w:rsidR="00CF3628" w:rsidRPr="00AC5D0B" w:rsidRDefault="00591233"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65B588" id="_x0000_t202" coordsize="21600,21600" o:spt="202" path="m,l,21600r21600,l21600,xe">
              <v:stroke joinstyle="miter"/>
              <v:path gradientshapeok="t" o:connecttype="rect"/>
            </v:shapetype>
            <v:shape id="MSIPCM612146ce80380e1d0d542b4a" o:spid="_x0000_s1035" type="#_x0000_t202" alt="{&quot;HashCode&quot;:-1267603503,&quot;Height&quot;:842.0,&quot;Width&quot;:595.0,&quot;Placement&quot;:&quot;Footer&quot;,&quot;Index&quot;:&quot;FirstPage&quot;,&quot;Section&quot;:5,&quot;Top&quot;:0.0,&quot;Left&quot;:0.0}" style="position:absolute;left:0;text-align:left;margin-left:0;margin-top:806pt;width:595.0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" o:allowincell="f" filled="f" stroked="f" strokeweight=".5pt">
              <v:textbox inset="20pt,0,,0">
                <w:txbxContent>
                  <w:p w:rsidR="00207449" w:rsidRPr="00AC5D0B" w:rsidRDefault="00591233" w:rsidP="007D0601">
                    <w:pPr>
                      <w:spacing w:before="0" w:after="0"/>
                      <w:rPr>
                        <w:color w:val="000000"/>
                      </w:rPr>
                    </w:pPr>
                    <w:r>
                      <w:rPr>
                        <w:color w:val="000000"/>
                      </w:rPr>
                      <w:t>OFFICIAL</w:t>
                    </w:r>
                  </w:p>
                </w:txbxContent>
              </v:textbox>
              <w10:wrap anchorx="page" anchory="page"/>
            </v:shape>
          </w:pict>
        </mc:Fallback>
      </mc:AlternateContent>
    </w:r>
    <w:r>
      <w:drawing>
        <wp:anchor distT="0" distB="0" distL="114300" distR="114300" simplePos="0" relativeHeight="251650560" behindDoc="0" locked="0" layoutInCell="1" allowOverlap="1" wp14:anchorId="266AD32C" wp14:editId="6B34068A">
          <wp:simplePos x="0" y="0"/>
          <wp:positionH relativeFrom="column">
            <wp:posOffset>5675043</wp:posOffset>
          </wp:positionH>
          <wp:positionV relativeFrom="page">
            <wp:posOffset>10011878</wp:posOffset>
          </wp:positionV>
          <wp:extent cx="795528" cy="457200"/>
          <wp:effectExtent l="0" t="0" r="508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528"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B560" w14:textId="77777777" w:rsidR="00591233" w:rsidRDefault="00591233" w:rsidP="00591233">
      <w:pPr>
        <w:spacing w:before="0" w:after="0" w:line="240" w:lineRule="auto"/>
      </w:pPr>
      <w:r>
        <w:separator/>
      </w:r>
    </w:p>
  </w:footnote>
  <w:footnote w:type="continuationSeparator" w:id="0">
    <w:p w14:paraId="07FE1998" w14:textId="77777777" w:rsidR="00591233" w:rsidRDefault="00591233" w:rsidP="005912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0668" w14:textId="77777777" w:rsidR="00CF3628" w:rsidRPr="007602D7" w:rsidRDefault="00591233" w:rsidP="007D0601">
    <w:pPr>
      <w:pStyle w:val="Header"/>
      <w:spacing w:before="240"/>
      <w:ind w:right="-461"/>
    </w:pPr>
    <w:r w:rsidRPr="000E286D">
      <w:drawing>
        <wp:anchor distT="0" distB="0" distL="114300" distR="114300" simplePos="0" relativeHeight="251653632" behindDoc="1" locked="0" layoutInCell="1" allowOverlap="1" wp14:anchorId="1422AE37" wp14:editId="1182389E">
          <wp:simplePos x="0" y="0"/>
          <wp:positionH relativeFrom="column">
            <wp:posOffset>-734396</wp:posOffset>
          </wp:positionH>
          <wp:positionV relativeFrom="paragraph">
            <wp:posOffset>-185648</wp:posOffset>
          </wp:positionV>
          <wp:extent cx="560717" cy="10717356"/>
          <wp:effectExtent l="0" t="0" r="0" b="825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FC87" w14:textId="77777777" w:rsidR="00CF3628" w:rsidRPr="007602D7" w:rsidRDefault="00591233" w:rsidP="007D0601">
    <w:pPr>
      <w:pStyle w:val="Header"/>
      <w:spacing w:before="240"/>
      <w:ind w:right="-461"/>
    </w:pPr>
    <w:r w:rsidRPr="000E286D">
      <w:drawing>
        <wp:anchor distT="0" distB="0" distL="114300" distR="114300" simplePos="0" relativeHeight="251647488" behindDoc="1" locked="0" layoutInCell="1" allowOverlap="1" wp14:anchorId="513E2751" wp14:editId="58773FB7">
          <wp:simplePos x="0" y="0"/>
          <wp:positionH relativeFrom="column">
            <wp:posOffset>-731520</wp:posOffset>
          </wp:positionH>
          <wp:positionV relativeFrom="paragraph">
            <wp:posOffset>-200133</wp:posOffset>
          </wp:positionV>
          <wp:extent cx="560717" cy="10717356"/>
          <wp:effectExtent l="0" t="0" r="0" b="825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1AF3" w14:textId="77777777" w:rsidR="00CF3628" w:rsidRDefault="00CF36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5593" w14:textId="77777777" w:rsidR="00CF3628" w:rsidRPr="007602D7" w:rsidRDefault="00591233" w:rsidP="007D0601">
    <w:pPr>
      <w:pStyle w:val="Header"/>
      <w:spacing w:before="240"/>
      <w:ind w:right="-461"/>
    </w:pPr>
    <w:r w:rsidRPr="000E286D">
      <w:drawing>
        <wp:anchor distT="0" distB="0" distL="114300" distR="114300" simplePos="0" relativeHeight="251648512" behindDoc="1" locked="0" layoutInCell="1" allowOverlap="1" wp14:anchorId="490DAD53" wp14:editId="2CBF31AE">
          <wp:simplePos x="0" y="0"/>
          <wp:positionH relativeFrom="column">
            <wp:posOffset>-734396</wp:posOffset>
          </wp:positionH>
          <wp:positionV relativeFrom="paragraph">
            <wp:posOffset>-185648</wp:posOffset>
          </wp:positionV>
          <wp:extent cx="560717" cy="10717356"/>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88AE" w14:textId="77777777" w:rsidR="00CF3628" w:rsidRPr="007602D7" w:rsidRDefault="00591233" w:rsidP="007D0601">
    <w:pPr>
      <w:pStyle w:val="Header"/>
      <w:spacing w:before="240"/>
      <w:ind w:right="-461"/>
    </w:pPr>
    <w:r w:rsidRPr="000E286D">
      <w:drawing>
        <wp:anchor distT="0" distB="0" distL="114300" distR="114300" simplePos="0" relativeHeight="251646464" behindDoc="1" locked="0" layoutInCell="1" allowOverlap="1" wp14:anchorId="4F06C24D" wp14:editId="5158F663">
          <wp:simplePos x="0" y="0"/>
          <wp:positionH relativeFrom="column">
            <wp:posOffset>-731520</wp:posOffset>
          </wp:positionH>
          <wp:positionV relativeFrom="paragraph">
            <wp:posOffset>-200133</wp:posOffset>
          </wp:positionV>
          <wp:extent cx="560717" cy="10717356"/>
          <wp:effectExtent l="0" t="0" r="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 w15:restartNumberingAfterBreak="0">
    <w:nsid w:val="19003DA8"/>
    <w:multiLevelType w:val="hybridMultilevel"/>
    <w:tmpl w:val="3F8C6052"/>
    <w:lvl w:ilvl="0" w:tplc="0C09000F">
      <w:start w:val="1"/>
      <w:numFmt w:val="decimal"/>
      <w:lvlText w:val="%1."/>
      <w:lvlJc w:val="left"/>
      <w:pPr>
        <w:ind w:left="1406" w:hanging="360"/>
      </w:pPr>
    </w:lvl>
    <w:lvl w:ilvl="1" w:tplc="0C090019" w:tentative="1">
      <w:start w:val="1"/>
      <w:numFmt w:val="lowerLetter"/>
      <w:lvlText w:val="%2."/>
      <w:lvlJc w:val="left"/>
      <w:pPr>
        <w:ind w:left="2126" w:hanging="360"/>
      </w:pPr>
    </w:lvl>
    <w:lvl w:ilvl="2" w:tplc="0C09001B" w:tentative="1">
      <w:start w:val="1"/>
      <w:numFmt w:val="lowerRoman"/>
      <w:lvlText w:val="%3."/>
      <w:lvlJc w:val="right"/>
      <w:pPr>
        <w:ind w:left="2846" w:hanging="180"/>
      </w:pPr>
    </w:lvl>
    <w:lvl w:ilvl="3" w:tplc="0C09000F" w:tentative="1">
      <w:start w:val="1"/>
      <w:numFmt w:val="decimal"/>
      <w:lvlText w:val="%4."/>
      <w:lvlJc w:val="left"/>
      <w:pPr>
        <w:ind w:left="3566" w:hanging="360"/>
      </w:pPr>
    </w:lvl>
    <w:lvl w:ilvl="4" w:tplc="0C090019" w:tentative="1">
      <w:start w:val="1"/>
      <w:numFmt w:val="lowerLetter"/>
      <w:lvlText w:val="%5."/>
      <w:lvlJc w:val="left"/>
      <w:pPr>
        <w:ind w:left="4286" w:hanging="360"/>
      </w:pPr>
    </w:lvl>
    <w:lvl w:ilvl="5" w:tplc="0C09001B" w:tentative="1">
      <w:start w:val="1"/>
      <w:numFmt w:val="lowerRoman"/>
      <w:lvlText w:val="%6."/>
      <w:lvlJc w:val="right"/>
      <w:pPr>
        <w:ind w:left="5006" w:hanging="180"/>
      </w:pPr>
    </w:lvl>
    <w:lvl w:ilvl="6" w:tplc="0C09000F" w:tentative="1">
      <w:start w:val="1"/>
      <w:numFmt w:val="decimal"/>
      <w:lvlText w:val="%7."/>
      <w:lvlJc w:val="left"/>
      <w:pPr>
        <w:ind w:left="5726" w:hanging="360"/>
      </w:pPr>
    </w:lvl>
    <w:lvl w:ilvl="7" w:tplc="0C090019" w:tentative="1">
      <w:start w:val="1"/>
      <w:numFmt w:val="lowerLetter"/>
      <w:lvlText w:val="%8."/>
      <w:lvlJc w:val="left"/>
      <w:pPr>
        <w:ind w:left="6446" w:hanging="360"/>
      </w:pPr>
    </w:lvl>
    <w:lvl w:ilvl="8" w:tplc="0C09001B" w:tentative="1">
      <w:start w:val="1"/>
      <w:numFmt w:val="lowerRoman"/>
      <w:lvlText w:val="%9."/>
      <w:lvlJc w:val="right"/>
      <w:pPr>
        <w:ind w:left="7166" w:hanging="180"/>
      </w:pPr>
    </w:lvl>
  </w:abstractNum>
  <w:abstractNum w:abstractNumId="2" w15:restartNumberingAfterBreak="0">
    <w:nsid w:val="1B4E26AB"/>
    <w:multiLevelType w:val="hybridMultilevel"/>
    <w:tmpl w:val="32EE25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8B44C17"/>
    <w:multiLevelType w:val="hybridMultilevel"/>
    <w:tmpl w:val="C6C89E42"/>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4"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5" w15:restartNumberingAfterBreak="0">
    <w:nsid w:val="46BD751D"/>
    <w:multiLevelType w:val="hybridMultilevel"/>
    <w:tmpl w:val="6DAE1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AB1711"/>
    <w:multiLevelType w:val="multilevel"/>
    <w:tmpl w:val="0B88D6D0"/>
    <w:name w:val="Headings52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7" w15:restartNumberingAfterBreak="0">
    <w:nsid w:val="4F7460C3"/>
    <w:multiLevelType w:val="hybridMultilevel"/>
    <w:tmpl w:val="D3FE3C3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63E80080"/>
    <w:multiLevelType w:val="hybridMultilevel"/>
    <w:tmpl w:val="C4184732"/>
    <w:lvl w:ilvl="0" w:tplc="0C09000F">
      <w:start w:val="1"/>
      <w:numFmt w:val="decimal"/>
      <w:lvlText w:val="%1."/>
      <w:lvlJc w:val="left"/>
      <w:pPr>
        <w:ind w:left="1514" w:hanging="360"/>
      </w:pPr>
    </w:lvl>
    <w:lvl w:ilvl="1" w:tplc="0C090019">
      <w:start w:val="1"/>
      <w:numFmt w:val="lowerLetter"/>
      <w:lvlText w:val="%2."/>
      <w:lvlJc w:val="left"/>
      <w:pPr>
        <w:ind w:left="2234" w:hanging="360"/>
      </w:pPr>
    </w:lvl>
    <w:lvl w:ilvl="2" w:tplc="0C09001B">
      <w:start w:val="1"/>
      <w:numFmt w:val="lowerRoman"/>
      <w:lvlText w:val="%3."/>
      <w:lvlJc w:val="right"/>
      <w:pPr>
        <w:ind w:left="2954" w:hanging="180"/>
      </w:pPr>
    </w:lvl>
    <w:lvl w:ilvl="3" w:tplc="0C09000F">
      <w:start w:val="1"/>
      <w:numFmt w:val="decimal"/>
      <w:lvlText w:val="%4."/>
      <w:lvlJc w:val="left"/>
      <w:pPr>
        <w:ind w:left="3674" w:hanging="360"/>
      </w:pPr>
    </w:lvl>
    <w:lvl w:ilvl="4" w:tplc="0C090019">
      <w:start w:val="1"/>
      <w:numFmt w:val="lowerLetter"/>
      <w:lvlText w:val="%5."/>
      <w:lvlJc w:val="left"/>
      <w:pPr>
        <w:ind w:left="4394" w:hanging="360"/>
      </w:pPr>
    </w:lvl>
    <w:lvl w:ilvl="5" w:tplc="0C09001B">
      <w:start w:val="1"/>
      <w:numFmt w:val="lowerRoman"/>
      <w:lvlText w:val="%6."/>
      <w:lvlJc w:val="right"/>
      <w:pPr>
        <w:ind w:left="5114" w:hanging="180"/>
      </w:pPr>
    </w:lvl>
    <w:lvl w:ilvl="6" w:tplc="0C09000F">
      <w:start w:val="1"/>
      <w:numFmt w:val="decimal"/>
      <w:lvlText w:val="%7."/>
      <w:lvlJc w:val="left"/>
      <w:pPr>
        <w:ind w:left="5834" w:hanging="360"/>
      </w:pPr>
    </w:lvl>
    <w:lvl w:ilvl="7" w:tplc="0C090019">
      <w:start w:val="1"/>
      <w:numFmt w:val="lowerLetter"/>
      <w:lvlText w:val="%8."/>
      <w:lvlJc w:val="left"/>
      <w:pPr>
        <w:ind w:left="6554" w:hanging="360"/>
      </w:pPr>
    </w:lvl>
    <w:lvl w:ilvl="8" w:tplc="0C09001B">
      <w:start w:val="1"/>
      <w:numFmt w:val="lowerRoman"/>
      <w:lvlText w:val="%9."/>
      <w:lvlJc w:val="right"/>
      <w:pPr>
        <w:ind w:left="7274" w:hanging="180"/>
      </w:pPr>
    </w:lvl>
  </w:abstractNum>
  <w:abstractNum w:abstractNumId="9" w15:restartNumberingAfterBreak="0">
    <w:nsid w:val="6472245C"/>
    <w:multiLevelType w:val="hybridMultilevel"/>
    <w:tmpl w:val="C5B66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1E0155"/>
    <w:multiLevelType w:val="multilevel"/>
    <w:tmpl w:val="D62AA3A8"/>
    <w:name w:val="Headings5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6C0411D9"/>
    <w:multiLevelType w:val="hybridMultilevel"/>
    <w:tmpl w:val="BB2C315A"/>
    <w:lvl w:ilvl="0" w:tplc="0C09000F">
      <w:start w:val="1"/>
      <w:numFmt w:val="decimal"/>
      <w:lvlText w:val="%1."/>
      <w:lvlJc w:val="left"/>
      <w:pPr>
        <w:ind w:left="1514" w:hanging="360"/>
      </w:pPr>
    </w:lvl>
    <w:lvl w:ilvl="1" w:tplc="0C090019">
      <w:start w:val="1"/>
      <w:numFmt w:val="lowerLetter"/>
      <w:lvlText w:val="%2."/>
      <w:lvlJc w:val="left"/>
      <w:pPr>
        <w:ind w:left="2234" w:hanging="360"/>
      </w:pPr>
    </w:lvl>
    <w:lvl w:ilvl="2" w:tplc="0C09001B">
      <w:start w:val="1"/>
      <w:numFmt w:val="lowerRoman"/>
      <w:lvlText w:val="%3."/>
      <w:lvlJc w:val="right"/>
      <w:pPr>
        <w:ind w:left="2954" w:hanging="180"/>
      </w:pPr>
    </w:lvl>
    <w:lvl w:ilvl="3" w:tplc="0C09000F">
      <w:start w:val="1"/>
      <w:numFmt w:val="decimal"/>
      <w:lvlText w:val="%4."/>
      <w:lvlJc w:val="left"/>
      <w:pPr>
        <w:ind w:left="3674" w:hanging="360"/>
      </w:pPr>
    </w:lvl>
    <w:lvl w:ilvl="4" w:tplc="0C090019">
      <w:start w:val="1"/>
      <w:numFmt w:val="lowerLetter"/>
      <w:lvlText w:val="%5."/>
      <w:lvlJc w:val="left"/>
      <w:pPr>
        <w:ind w:left="4394" w:hanging="360"/>
      </w:pPr>
    </w:lvl>
    <w:lvl w:ilvl="5" w:tplc="0C09001B">
      <w:start w:val="1"/>
      <w:numFmt w:val="lowerRoman"/>
      <w:lvlText w:val="%6."/>
      <w:lvlJc w:val="right"/>
      <w:pPr>
        <w:ind w:left="5114" w:hanging="180"/>
      </w:pPr>
    </w:lvl>
    <w:lvl w:ilvl="6" w:tplc="0C09000F">
      <w:start w:val="1"/>
      <w:numFmt w:val="decimal"/>
      <w:lvlText w:val="%7."/>
      <w:lvlJc w:val="left"/>
      <w:pPr>
        <w:ind w:left="5834" w:hanging="360"/>
      </w:pPr>
    </w:lvl>
    <w:lvl w:ilvl="7" w:tplc="0C090019">
      <w:start w:val="1"/>
      <w:numFmt w:val="lowerLetter"/>
      <w:lvlText w:val="%8."/>
      <w:lvlJc w:val="left"/>
      <w:pPr>
        <w:ind w:left="6554" w:hanging="360"/>
      </w:pPr>
    </w:lvl>
    <w:lvl w:ilvl="8" w:tplc="0C09001B">
      <w:start w:val="1"/>
      <w:numFmt w:val="lowerRoman"/>
      <w:lvlText w:val="%9."/>
      <w:lvlJc w:val="right"/>
      <w:pPr>
        <w:ind w:left="7274" w:hanging="180"/>
      </w:pPr>
    </w:lvl>
  </w:abstractNum>
  <w:abstractNum w:abstractNumId="12" w15:restartNumberingAfterBreak="0">
    <w:nsid w:val="77860EBC"/>
    <w:multiLevelType w:val="hybridMultilevel"/>
    <w:tmpl w:val="C956642C"/>
    <w:lvl w:ilvl="0" w:tplc="5E6A6772">
      <w:start w:val="1"/>
      <w:numFmt w:val="decimal"/>
      <w:lvlText w:val="%1."/>
      <w:lvlJc w:val="left"/>
      <w:pPr>
        <w:ind w:left="15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DF6965"/>
    <w:multiLevelType w:val="multilevel"/>
    <w:tmpl w:val="8C343274"/>
    <w:name w:val="Headings522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7D0A4858"/>
    <w:multiLevelType w:val="multilevel"/>
    <w:tmpl w:val="50F64AD0"/>
    <w:lvl w:ilvl="0">
      <w:start w:val="1"/>
      <w:numFmt w:val="lowerLetter"/>
      <w:lvlText w:val="%1)"/>
      <w:lvlJc w:val="left"/>
      <w:pPr>
        <w:tabs>
          <w:tab w:val="num" w:pos="1077"/>
        </w:tabs>
        <w:ind w:left="1077" w:hanging="283"/>
      </w:pPr>
      <w:rPr>
        <w:b w:val="0"/>
        <w:i w:val="0"/>
        <w:sz w:val="22"/>
      </w:rPr>
    </w:lvl>
    <w:lvl w:ilvl="1">
      <w:start w:val="1"/>
      <w:numFmt w:val="lowerLetter"/>
      <w:lvlText w:val="%2)"/>
      <w:lvlJc w:val="left"/>
      <w:pPr>
        <w:tabs>
          <w:tab w:val="num" w:pos="1361"/>
        </w:tabs>
        <w:ind w:left="1361" w:hanging="284"/>
      </w:pPr>
      <w:rPr>
        <w:rFonts w:ascii="Calibri" w:hAnsi="Calibri"/>
        <w:b w:val="0"/>
        <w:i w:val="0"/>
        <w:sz w:val="22"/>
      </w:rPr>
    </w:lvl>
    <w:lvl w:ilvl="2">
      <w:start w:val="1"/>
      <w:numFmt w:val="lowerRoman"/>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num w:numId="1" w16cid:durableId="1463036828">
    <w:abstractNumId w:val="4"/>
  </w:num>
  <w:num w:numId="2" w16cid:durableId="402147170">
    <w:abstractNumId w:val="1"/>
  </w:num>
  <w:num w:numId="3" w16cid:durableId="1352801997">
    <w:abstractNumId w:val="14"/>
  </w:num>
  <w:num w:numId="4" w16cid:durableId="1006639277">
    <w:abstractNumId w:val="5"/>
  </w:num>
  <w:num w:numId="5" w16cid:durableId="1130323461">
    <w:abstractNumId w:val="3"/>
  </w:num>
  <w:num w:numId="6" w16cid:durableId="1627853265">
    <w:abstractNumId w:val="7"/>
  </w:num>
  <w:num w:numId="7" w16cid:durableId="403841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582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0596167">
    <w:abstractNumId w:val="2"/>
  </w:num>
  <w:num w:numId="10" w16cid:durableId="1053119641">
    <w:abstractNumId w:val="9"/>
  </w:num>
  <w:num w:numId="11" w16cid:durableId="470751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2437330">
    <w:abstractNumId w:val="12"/>
  </w:num>
  <w:num w:numId="13" w16cid:durableId="227082501">
    <w:abstractNumId w:val="10"/>
  </w:num>
  <w:num w:numId="14" w16cid:durableId="902984117">
    <w:abstractNumId w:val="6"/>
  </w:num>
  <w:num w:numId="15" w16cid:durableId="79914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33"/>
    <w:rsid w:val="00004286"/>
    <w:rsid w:val="002C60CC"/>
    <w:rsid w:val="00494587"/>
    <w:rsid w:val="004F340C"/>
    <w:rsid w:val="005551CE"/>
    <w:rsid w:val="00591233"/>
    <w:rsid w:val="0061359B"/>
    <w:rsid w:val="0064429D"/>
    <w:rsid w:val="008A2FAF"/>
    <w:rsid w:val="008B7287"/>
    <w:rsid w:val="008D3718"/>
    <w:rsid w:val="00A01B12"/>
    <w:rsid w:val="00B67E15"/>
    <w:rsid w:val="00C90C80"/>
    <w:rsid w:val="00C976C1"/>
    <w:rsid w:val="00CF3628"/>
    <w:rsid w:val="00D42C73"/>
    <w:rsid w:val="00D50E76"/>
    <w:rsid w:val="00FD7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6E1B41"/>
  <w15:chartTrackingRefBased/>
  <w15:docId w15:val="{7697839E-6A81-4B46-BF83-57B266E6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33"/>
    <w:pPr>
      <w:spacing w:before="100" w:after="100" w:line="260" w:lineRule="atLeast"/>
    </w:pPr>
    <w:rPr>
      <w:rFonts w:ascii="Calibri" w:eastAsia="Times New Roman" w:hAnsi="Calibri" w:cs="Calibri"/>
      <w:lang w:eastAsia="en-AU"/>
    </w:rPr>
  </w:style>
  <w:style w:type="paragraph" w:styleId="Heading1">
    <w:name w:val="heading 1"/>
    <w:basedOn w:val="Normal"/>
    <w:next w:val="Normal"/>
    <w:link w:val="Heading1Char"/>
    <w:uiPriority w:val="9"/>
    <w:qFormat/>
    <w:rsid w:val="00591233"/>
    <w:pPr>
      <w:keepNext/>
      <w:keepLines/>
      <w:pageBreakBefore/>
      <w:spacing w:before="0" w:after="1120" w:line="216" w:lineRule="auto"/>
      <w:ind w:left="794"/>
      <w:outlineLvl w:val="0"/>
    </w:pPr>
    <w:rPr>
      <w:color w:val="660B68"/>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233"/>
    <w:rPr>
      <w:rFonts w:ascii="Calibri" w:eastAsia="Times New Roman" w:hAnsi="Calibri" w:cs="Calibri"/>
      <w:color w:val="660B68"/>
      <w:sz w:val="40"/>
      <w:szCs w:val="40"/>
    </w:rPr>
  </w:style>
  <w:style w:type="paragraph" w:customStyle="1" w:styleId="Bullet1">
    <w:name w:val="Bullet 1"/>
    <w:basedOn w:val="Normal"/>
    <w:uiPriority w:val="11"/>
    <w:qFormat/>
    <w:rsid w:val="00591233"/>
    <w:pPr>
      <w:numPr>
        <w:numId w:val="1"/>
      </w:numPr>
      <w:spacing w:before="0" w:after="0"/>
    </w:pPr>
  </w:style>
  <w:style w:type="paragraph" w:styleId="Footer">
    <w:name w:val="footer"/>
    <w:link w:val="FooterChar"/>
    <w:uiPriority w:val="24"/>
    <w:semiHidden/>
    <w:rsid w:val="00591233"/>
    <w:pPr>
      <w:tabs>
        <w:tab w:val="right" w:pos="8220"/>
      </w:tabs>
      <w:spacing w:after="0" w:line="240" w:lineRule="auto"/>
      <w:jc w:val="right"/>
    </w:pPr>
    <w:rPr>
      <w:rFonts w:ascii="Calibri" w:eastAsia="Times New Roman" w:hAnsi="Calibri" w:cs="Calibri"/>
      <w:noProof/>
      <w:sz w:val="20"/>
      <w:lang w:eastAsia="en-AU"/>
    </w:rPr>
  </w:style>
  <w:style w:type="character" w:customStyle="1" w:styleId="FooterChar">
    <w:name w:val="Footer Char"/>
    <w:basedOn w:val="DefaultParagraphFont"/>
    <w:link w:val="Footer"/>
    <w:uiPriority w:val="24"/>
    <w:semiHidden/>
    <w:rsid w:val="00591233"/>
    <w:rPr>
      <w:rFonts w:ascii="Calibri" w:eastAsia="Times New Roman" w:hAnsi="Calibri" w:cs="Calibri"/>
      <w:noProof/>
      <w:sz w:val="20"/>
      <w:lang w:eastAsia="en-AU"/>
    </w:rPr>
  </w:style>
  <w:style w:type="character" w:styleId="Hyperlink">
    <w:name w:val="Hyperlink"/>
    <w:uiPriority w:val="99"/>
    <w:rsid w:val="00591233"/>
    <w:rPr>
      <w:color w:val="660B68"/>
      <w:u w:val="none"/>
    </w:rPr>
  </w:style>
  <w:style w:type="character" w:styleId="PageNumber">
    <w:name w:val="page number"/>
    <w:uiPriority w:val="49"/>
    <w:semiHidden/>
    <w:rsid w:val="00591233"/>
    <w:rPr>
      <w:b/>
      <w:color w:val="4C4C4C"/>
      <w:sz w:val="28"/>
    </w:rPr>
  </w:style>
  <w:style w:type="paragraph" w:styleId="Header">
    <w:name w:val="header"/>
    <w:basedOn w:val="Normal"/>
    <w:link w:val="HeaderChar"/>
    <w:uiPriority w:val="24"/>
    <w:semiHidden/>
    <w:rsid w:val="00591233"/>
    <w:pPr>
      <w:tabs>
        <w:tab w:val="left" w:pos="930"/>
        <w:tab w:val="right" w:pos="10350"/>
      </w:tabs>
      <w:spacing w:before="480" w:after="200" w:line="240" w:lineRule="auto"/>
      <w:ind w:right="-465"/>
      <w:jc w:val="right"/>
    </w:pPr>
    <w:rPr>
      <w:noProof/>
      <w:sz w:val="28"/>
    </w:rPr>
  </w:style>
  <w:style w:type="character" w:customStyle="1" w:styleId="HeaderChar">
    <w:name w:val="Header Char"/>
    <w:basedOn w:val="DefaultParagraphFont"/>
    <w:link w:val="Header"/>
    <w:uiPriority w:val="24"/>
    <w:semiHidden/>
    <w:rsid w:val="00591233"/>
    <w:rPr>
      <w:rFonts w:ascii="Calibri" w:eastAsia="Times New Roman" w:hAnsi="Calibri" w:cs="Calibri"/>
      <w:noProof/>
      <w:sz w:val="28"/>
      <w:lang w:eastAsia="en-AU"/>
    </w:rPr>
  </w:style>
  <w:style w:type="paragraph" w:customStyle="1" w:styleId="Spacer">
    <w:name w:val="Spacer"/>
    <w:basedOn w:val="Normal"/>
    <w:uiPriority w:val="13"/>
    <w:qFormat/>
    <w:rsid w:val="00591233"/>
    <w:pPr>
      <w:spacing w:before="0" w:after="0" w:line="120" w:lineRule="atLeast"/>
    </w:pPr>
    <w:rPr>
      <w:sz w:val="12"/>
    </w:rPr>
  </w:style>
  <w:style w:type="paragraph" w:customStyle="1" w:styleId="Bullet2">
    <w:name w:val="Bullet 2"/>
    <w:basedOn w:val="Bullet1"/>
    <w:uiPriority w:val="11"/>
    <w:qFormat/>
    <w:rsid w:val="00591233"/>
    <w:pPr>
      <w:numPr>
        <w:ilvl w:val="1"/>
      </w:numPr>
    </w:pPr>
  </w:style>
  <w:style w:type="paragraph" w:customStyle="1" w:styleId="Bullet3">
    <w:name w:val="Bullet 3"/>
    <w:basedOn w:val="Bullet2"/>
    <w:uiPriority w:val="11"/>
    <w:qFormat/>
    <w:rsid w:val="00591233"/>
    <w:pPr>
      <w:numPr>
        <w:ilvl w:val="2"/>
      </w:numPr>
    </w:pPr>
  </w:style>
  <w:style w:type="paragraph" w:styleId="ListParagraph">
    <w:name w:val="List Paragraph"/>
    <w:basedOn w:val="Normal"/>
    <w:uiPriority w:val="34"/>
    <w:qFormat/>
    <w:rsid w:val="00591233"/>
    <w:pPr>
      <w:ind w:left="720"/>
      <w:contextualSpacing/>
    </w:pPr>
  </w:style>
  <w:style w:type="paragraph" w:styleId="TOC1">
    <w:name w:val="toc 1"/>
    <w:basedOn w:val="Normal"/>
    <w:next w:val="Normal"/>
    <w:autoRedefine/>
    <w:uiPriority w:val="39"/>
    <w:unhideWhenUsed/>
    <w:rsid w:val="00591233"/>
    <w:pPr>
      <w:tabs>
        <w:tab w:val="right" w:leader="dot" w:pos="9731"/>
      </w:tabs>
      <w:spacing w:before="120" w:after="240"/>
    </w:pPr>
    <w:rPr>
      <w:b/>
      <w:bCs/>
      <w:sz w:val="32"/>
      <w:szCs w:val="32"/>
    </w:rPr>
  </w:style>
  <w:style w:type="paragraph" w:styleId="Caption">
    <w:name w:val="caption"/>
    <w:basedOn w:val="Normal"/>
    <w:next w:val="Normal"/>
    <w:uiPriority w:val="35"/>
    <w:unhideWhenUsed/>
    <w:qFormat/>
    <w:rsid w:val="00591233"/>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yingfor.vic.gov.au/goods-and-services-procurement-policie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procurement.vic.gov.au" TargetMode="External"/><Relationship Id="rId19" Type="http://schemas.openxmlformats.org/officeDocument/2006/relationships/hyperlink" Target="mailto:IPpolicy@dtf.vic.gov.au" TargetMode="Externa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yperlink" Target="http://creativecommons.org/licenses/by/4.0/" TargetMode="Externa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9A624EA-C40A-46DB-A196-8B6858935C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Cattanach (DTF)</dc:creator>
  <cp:keywords/>
  <dc:description/>
  <cp:lastModifiedBy>Tharushi Liyanaarachchi (DGS)</cp:lastModifiedBy>
  <cp:revision>2</cp:revision>
  <dcterms:created xsi:type="dcterms:W3CDTF">2024-05-16T05:29:00Z</dcterms:created>
  <dcterms:modified xsi:type="dcterms:W3CDTF">2024-05-16T05:29:00Z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annalisa.cattanach@dtf.vic.gov.au</vt:lpwstr>
  </property>
  <property fmtid="{D5CDD505-2E9C-101B-9397-08002B2CF9AE}" pid="5" name="MSIP_Label_7158ebbd-6c5e-441f-bfc9-4eb8c11e3978_SetDate">
    <vt:lpwstr>2021-01-21T03:40:02.0960214Z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