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D08D" w14:textId="77777777" w:rsidR="00280334" w:rsidRPr="00264154" w:rsidRDefault="00280334" w:rsidP="00280334">
      <w:pPr>
        <w:pStyle w:val="Heading1"/>
        <w:rPr>
          <w:color w:val="404040"/>
        </w:rPr>
      </w:pPr>
      <w:bookmarkStart w:id="0" w:name="_Toc413937062"/>
      <w:bookmarkStart w:id="1" w:name="_Toc61971453"/>
      <w:bookmarkStart w:id="2" w:name="_Ref61971945"/>
      <w:r w:rsidRPr="00264154">
        <w:t>Policy Five: Contract management and contract disclosure</w:t>
      </w:r>
      <w:bookmarkEnd w:id="0"/>
      <w:bookmarkEnd w:id="1"/>
      <w:bookmarkEnd w:id="2"/>
    </w:p>
    <w:p w14:paraId="04D58DC3" w14:textId="77777777" w:rsidR="00280334" w:rsidRPr="00264154" w:rsidRDefault="00280334" w:rsidP="00280334">
      <w:pPr>
        <w:keepNext/>
        <w:keepLines/>
        <w:widowControl w:val="0"/>
        <w:spacing w:before="280" w:after="120" w:line="216" w:lineRule="auto"/>
        <w:ind w:left="794"/>
        <w:outlineLvl w:val="1"/>
        <w:rPr>
          <w:color w:val="4D4D4D"/>
          <w:sz w:val="32"/>
          <w:lang w:eastAsia="en-US"/>
        </w:rPr>
      </w:pPr>
      <w:bookmarkStart w:id="3" w:name="_Toc400706260"/>
      <w:bookmarkStart w:id="4" w:name="_Toc398647242"/>
      <w:bookmarkStart w:id="5" w:name="_Toc413924170"/>
      <w:bookmarkStart w:id="6" w:name="_Toc413937063"/>
      <w:r w:rsidRPr="00264154">
        <w:rPr>
          <w:color w:val="4D4D4D"/>
          <w:sz w:val="32"/>
          <w:lang w:eastAsia="en-US"/>
        </w:rPr>
        <w:t>Context</w:t>
      </w:r>
      <w:bookmarkEnd w:id="3"/>
      <w:bookmarkEnd w:id="4"/>
      <w:bookmarkEnd w:id="5"/>
      <w:bookmarkEnd w:id="6"/>
    </w:p>
    <w:p w14:paraId="0FAC31D5" w14:textId="77777777" w:rsidR="00280334" w:rsidRPr="00E329AC" w:rsidRDefault="00280334" w:rsidP="00280334">
      <w:pPr>
        <w:spacing w:line="240" w:lineRule="auto"/>
        <w:ind w:left="794"/>
        <w:rPr>
          <w:lang w:eastAsia="en-US"/>
        </w:rPr>
      </w:pPr>
      <w:r w:rsidRPr="00E329AC">
        <w:rPr>
          <w:lang w:eastAsia="en-US"/>
        </w:rPr>
        <w:t>This policy outlines the requirements for contract management and contract disclosure. It is mandatory for all Victorian Government departments and any public bodies (hereafter referred to as ‘organisations’) that are subject to the supply policies of the Victorian Government Purchasing Board (VGPB) except where supply policies are not mandatory for a public body in accordance with Policy One (Governance).</w:t>
      </w:r>
    </w:p>
    <w:p w14:paraId="5C007080" w14:textId="77777777" w:rsidR="00280334" w:rsidRPr="00E329AC" w:rsidRDefault="00280334" w:rsidP="00280334">
      <w:pPr>
        <w:spacing w:line="240" w:lineRule="auto"/>
        <w:ind w:left="794"/>
        <w:rPr>
          <w:lang w:eastAsia="en-US"/>
        </w:rPr>
      </w:pPr>
      <w:r w:rsidRPr="00E329AC">
        <w:rPr>
          <w:lang w:eastAsia="en-US"/>
        </w:rPr>
        <w:t>In meeting the VGPB mandatory requirements, the level of detail in the organisation’s procurement policies and processes will be determined by the Chief Procurement Officer or equivalent and will be commensurate with the organisation’s procurement profile.</w:t>
      </w:r>
    </w:p>
    <w:p w14:paraId="17E8BA37" w14:textId="77777777" w:rsidR="00280334" w:rsidRPr="00264154" w:rsidRDefault="00280334" w:rsidP="00280334">
      <w:pPr>
        <w:spacing w:line="240" w:lineRule="auto"/>
        <w:ind w:left="794"/>
        <w:rPr>
          <w:lang w:eastAsia="en-US"/>
        </w:rPr>
      </w:pPr>
      <w:r w:rsidRPr="00264154">
        <w:rPr>
          <w:lang w:eastAsia="en-US"/>
        </w:rPr>
        <w:t xml:space="preserve">The </w:t>
      </w:r>
      <w:r w:rsidRPr="00264154">
        <w:rPr>
          <w:i/>
          <w:lang w:eastAsia="en-US"/>
        </w:rPr>
        <w:t>Contract management and contract disclosure policy</w:t>
      </w:r>
      <w:r w:rsidRPr="00264154">
        <w:rPr>
          <w:lang w:eastAsia="en-US"/>
        </w:rPr>
        <w:t xml:space="preserve"> covers two components.</w:t>
      </w:r>
    </w:p>
    <w:p w14:paraId="563C900B" w14:textId="77777777" w:rsidR="00280334" w:rsidRPr="00264154" w:rsidRDefault="00280334" w:rsidP="00280334">
      <w:pPr>
        <w:keepNext/>
        <w:keepLines/>
        <w:widowControl w:val="0"/>
        <w:numPr>
          <w:ilvl w:val="0"/>
          <w:numId w:val="11"/>
        </w:numPr>
        <w:spacing w:before="200" w:after="120" w:line="216" w:lineRule="auto"/>
        <w:ind w:left="1134"/>
        <w:outlineLvl w:val="2"/>
        <w:rPr>
          <w:b/>
          <w:color w:val="4D4D4D"/>
          <w:kern w:val="28"/>
          <w:sz w:val="26"/>
          <w:lang w:eastAsia="en-US"/>
        </w:rPr>
      </w:pPr>
      <w:bookmarkStart w:id="7" w:name="_Toc398647243"/>
      <w:bookmarkStart w:id="8" w:name="_Toc413924171"/>
      <w:bookmarkStart w:id="9" w:name="_Toc413937064"/>
      <w:r w:rsidRPr="00264154">
        <w:rPr>
          <w:b/>
          <w:color w:val="4D4D4D"/>
          <w:kern w:val="28"/>
          <w:sz w:val="26"/>
          <w:lang w:eastAsia="en-US"/>
        </w:rPr>
        <w:t xml:space="preserve">Contract </w:t>
      </w:r>
      <w:proofErr w:type="gramStart"/>
      <w:r w:rsidRPr="00264154">
        <w:rPr>
          <w:b/>
          <w:color w:val="4D4D4D"/>
          <w:kern w:val="28"/>
          <w:sz w:val="26"/>
          <w:lang w:eastAsia="en-US"/>
        </w:rPr>
        <w:t>management</w:t>
      </w:r>
      <w:bookmarkEnd w:id="7"/>
      <w:bookmarkEnd w:id="8"/>
      <w:bookmarkEnd w:id="9"/>
      <w:proofErr w:type="gramEnd"/>
    </w:p>
    <w:p w14:paraId="6C6EDB72" w14:textId="77777777" w:rsidR="00280334" w:rsidRPr="00264154" w:rsidRDefault="00280334" w:rsidP="00280334">
      <w:pPr>
        <w:spacing w:line="240" w:lineRule="auto"/>
        <w:ind w:left="794"/>
      </w:pPr>
      <w:r w:rsidRPr="00264154">
        <w:t xml:space="preserve">Contract management is the systematic and efficient management of contract creation, </w:t>
      </w:r>
      <w:proofErr w:type="gramStart"/>
      <w:r w:rsidRPr="00264154">
        <w:t>execution</w:t>
      </w:r>
      <w:proofErr w:type="gramEnd"/>
      <w:r w:rsidRPr="00264154">
        <w:t xml:space="preserve"> and analysis for the purpose of maximising financial and operational performance and minimising risk. </w:t>
      </w:r>
    </w:p>
    <w:p w14:paraId="73E5A25E" w14:textId="77777777" w:rsidR="00280334" w:rsidRPr="00264154" w:rsidRDefault="00280334" w:rsidP="00280334">
      <w:pPr>
        <w:keepNext/>
        <w:keepLines/>
        <w:widowControl w:val="0"/>
        <w:numPr>
          <w:ilvl w:val="0"/>
          <w:numId w:val="11"/>
        </w:numPr>
        <w:spacing w:before="200" w:after="120" w:line="216" w:lineRule="auto"/>
        <w:ind w:left="1134"/>
        <w:outlineLvl w:val="2"/>
        <w:rPr>
          <w:b/>
          <w:color w:val="4D4D4D"/>
          <w:kern w:val="28"/>
          <w:sz w:val="26"/>
          <w:lang w:eastAsia="en-US"/>
        </w:rPr>
      </w:pPr>
      <w:bookmarkStart w:id="10" w:name="_Toc398647244"/>
      <w:bookmarkStart w:id="11" w:name="_Toc413924172"/>
      <w:bookmarkStart w:id="12" w:name="_Toc413937065"/>
      <w:r w:rsidRPr="00264154">
        <w:rPr>
          <w:b/>
          <w:color w:val="4D4D4D"/>
          <w:kern w:val="28"/>
          <w:sz w:val="26"/>
          <w:lang w:eastAsia="en-US"/>
        </w:rPr>
        <w:t xml:space="preserve">Contract </w:t>
      </w:r>
      <w:proofErr w:type="gramStart"/>
      <w:r w:rsidRPr="00264154">
        <w:rPr>
          <w:b/>
          <w:color w:val="4D4D4D"/>
          <w:kern w:val="28"/>
          <w:sz w:val="26"/>
          <w:lang w:eastAsia="en-US"/>
        </w:rPr>
        <w:t>disclosure</w:t>
      </w:r>
      <w:bookmarkEnd w:id="10"/>
      <w:bookmarkEnd w:id="11"/>
      <w:bookmarkEnd w:id="12"/>
      <w:proofErr w:type="gramEnd"/>
      <w:r w:rsidRPr="00264154">
        <w:rPr>
          <w:b/>
          <w:color w:val="4D4D4D"/>
          <w:kern w:val="28"/>
          <w:sz w:val="26"/>
          <w:lang w:eastAsia="en-US"/>
        </w:rPr>
        <w:t xml:space="preserve"> </w:t>
      </w:r>
    </w:p>
    <w:p w14:paraId="4B92D706" w14:textId="77777777" w:rsidR="00280334" w:rsidRPr="00264154" w:rsidRDefault="00280334" w:rsidP="00280334">
      <w:pPr>
        <w:spacing w:line="240" w:lineRule="auto"/>
        <w:ind w:left="794"/>
      </w:pPr>
      <w:r w:rsidRPr="00264154">
        <w:t xml:space="preserve">An organisation makes specific information available to the community on the contracts it has </w:t>
      </w:r>
      <w:proofErr w:type="gramStart"/>
      <w:r w:rsidRPr="00264154">
        <w:t>entered into</w:t>
      </w:r>
      <w:proofErr w:type="gramEnd"/>
      <w:r w:rsidRPr="00264154">
        <w:t xml:space="preserve"> with a supplier.</w:t>
      </w:r>
    </w:p>
    <w:p w14:paraId="5B4FEA27" w14:textId="77777777" w:rsidR="00280334" w:rsidRPr="00264154" w:rsidRDefault="00280334" w:rsidP="00280334">
      <w:pPr>
        <w:spacing w:line="240" w:lineRule="auto"/>
        <w:ind w:left="794"/>
        <w:rPr>
          <w:lang w:eastAsia="en-US"/>
        </w:rPr>
      </w:pPr>
    </w:p>
    <w:tbl>
      <w:tblPr>
        <w:tblW w:w="0" w:type="auto"/>
        <w:tblInd w:w="851"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firstRow="1" w:lastRow="1" w:firstColumn="1" w:lastColumn="1" w:noHBand="0" w:noVBand="0"/>
      </w:tblPr>
      <w:tblGrid>
        <w:gridCol w:w="8334"/>
      </w:tblGrid>
      <w:tr w:rsidR="00280334" w:rsidRPr="00264154" w14:paraId="0184C2B8" w14:textId="77777777" w:rsidTr="00EE2704">
        <w:trPr>
          <w:cantSplit/>
        </w:trPr>
        <w:tc>
          <w:tcPr>
            <w:tcW w:w="8334" w:type="dxa"/>
            <w:tcBorders>
              <w:top w:val="single" w:sz="4" w:space="0" w:color="auto"/>
              <w:left w:val="single" w:sz="4" w:space="0" w:color="auto"/>
              <w:bottom w:val="single" w:sz="4" w:space="0" w:color="auto"/>
              <w:right w:val="single" w:sz="4" w:space="0" w:color="auto"/>
            </w:tcBorders>
            <w:shd w:val="clear" w:color="auto" w:fill="D9D9D9"/>
            <w:hideMark/>
          </w:tcPr>
          <w:p w14:paraId="23D6C65E" w14:textId="77777777" w:rsidR="00280334" w:rsidRPr="00264154" w:rsidRDefault="00280334" w:rsidP="00EE2704">
            <w:pPr>
              <w:spacing w:before="0" w:after="0" w:line="240" w:lineRule="auto"/>
              <w:rPr>
                <w:color w:val="4C4C4C"/>
                <w:szCs w:val="20"/>
              </w:rPr>
            </w:pPr>
            <w:r w:rsidRPr="00264154">
              <w:rPr>
                <w:color w:val="4C4C4C"/>
                <w:szCs w:val="20"/>
              </w:rPr>
              <w:t xml:space="preserve">For further information and advice on applying VGPB policies (including guides, </w:t>
            </w:r>
            <w:proofErr w:type="gramStart"/>
            <w:r w:rsidRPr="00264154">
              <w:rPr>
                <w:color w:val="4C4C4C"/>
                <w:szCs w:val="20"/>
              </w:rPr>
              <w:t>tools</w:t>
            </w:r>
            <w:proofErr w:type="gramEnd"/>
            <w:r w:rsidRPr="00264154">
              <w:rPr>
                <w:color w:val="4C4C4C"/>
                <w:szCs w:val="20"/>
              </w:rPr>
              <w:t xml:space="preserve"> and templates), visit the Procurement Victoria website at </w:t>
            </w:r>
            <w:hyperlink r:id="rId8" w:history="1">
              <w:r w:rsidRPr="00264154">
                <w:rPr>
                  <w:color w:val="404040"/>
                  <w:szCs w:val="20"/>
                </w:rPr>
                <w:t>http://www.procurement.vic.gov.au</w:t>
              </w:r>
            </w:hyperlink>
            <w:r w:rsidRPr="00264154">
              <w:rPr>
                <w:color w:val="4C4C4C"/>
                <w:szCs w:val="20"/>
              </w:rPr>
              <w:t>.</w:t>
            </w:r>
          </w:p>
        </w:tc>
      </w:tr>
    </w:tbl>
    <w:p w14:paraId="5D2EB3A8" w14:textId="77777777" w:rsidR="00280334" w:rsidRPr="00264154" w:rsidRDefault="00280334" w:rsidP="00280334">
      <w:pPr>
        <w:spacing w:line="240" w:lineRule="auto"/>
        <w:ind w:left="794"/>
        <w:rPr>
          <w:lang w:eastAsia="en-US"/>
        </w:rPr>
      </w:pPr>
    </w:p>
    <w:p w14:paraId="63AF1151" w14:textId="77777777" w:rsidR="00280334" w:rsidRPr="00264154" w:rsidRDefault="00280334" w:rsidP="00280334">
      <w:pPr>
        <w:keepNext/>
        <w:keepLines/>
        <w:pageBreakBefore/>
        <w:numPr>
          <w:ilvl w:val="0"/>
          <w:numId w:val="15"/>
        </w:numPr>
        <w:spacing w:before="0" w:after="1120" w:line="216" w:lineRule="auto"/>
        <w:outlineLvl w:val="0"/>
        <w:rPr>
          <w:color w:val="404040"/>
          <w:sz w:val="40"/>
          <w:lang w:eastAsia="en-US"/>
        </w:rPr>
      </w:pPr>
      <w:bookmarkStart w:id="13" w:name="_Toc400706261"/>
      <w:bookmarkStart w:id="14" w:name="_Toc398647245"/>
      <w:bookmarkStart w:id="15" w:name="_Toc413924173"/>
      <w:bookmarkStart w:id="16" w:name="_Toc413937066"/>
      <w:bookmarkStart w:id="17" w:name="_Toc61971454"/>
      <w:r w:rsidRPr="00264154">
        <w:rPr>
          <w:color w:val="404040"/>
          <w:sz w:val="40"/>
          <w:lang w:eastAsia="en-US"/>
        </w:rPr>
        <w:lastRenderedPageBreak/>
        <w:t xml:space="preserve">Contract </w:t>
      </w:r>
      <w:proofErr w:type="gramStart"/>
      <w:r w:rsidRPr="00264154">
        <w:rPr>
          <w:color w:val="404040"/>
          <w:sz w:val="40"/>
          <w:lang w:eastAsia="en-US"/>
        </w:rPr>
        <w:t>management</w:t>
      </w:r>
      <w:bookmarkEnd w:id="13"/>
      <w:bookmarkEnd w:id="14"/>
      <w:bookmarkEnd w:id="15"/>
      <w:bookmarkEnd w:id="16"/>
      <w:bookmarkEnd w:id="17"/>
      <w:proofErr w:type="gramEnd"/>
    </w:p>
    <w:p w14:paraId="4E383B33" w14:textId="77777777" w:rsidR="00280334" w:rsidRPr="00264154" w:rsidRDefault="00280334" w:rsidP="00280334">
      <w:pPr>
        <w:spacing w:line="240" w:lineRule="auto"/>
      </w:pPr>
      <w:r w:rsidRPr="00A657A8">
        <w:rPr>
          <w:sz w:val="28"/>
          <w:szCs w:val="28"/>
        </w:rPr>
        <w:t>1.1</w:t>
      </w:r>
      <w:r>
        <w:tab/>
      </w:r>
      <w:r w:rsidRPr="00264154">
        <w:t>Contract management operates at two distinct levels:</w:t>
      </w:r>
    </w:p>
    <w:p w14:paraId="5E43E725" w14:textId="77777777" w:rsidR="00280334" w:rsidRPr="00264154" w:rsidRDefault="00280334" w:rsidP="00280334">
      <w:pPr>
        <w:numPr>
          <w:ilvl w:val="0"/>
          <w:numId w:val="1"/>
        </w:numPr>
        <w:tabs>
          <w:tab w:val="clear" w:pos="360"/>
          <w:tab w:val="num" w:pos="1077"/>
        </w:tabs>
        <w:spacing w:before="80" w:after="80" w:line="240" w:lineRule="auto"/>
        <w:ind w:left="1077" w:hanging="283"/>
      </w:pPr>
      <w:r w:rsidRPr="00264154">
        <w:t>at the level of the organisation as a high</w:t>
      </w:r>
      <w:r w:rsidRPr="00264154">
        <w:noBreakHyphen/>
        <w:t xml:space="preserve">level contract management planning strategy (CMPS); and </w:t>
      </w:r>
    </w:p>
    <w:p w14:paraId="6E076B8D" w14:textId="77777777" w:rsidR="00280334" w:rsidRPr="00264154" w:rsidRDefault="00280334" w:rsidP="00280334">
      <w:pPr>
        <w:numPr>
          <w:ilvl w:val="0"/>
          <w:numId w:val="1"/>
        </w:numPr>
        <w:tabs>
          <w:tab w:val="clear" w:pos="360"/>
          <w:tab w:val="num" w:pos="1077"/>
        </w:tabs>
        <w:spacing w:before="80" w:after="80" w:line="240" w:lineRule="auto"/>
        <w:ind w:left="1077" w:hanging="283"/>
      </w:pPr>
      <w:r w:rsidRPr="00264154">
        <w:t>at the level of individual procurement activity.</w:t>
      </w:r>
    </w:p>
    <w:p w14:paraId="2DB5FCC1" w14:textId="77777777" w:rsidR="00280334" w:rsidRPr="00264154" w:rsidRDefault="00280334" w:rsidP="00280334">
      <w:pPr>
        <w:keepNext/>
        <w:keepLines/>
        <w:widowControl w:val="0"/>
        <w:numPr>
          <w:ilvl w:val="2"/>
          <w:numId w:val="15"/>
        </w:numPr>
        <w:spacing w:before="200" w:after="120" w:line="216" w:lineRule="auto"/>
        <w:outlineLvl w:val="2"/>
        <w:rPr>
          <w:b/>
          <w:color w:val="4D4D4D"/>
          <w:sz w:val="28"/>
          <w:lang w:eastAsia="en-US"/>
        </w:rPr>
      </w:pPr>
      <w:bookmarkStart w:id="18" w:name="_Toc413924174"/>
      <w:bookmarkStart w:id="19" w:name="_Toc413937067"/>
      <w:r w:rsidRPr="00264154">
        <w:rPr>
          <w:b/>
          <w:color w:val="4D4D4D"/>
          <w:sz w:val="28"/>
          <w:lang w:eastAsia="en-US"/>
        </w:rPr>
        <w:t xml:space="preserve">Contract management at the organisational </w:t>
      </w:r>
      <w:proofErr w:type="gramStart"/>
      <w:r w:rsidRPr="00264154">
        <w:rPr>
          <w:b/>
          <w:color w:val="4D4D4D"/>
          <w:sz w:val="28"/>
          <w:lang w:eastAsia="en-US"/>
        </w:rPr>
        <w:t>level</w:t>
      </w:r>
      <w:bookmarkEnd w:id="18"/>
      <w:bookmarkEnd w:id="19"/>
      <w:proofErr w:type="gramEnd"/>
    </w:p>
    <w:p w14:paraId="39AE4DC2" w14:textId="77777777" w:rsidR="00280334" w:rsidRPr="00264154" w:rsidRDefault="00280334" w:rsidP="00280334">
      <w:pPr>
        <w:spacing w:line="240" w:lineRule="auto"/>
        <w:ind w:left="794"/>
      </w:pPr>
      <w:r w:rsidRPr="00264154">
        <w:t xml:space="preserve">At the organisational level, a CMPS can identify how individual contracts in a procurement category could be managed. It positions contract management issues at the beginning of the procurement planning cycle and allows for the effective allocation of resources. </w:t>
      </w:r>
    </w:p>
    <w:p w14:paraId="6EE9D68D" w14:textId="77777777" w:rsidR="00280334" w:rsidRPr="00264154" w:rsidRDefault="00280334" w:rsidP="00280334">
      <w:pPr>
        <w:spacing w:line="240" w:lineRule="auto"/>
        <w:ind w:left="794"/>
      </w:pPr>
      <w:r w:rsidRPr="00264154">
        <w:t xml:space="preserve">Developing a CMPS takes place at the beginning of the planning process after identifying procurement categories and carrying out an assessment of complexity. </w:t>
      </w:r>
    </w:p>
    <w:p w14:paraId="1BD8DF94" w14:textId="77777777" w:rsidR="00280334" w:rsidRPr="00264154" w:rsidRDefault="00280334" w:rsidP="00280334">
      <w:pPr>
        <w:spacing w:line="240" w:lineRule="auto"/>
        <w:ind w:left="794"/>
      </w:pPr>
      <w:r w:rsidRPr="00264154">
        <w:t>Figure 1 indicates where the CMPS is considered and developed in the procurement process.</w:t>
      </w:r>
    </w:p>
    <w:p w14:paraId="6A05EA15" w14:textId="77777777" w:rsidR="00280334" w:rsidRPr="00264154" w:rsidRDefault="00280334" w:rsidP="00280334">
      <w:pPr>
        <w:keepNext/>
        <w:keepLines/>
        <w:tabs>
          <w:tab w:val="left" w:pos="851"/>
        </w:tabs>
        <w:spacing w:before="60" w:after="60" w:line="228" w:lineRule="auto"/>
        <w:ind w:left="794"/>
        <w:rPr>
          <w:b/>
        </w:rPr>
      </w:pPr>
      <w:r w:rsidRPr="00264154">
        <w:rPr>
          <w:b/>
        </w:rPr>
        <w:t>Figure 1: Contract management at the organisation level</w:t>
      </w:r>
    </w:p>
    <w:p w14:paraId="7FF2261B" w14:textId="77777777" w:rsidR="00280334" w:rsidRPr="00264154" w:rsidRDefault="00280334" w:rsidP="00280334">
      <w:pPr>
        <w:spacing w:line="240" w:lineRule="auto"/>
        <w:ind w:left="794"/>
      </w:pPr>
      <w:r w:rsidRPr="00264154">
        <w:object w:dxaOrig="8805" w:dyaOrig="975" w14:anchorId="217C3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49.15pt" o:ole="">
            <v:imagedata r:id="rId9" o:title=""/>
          </v:shape>
          <o:OLEObject Type="Embed" ProgID="Visio.Drawing.11" ShapeID="_x0000_i1025" DrawAspect="Content" ObjectID="_1777375048" r:id="rId10"/>
        </w:object>
      </w:r>
    </w:p>
    <w:p w14:paraId="07ACCB07" w14:textId="77777777" w:rsidR="00280334" w:rsidRPr="00264154" w:rsidRDefault="00280334" w:rsidP="00280334">
      <w:pPr>
        <w:keepNext/>
        <w:keepLines/>
        <w:widowControl w:val="0"/>
        <w:numPr>
          <w:ilvl w:val="2"/>
          <w:numId w:val="15"/>
        </w:numPr>
        <w:spacing w:before="200" w:after="120" w:line="216" w:lineRule="auto"/>
        <w:outlineLvl w:val="2"/>
        <w:rPr>
          <w:b/>
          <w:color w:val="4D4D4D"/>
          <w:sz w:val="28"/>
          <w:lang w:eastAsia="en-US"/>
        </w:rPr>
      </w:pPr>
      <w:bookmarkStart w:id="20" w:name="_Toc398647247"/>
      <w:bookmarkStart w:id="21" w:name="_Toc323212960"/>
      <w:bookmarkStart w:id="22" w:name="_Toc413924175"/>
      <w:bookmarkStart w:id="23" w:name="_Toc413937068"/>
      <w:r w:rsidRPr="00264154">
        <w:rPr>
          <w:b/>
          <w:color w:val="4D4D4D"/>
          <w:sz w:val="28"/>
          <w:lang w:eastAsia="en-US"/>
        </w:rPr>
        <w:t xml:space="preserve">Contract management at the individual procurement </w:t>
      </w:r>
      <w:proofErr w:type="gramStart"/>
      <w:r w:rsidRPr="00264154">
        <w:rPr>
          <w:b/>
          <w:color w:val="4D4D4D"/>
          <w:sz w:val="28"/>
          <w:lang w:eastAsia="en-US"/>
        </w:rPr>
        <w:t>level</w:t>
      </w:r>
      <w:bookmarkEnd w:id="20"/>
      <w:bookmarkEnd w:id="21"/>
      <w:bookmarkEnd w:id="22"/>
      <w:bookmarkEnd w:id="23"/>
      <w:proofErr w:type="gramEnd"/>
    </w:p>
    <w:p w14:paraId="0AF590B5" w14:textId="77777777" w:rsidR="00280334" w:rsidRPr="00264154" w:rsidRDefault="00280334" w:rsidP="00280334">
      <w:pPr>
        <w:spacing w:line="240" w:lineRule="auto"/>
        <w:ind w:left="794"/>
      </w:pPr>
      <w:r w:rsidRPr="00264154">
        <w:t>At the individual procurement activity level, contract management is the management of contracts made with supplier(s) to ensure that goods and services are delivered as agreed over the life of the contract and that value for money is consistently achieved. Contract management as a function can extend beyond the current term of the contract where there are ongoing obligations associated with maintenance agreements, warranties and guarantees.</w:t>
      </w:r>
    </w:p>
    <w:p w14:paraId="09BD15F9" w14:textId="77777777" w:rsidR="00280334" w:rsidRPr="00264154" w:rsidRDefault="00280334" w:rsidP="00280334">
      <w:pPr>
        <w:spacing w:line="240" w:lineRule="auto"/>
        <w:ind w:left="794"/>
      </w:pPr>
      <w:r w:rsidRPr="00264154">
        <w:t>Consideration of contract management issues is relevant across the elements of market analysis and review and market approach.</w:t>
      </w:r>
    </w:p>
    <w:p w14:paraId="360096FF" w14:textId="77777777" w:rsidR="00280334" w:rsidRPr="00264154" w:rsidRDefault="00280334" w:rsidP="00280334">
      <w:pPr>
        <w:spacing w:line="240" w:lineRule="auto"/>
        <w:ind w:left="794"/>
      </w:pPr>
      <w:r w:rsidRPr="00264154">
        <w:t xml:space="preserve">At the market approach stage of sourcing, it can inform prospective suppliers about the organisation’s intended legal arrangement in delivering the procurement requirement. </w:t>
      </w:r>
    </w:p>
    <w:p w14:paraId="4FAD8E8D" w14:textId="77777777" w:rsidR="00280334" w:rsidRPr="00264154" w:rsidRDefault="00280334" w:rsidP="00280334">
      <w:pPr>
        <w:spacing w:line="240" w:lineRule="auto"/>
        <w:ind w:left="794"/>
      </w:pPr>
      <w:r w:rsidRPr="00264154">
        <w:t>Figure 2 highlights the stages at which contract management is considered and implemented at the individual procurement activity level.</w:t>
      </w:r>
    </w:p>
    <w:p w14:paraId="50428FDD" w14:textId="77777777" w:rsidR="00280334" w:rsidRPr="00264154" w:rsidRDefault="00280334" w:rsidP="00280334">
      <w:pPr>
        <w:keepNext/>
        <w:keepLines/>
        <w:tabs>
          <w:tab w:val="left" w:pos="851"/>
        </w:tabs>
        <w:spacing w:before="60" w:after="60" w:line="228" w:lineRule="auto"/>
        <w:ind w:left="794"/>
        <w:rPr>
          <w:b/>
        </w:rPr>
      </w:pPr>
      <w:r w:rsidRPr="00264154">
        <w:rPr>
          <w:b/>
        </w:rPr>
        <w:t>Figure 2: Contract management at the individual procurement level</w:t>
      </w:r>
    </w:p>
    <w:p w14:paraId="2495E68E" w14:textId="77777777" w:rsidR="00280334" w:rsidRPr="00264154" w:rsidRDefault="00280334" w:rsidP="00280334">
      <w:pPr>
        <w:spacing w:line="240" w:lineRule="auto"/>
        <w:ind w:left="794"/>
        <w:rPr>
          <w:sz w:val="16"/>
          <w:szCs w:val="16"/>
        </w:rPr>
      </w:pPr>
      <w:r w:rsidRPr="00264154">
        <w:object w:dxaOrig="8850" w:dyaOrig="1095" w14:anchorId="35D83264">
          <v:shape id="_x0000_i1026" type="#_x0000_t75" style="width:443.2pt;height:55.2pt" o:ole="">
            <v:imagedata r:id="rId11" o:title=""/>
          </v:shape>
          <o:OLEObject Type="Embed" ProgID="Visio.Drawing.11" ShapeID="_x0000_i1026" DrawAspect="Content" ObjectID="_1777375049" r:id="rId12"/>
        </w:object>
      </w:r>
    </w:p>
    <w:p w14:paraId="25BAA430" w14:textId="77777777" w:rsidR="00280334" w:rsidRPr="00264154" w:rsidRDefault="00280334" w:rsidP="00280334">
      <w:pPr>
        <w:spacing w:before="0" w:after="0" w:line="240" w:lineRule="auto"/>
        <w:rPr>
          <w:color w:val="4D4D4D"/>
          <w:sz w:val="32"/>
          <w:lang w:eastAsia="en-US"/>
        </w:rPr>
      </w:pPr>
      <w:r w:rsidRPr="00264154">
        <w:br w:type="page"/>
      </w:r>
      <w:bookmarkStart w:id="24" w:name="_Toc398647248"/>
    </w:p>
    <w:p w14:paraId="04398DAC" w14:textId="77777777" w:rsidR="00280334" w:rsidRPr="00264154" w:rsidRDefault="00280334" w:rsidP="00280334">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25" w:name="_Toc400706262"/>
      <w:bookmarkStart w:id="26" w:name="_Toc413924176"/>
      <w:bookmarkStart w:id="27" w:name="_Toc413937069"/>
      <w:r>
        <w:rPr>
          <w:color w:val="4D4D4D"/>
          <w:sz w:val="32"/>
          <w:lang w:eastAsia="en-US"/>
        </w:rPr>
        <w:lastRenderedPageBreak/>
        <w:t>1.2</w:t>
      </w:r>
      <w:r>
        <w:rPr>
          <w:color w:val="4D4D4D"/>
          <w:sz w:val="32"/>
          <w:lang w:eastAsia="en-US"/>
        </w:rPr>
        <w:tab/>
      </w:r>
      <w:r w:rsidRPr="00264154">
        <w:rPr>
          <w:color w:val="4D4D4D"/>
          <w:sz w:val="32"/>
          <w:lang w:eastAsia="en-US"/>
        </w:rPr>
        <w:t>Mandatory requirements</w:t>
      </w:r>
      <w:bookmarkEnd w:id="24"/>
      <w:bookmarkEnd w:id="25"/>
      <w:bookmarkEnd w:id="26"/>
      <w:bookmarkEnd w:id="27"/>
    </w:p>
    <w:p w14:paraId="2EFCB6DC" w14:textId="77777777" w:rsidR="00280334" w:rsidRPr="00264154" w:rsidRDefault="00280334" w:rsidP="00280334">
      <w:pPr>
        <w:spacing w:line="240" w:lineRule="auto"/>
        <w:ind w:left="794"/>
      </w:pPr>
      <w:r w:rsidRPr="00264154">
        <w:t>The organisation must manage its contracts in a manner that is appropriate for the complexity and risk of the procurement activity.</w:t>
      </w:r>
    </w:p>
    <w:p w14:paraId="2FFFD251" w14:textId="77777777" w:rsidR="00280334" w:rsidRPr="00264154" w:rsidRDefault="00280334" w:rsidP="00280334">
      <w:pPr>
        <w:spacing w:line="240" w:lineRule="auto"/>
        <w:ind w:left="794"/>
      </w:pPr>
      <w:r w:rsidRPr="00264154">
        <w:t xml:space="preserve">At a minimum, the organisation must develop: </w:t>
      </w:r>
    </w:p>
    <w:p w14:paraId="04343057" w14:textId="4A21FDD4"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a CMPS for categories of that represent a significant proportion of the organisation’s </w:t>
      </w:r>
      <w:proofErr w:type="gramStart"/>
      <w:r w:rsidRPr="00264154">
        <w:t>spend</w:t>
      </w:r>
      <w:proofErr w:type="gramEnd"/>
    </w:p>
    <w:p w14:paraId="612F34F2" w14:textId="15139B0A"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a contract management plan for each individual procurement activity that is critical and high </w:t>
      </w:r>
      <w:proofErr w:type="gramStart"/>
      <w:r w:rsidRPr="00264154">
        <w:t>risk</w:t>
      </w:r>
      <w:proofErr w:type="gramEnd"/>
    </w:p>
    <w:p w14:paraId="6B0F22B8" w14:textId="77777777" w:rsidR="00280334" w:rsidRPr="00264154" w:rsidRDefault="00280334" w:rsidP="00280334">
      <w:pPr>
        <w:spacing w:line="240" w:lineRule="auto"/>
        <w:ind w:left="794"/>
      </w:pPr>
      <w:r w:rsidRPr="00264154">
        <w:t>The accountable officer must ensure that:</w:t>
      </w:r>
    </w:p>
    <w:p w14:paraId="3EB3E1E2" w14:textId="105276CE"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contracts are managed on behalf of the organisation by people with sufficient </w:t>
      </w:r>
      <w:proofErr w:type="gramStart"/>
      <w:r w:rsidRPr="00264154">
        <w:t>capability</w:t>
      </w:r>
      <w:proofErr w:type="gramEnd"/>
    </w:p>
    <w:p w14:paraId="15ED6A74" w14:textId="46A4642C"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contracts clearly define the performance standards, review mechanisms and deliverables required from the </w:t>
      </w:r>
      <w:proofErr w:type="gramStart"/>
      <w:r w:rsidRPr="00264154">
        <w:t>supplier</w:t>
      </w:r>
      <w:proofErr w:type="gramEnd"/>
    </w:p>
    <w:p w14:paraId="5019A554" w14:textId="77777777" w:rsidR="00280334" w:rsidRPr="00264154" w:rsidRDefault="00280334" w:rsidP="00280334">
      <w:pPr>
        <w:spacing w:line="240" w:lineRule="auto"/>
        <w:ind w:left="794"/>
      </w:pPr>
      <w:r w:rsidRPr="00264154">
        <w:t>The organisation must:</w:t>
      </w:r>
    </w:p>
    <w:p w14:paraId="02E86268" w14:textId="639446FB"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keep an appropriate record of contracts on </w:t>
      </w:r>
      <w:proofErr w:type="gramStart"/>
      <w:r w:rsidRPr="00264154">
        <w:t>a contracts</w:t>
      </w:r>
      <w:proofErr w:type="gramEnd"/>
      <w:r w:rsidRPr="00264154">
        <w:t xml:space="preserve"> register</w:t>
      </w:r>
    </w:p>
    <w:p w14:paraId="2813EFEC" w14:textId="4A73F030"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monitor contracts to ensure the expiry dates of insurance certificates are current and new certificates are obtained prior to </w:t>
      </w:r>
      <w:proofErr w:type="gramStart"/>
      <w:r w:rsidRPr="00264154">
        <w:t>expiry</w:t>
      </w:r>
      <w:proofErr w:type="gramEnd"/>
    </w:p>
    <w:p w14:paraId="1FE7F6CC" w14:textId="77777777" w:rsidR="00280334" w:rsidRPr="008C2AE1" w:rsidRDefault="00280334" w:rsidP="00280334">
      <w:pPr>
        <w:pStyle w:val="ListParagraph"/>
        <w:keepNext/>
        <w:keepLines/>
        <w:pageBreakBefore/>
        <w:numPr>
          <w:ilvl w:val="0"/>
          <w:numId w:val="15"/>
        </w:numPr>
        <w:spacing w:before="0" w:after="1120" w:line="216" w:lineRule="auto"/>
        <w:outlineLvl w:val="0"/>
        <w:rPr>
          <w:color w:val="404040"/>
          <w:sz w:val="40"/>
          <w:lang w:eastAsia="en-US"/>
        </w:rPr>
      </w:pPr>
      <w:bookmarkStart w:id="28" w:name="_Toc400706263"/>
      <w:bookmarkStart w:id="29" w:name="_Toc398647249"/>
      <w:bookmarkStart w:id="30" w:name="_Toc323212962"/>
      <w:bookmarkStart w:id="31" w:name="_Toc413924177"/>
      <w:bookmarkStart w:id="32" w:name="_Toc413937070"/>
      <w:bookmarkStart w:id="33" w:name="_Toc61971455"/>
      <w:r w:rsidRPr="008C2AE1">
        <w:rPr>
          <w:color w:val="404040"/>
          <w:sz w:val="40"/>
          <w:lang w:eastAsia="en-US"/>
        </w:rPr>
        <w:lastRenderedPageBreak/>
        <w:t xml:space="preserve">Contract </w:t>
      </w:r>
      <w:proofErr w:type="gramStart"/>
      <w:r w:rsidRPr="008C2AE1">
        <w:rPr>
          <w:color w:val="404040"/>
          <w:sz w:val="40"/>
          <w:lang w:eastAsia="en-US"/>
        </w:rPr>
        <w:t>disclosure</w:t>
      </w:r>
      <w:bookmarkEnd w:id="28"/>
      <w:bookmarkEnd w:id="29"/>
      <w:bookmarkEnd w:id="30"/>
      <w:bookmarkEnd w:id="31"/>
      <w:bookmarkEnd w:id="32"/>
      <w:bookmarkEnd w:id="33"/>
      <w:proofErr w:type="gramEnd"/>
    </w:p>
    <w:p w14:paraId="20F3B439" w14:textId="77777777" w:rsidR="00280334" w:rsidRPr="00264154" w:rsidRDefault="00280334" w:rsidP="00280334">
      <w:pPr>
        <w:spacing w:line="240" w:lineRule="auto"/>
        <w:ind w:left="794"/>
      </w:pPr>
      <w:r w:rsidRPr="00264154">
        <w:t xml:space="preserve">Contract disclosure, including disclosure of variations, ensures high standards of probity and transparency in government procurement. </w:t>
      </w:r>
    </w:p>
    <w:p w14:paraId="4055A674" w14:textId="77777777" w:rsidR="00280334" w:rsidRPr="00264154" w:rsidRDefault="00280334" w:rsidP="00280334">
      <w:pPr>
        <w:keepNext/>
        <w:keepLines/>
        <w:widowControl w:val="0"/>
        <w:numPr>
          <w:ilvl w:val="1"/>
          <w:numId w:val="0"/>
        </w:numPr>
        <w:tabs>
          <w:tab w:val="num" w:pos="794"/>
        </w:tabs>
        <w:spacing w:before="280" w:after="120" w:line="216" w:lineRule="auto"/>
        <w:ind w:left="794" w:hanging="794"/>
        <w:outlineLvl w:val="1"/>
        <w:rPr>
          <w:color w:val="4D4D4D"/>
          <w:sz w:val="32"/>
          <w:lang w:eastAsia="en-US"/>
        </w:rPr>
      </w:pPr>
      <w:bookmarkStart w:id="34" w:name="_Toc400706264"/>
      <w:bookmarkStart w:id="35" w:name="_Toc398647250"/>
      <w:bookmarkStart w:id="36" w:name="_Toc323212964"/>
      <w:bookmarkStart w:id="37" w:name="_Toc413924178"/>
      <w:bookmarkStart w:id="38" w:name="_Toc413937071"/>
      <w:r>
        <w:rPr>
          <w:color w:val="4D4D4D"/>
          <w:sz w:val="32"/>
          <w:lang w:eastAsia="en-US"/>
        </w:rPr>
        <w:t>2.1</w:t>
      </w:r>
      <w:r>
        <w:rPr>
          <w:color w:val="4D4D4D"/>
          <w:sz w:val="32"/>
          <w:lang w:eastAsia="en-US"/>
        </w:rPr>
        <w:tab/>
      </w:r>
      <w:r w:rsidRPr="00264154">
        <w:rPr>
          <w:color w:val="4D4D4D"/>
          <w:sz w:val="32"/>
          <w:lang w:eastAsia="en-US"/>
        </w:rPr>
        <w:t>Mandatory requirements</w:t>
      </w:r>
      <w:bookmarkEnd w:id="34"/>
      <w:bookmarkEnd w:id="35"/>
      <w:bookmarkEnd w:id="36"/>
      <w:bookmarkEnd w:id="37"/>
      <w:bookmarkEnd w:id="38"/>
    </w:p>
    <w:p w14:paraId="30DF8F60" w14:textId="77777777" w:rsidR="00280334" w:rsidRPr="00264154" w:rsidRDefault="00280334" w:rsidP="00280334">
      <w:pPr>
        <w:keepNext/>
        <w:keepLines/>
        <w:widowControl w:val="0"/>
        <w:numPr>
          <w:ilvl w:val="2"/>
          <w:numId w:val="15"/>
        </w:numPr>
        <w:spacing w:before="200" w:after="120" w:line="216" w:lineRule="auto"/>
        <w:outlineLvl w:val="2"/>
        <w:rPr>
          <w:b/>
          <w:color w:val="4D4D4D"/>
          <w:sz w:val="28"/>
          <w:lang w:eastAsia="en-US"/>
        </w:rPr>
      </w:pPr>
      <w:bookmarkStart w:id="39" w:name="_Toc398647251"/>
      <w:bookmarkStart w:id="40" w:name="_Toc323212965"/>
      <w:bookmarkStart w:id="41" w:name="_Toc413924179"/>
      <w:bookmarkStart w:id="42" w:name="_Toc413937072"/>
      <w:r w:rsidRPr="00264154">
        <w:rPr>
          <w:b/>
          <w:color w:val="4D4D4D"/>
          <w:sz w:val="28"/>
          <w:lang w:eastAsia="en-US"/>
        </w:rPr>
        <w:t xml:space="preserve">Contract </w:t>
      </w:r>
      <w:proofErr w:type="gramStart"/>
      <w:r w:rsidRPr="00264154">
        <w:rPr>
          <w:b/>
          <w:color w:val="4D4D4D"/>
          <w:sz w:val="28"/>
          <w:lang w:eastAsia="en-US"/>
        </w:rPr>
        <w:t>disclosure</w:t>
      </w:r>
      <w:bookmarkEnd w:id="39"/>
      <w:bookmarkEnd w:id="40"/>
      <w:bookmarkEnd w:id="41"/>
      <w:bookmarkEnd w:id="42"/>
      <w:proofErr w:type="gramEnd"/>
    </w:p>
    <w:p w14:paraId="0B8C2A8C" w14:textId="77777777" w:rsidR="00280334" w:rsidRPr="00264154" w:rsidRDefault="00280334" w:rsidP="00280334">
      <w:pPr>
        <w:spacing w:line="240" w:lineRule="auto"/>
        <w:ind w:left="794"/>
      </w:pPr>
      <w:r w:rsidRPr="00264154">
        <w:t xml:space="preserve">Organisations must disclose the key details for contracts (excluding contracts under head agreements), with a total estimated value equal to or exceeding $100,000 (including GST) within 60 days of the award of a contract on the contract publishing system, the Tenders VIC website. </w:t>
      </w:r>
    </w:p>
    <w:p w14:paraId="1B48FA14" w14:textId="77777777" w:rsidR="00280334" w:rsidRPr="00264154" w:rsidRDefault="00280334" w:rsidP="00280334">
      <w:pPr>
        <w:spacing w:before="0" w:after="120" w:line="240" w:lineRule="auto"/>
        <w:ind w:left="792"/>
        <w:outlineLvl w:val="3"/>
        <w:rPr>
          <w:b/>
          <w:color w:val="4D4D4D"/>
          <w:lang w:eastAsia="en-US"/>
        </w:rPr>
      </w:pPr>
      <w:r w:rsidRPr="00264154">
        <w:rPr>
          <w:b/>
          <w:color w:val="4D4D4D"/>
          <w:lang w:eastAsia="en-US"/>
        </w:rPr>
        <w:t>Disclosure relates to:</w:t>
      </w:r>
    </w:p>
    <w:p w14:paraId="55294296" w14:textId="77777777" w:rsidR="003E132D" w:rsidRDefault="003E132D" w:rsidP="00280334">
      <w:pPr>
        <w:numPr>
          <w:ilvl w:val="0"/>
          <w:numId w:val="1"/>
        </w:numPr>
        <w:tabs>
          <w:tab w:val="clear" w:pos="360"/>
          <w:tab w:val="num" w:pos="1077"/>
        </w:tabs>
        <w:spacing w:before="80" w:after="80" w:line="240" w:lineRule="auto"/>
        <w:ind w:left="1077" w:hanging="283"/>
      </w:pPr>
      <w:r>
        <w:t>a head agreement</w:t>
      </w:r>
    </w:p>
    <w:p w14:paraId="59AE941A" w14:textId="3660D3F9"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individual procurement contracts that are not contracts under </w:t>
      </w:r>
      <w:r w:rsidR="003E132D">
        <w:t xml:space="preserve">a </w:t>
      </w:r>
      <w:r w:rsidRPr="00264154">
        <w:t xml:space="preserve">head </w:t>
      </w:r>
      <w:proofErr w:type="gramStart"/>
      <w:r w:rsidRPr="00264154">
        <w:t>agreement</w:t>
      </w:r>
      <w:proofErr w:type="gramEnd"/>
    </w:p>
    <w:p w14:paraId="25FFD7A4" w14:textId="77777777" w:rsidR="00280334" w:rsidRPr="00264154" w:rsidRDefault="00280334" w:rsidP="00280334">
      <w:pPr>
        <w:spacing w:before="0" w:after="120" w:line="240" w:lineRule="auto"/>
        <w:ind w:left="792"/>
        <w:outlineLvl w:val="3"/>
        <w:rPr>
          <w:b/>
          <w:color w:val="4D4D4D"/>
          <w:lang w:eastAsia="en-US"/>
        </w:rPr>
      </w:pPr>
      <w:r w:rsidRPr="00264154">
        <w:rPr>
          <w:b/>
          <w:color w:val="4D4D4D"/>
          <w:lang w:eastAsia="en-US"/>
        </w:rPr>
        <w:t>Key details for disclosure include:</w:t>
      </w:r>
    </w:p>
    <w:p w14:paraId="63007CE0" w14:textId="77777777" w:rsidR="00280334" w:rsidRPr="00264154" w:rsidRDefault="00280334" w:rsidP="00280334">
      <w:pPr>
        <w:numPr>
          <w:ilvl w:val="0"/>
          <w:numId w:val="1"/>
        </w:numPr>
        <w:tabs>
          <w:tab w:val="clear" w:pos="360"/>
          <w:tab w:val="num" w:pos="1077"/>
        </w:tabs>
        <w:spacing w:before="80" w:after="80" w:line="240" w:lineRule="auto"/>
        <w:ind w:left="1077" w:hanging="283"/>
      </w:pPr>
      <w:r w:rsidRPr="00264154">
        <w:t>Contract details:</w:t>
      </w:r>
    </w:p>
    <w:p w14:paraId="24C39676" w14:textId="5CD23595"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contract </w:t>
      </w:r>
      <w:proofErr w:type="gramStart"/>
      <w:r w:rsidRPr="00264154">
        <w:t>number</w:t>
      </w:r>
      <w:proofErr w:type="gramEnd"/>
    </w:p>
    <w:p w14:paraId="7E6FF4B8" w14:textId="075E6E4C"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contract </w:t>
      </w:r>
      <w:proofErr w:type="gramStart"/>
      <w:r w:rsidRPr="00264154">
        <w:t>title</w:t>
      </w:r>
      <w:proofErr w:type="gramEnd"/>
    </w:p>
    <w:p w14:paraId="280C3E77" w14:textId="4CBA12EE" w:rsidR="00280334" w:rsidRPr="00264154" w:rsidRDefault="00280334" w:rsidP="00280334">
      <w:pPr>
        <w:numPr>
          <w:ilvl w:val="1"/>
          <w:numId w:val="1"/>
        </w:numPr>
        <w:tabs>
          <w:tab w:val="clear" w:pos="720"/>
          <w:tab w:val="num" w:pos="1361"/>
        </w:tabs>
        <w:spacing w:before="0" w:after="0" w:line="240" w:lineRule="auto"/>
        <w:ind w:left="1361" w:hanging="284"/>
      </w:pPr>
      <w:r w:rsidRPr="00264154">
        <w:t>type of contract</w:t>
      </w:r>
    </w:p>
    <w:p w14:paraId="78C52C60" w14:textId="19750C94" w:rsidR="00280334" w:rsidRPr="00264154" w:rsidRDefault="00280334" w:rsidP="00280334">
      <w:pPr>
        <w:numPr>
          <w:ilvl w:val="1"/>
          <w:numId w:val="1"/>
        </w:numPr>
        <w:tabs>
          <w:tab w:val="clear" w:pos="720"/>
          <w:tab w:val="num" w:pos="1361"/>
        </w:tabs>
        <w:spacing w:before="0" w:after="0" w:line="240" w:lineRule="auto"/>
        <w:ind w:left="1361" w:hanging="284"/>
      </w:pPr>
      <w:r w:rsidRPr="00264154">
        <w:t>total estimated value of contract or SPC/SEPC</w:t>
      </w:r>
    </w:p>
    <w:p w14:paraId="3F445437" w14:textId="2960D272"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start date and current term of </w:t>
      </w:r>
      <w:proofErr w:type="gramStart"/>
      <w:r w:rsidRPr="00264154">
        <w:t>contract</w:t>
      </w:r>
      <w:proofErr w:type="gramEnd"/>
    </w:p>
    <w:p w14:paraId="3B5F86D7" w14:textId="02763283" w:rsidR="00280334" w:rsidRPr="00264154" w:rsidRDefault="00280334" w:rsidP="00280334">
      <w:pPr>
        <w:numPr>
          <w:ilvl w:val="1"/>
          <w:numId w:val="1"/>
        </w:numPr>
        <w:tabs>
          <w:tab w:val="clear" w:pos="720"/>
          <w:tab w:val="num" w:pos="1361"/>
        </w:tabs>
        <w:spacing w:before="0" w:after="0" w:line="240" w:lineRule="auto"/>
        <w:ind w:left="1361" w:hanging="284"/>
      </w:pPr>
      <w:r w:rsidRPr="00264154">
        <w:t>category</w:t>
      </w:r>
    </w:p>
    <w:p w14:paraId="5AC4BD2C" w14:textId="77777777" w:rsidR="00280334" w:rsidRPr="00264154" w:rsidRDefault="00280334" w:rsidP="00280334">
      <w:pPr>
        <w:numPr>
          <w:ilvl w:val="0"/>
          <w:numId w:val="1"/>
        </w:numPr>
        <w:tabs>
          <w:tab w:val="clear" w:pos="360"/>
          <w:tab w:val="num" w:pos="1077"/>
        </w:tabs>
        <w:spacing w:before="80" w:after="80" w:line="240" w:lineRule="auto"/>
        <w:ind w:left="1077" w:hanging="283"/>
      </w:pPr>
      <w:r w:rsidRPr="00264154">
        <w:t xml:space="preserve">Organisation details: </w:t>
      </w:r>
    </w:p>
    <w:p w14:paraId="489A1D5F" w14:textId="0B7C8FEE" w:rsidR="00280334" w:rsidRPr="00264154" w:rsidRDefault="00280334" w:rsidP="00280334">
      <w:pPr>
        <w:numPr>
          <w:ilvl w:val="1"/>
          <w:numId w:val="1"/>
        </w:numPr>
        <w:tabs>
          <w:tab w:val="clear" w:pos="720"/>
          <w:tab w:val="num" w:pos="1361"/>
        </w:tabs>
        <w:spacing w:before="0" w:after="0" w:line="240" w:lineRule="auto"/>
        <w:ind w:left="1361" w:hanging="284"/>
      </w:pPr>
      <w:r w:rsidRPr="00264154">
        <w:t>organisation</w:t>
      </w:r>
    </w:p>
    <w:p w14:paraId="5B659DED" w14:textId="44AA43C0"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contact </w:t>
      </w:r>
      <w:proofErr w:type="gramStart"/>
      <w:r w:rsidRPr="00264154">
        <w:t>person</w:t>
      </w:r>
      <w:proofErr w:type="gramEnd"/>
    </w:p>
    <w:p w14:paraId="646873D3" w14:textId="501CB0F1"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contact </w:t>
      </w:r>
      <w:proofErr w:type="gramStart"/>
      <w:r w:rsidRPr="00264154">
        <w:t>number</w:t>
      </w:r>
      <w:proofErr w:type="gramEnd"/>
    </w:p>
    <w:p w14:paraId="1630409E" w14:textId="77BCF7A5" w:rsidR="00280334" w:rsidRPr="00264154" w:rsidRDefault="00280334" w:rsidP="00280334">
      <w:pPr>
        <w:numPr>
          <w:ilvl w:val="1"/>
          <w:numId w:val="1"/>
        </w:numPr>
        <w:tabs>
          <w:tab w:val="clear" w:pos="720"/>
          <w:tab w:val="num" w:pos="1361"/>
        </w:tabs>
        <w:spacing w:before="0" w:after="0" w:line="240" w:lineRule="auto"/>
        <w:ind w:left="1361" w:hanging="284"/>
      </w:pPr>
      <w:r w:rsidRPr="00264154">
        <w:t xml:space="preserve">email </w:t>
      </w:r>
      <w:proofErr w:type="gramStart"/>
      <w:r w:rsidRPr="00264154">
        <w:t>address</w:t>
      </w:r>
      <w:proofErr w:type="gramEnd"/>
    </w:p>
    <w:p w14:paraId="542BB481" w14:textId="77777777" w:rsidR="00280334" w:rsidRPr="00264154" w:rsidRDefault="00280334" w:rsidP="00280334">
      <w:pPr>
        <w:numPr>
          <w:ilvl w:val="0"/>
          <w:numId w:val="1"/>
        </w:numPr>
        <w:tabs>
          <w:tab w:val="clear" w:pos="360"/>
          <w:tab w:val="num" w:pos="1077"/>
        </w:tabs>
        <w:spacing w:before="80" w:after="80" w:line="240" w:lineRule="auto"/>
        <w:ind w:left="1077" w:hanging="283"/>
      </w:pPr>
      <w:r w:rsidRPr="00264154">
        <w:t>Supplier details:</w:t>
      </w:r>
    </w:p>
    <w:p w14:paraId="2BB8A12A" w14:textId="7D1EA38E" w:rsidR="00280334" w:rsidRPr="00264154" w:rsidRDefault="00280334" w:rsidP="00280334">
      <w:pPr>
        <w:numPr>
          <w:ilvl w:val="1"/>
          <w:numId w:val="1"/>
        </w:numPr>
        <w:tabs>
          <w:tab w:val="clear" w:pos="720"/>
          <w:tab w:val="num" w:pos="1361"/>
        </w:tabs>
        <w:spacing w:before="0" w:after="0" w:line="240" w:lineRule="auto"/>
        <w:ind w:left="1361" w:hanging="284"/>
      </w:pPr>
      <w:r w:rsidRPr="00264154">
        <w:t>name of supplier</w:t>
      </w:r>
    </w:p>
    <w:p w14:paraId="650B9C1A" w14:textId="1B7579D8" w:rsidR="00280334" w:rsidRPr="00264154" w:rsidRDefault="00280334" w:rsidP="00280334">
      <w:pPr>
        <w:numPr>
          <w:ilvl w:val="1"/>
          <w:numId w:val="1"/>
        </w:numPr>
        <w:tabs>
          <w:tab w:val="clear" w:pos="720"/>
          <w:tab w:val="num" w:pos="1361"/>
        </w:tabs>
        <w:spacing w:before="0" w:after="0" w:line="240" w:lineRule="auto"/>
        <w:ind w:left="1361" w:hanging="284"/>
      </w:pPr>
      <w:r w:rsidRPr="00264154">
        <w:t>Australian Business Number or Australian Company Number</w:t>
      </w:r>
    </w:p>
    <w:p w14:paraId="0970751B" w14:textId="77777777" w:rsidR="00280334" w:rsidRPr="00264154" w:rsidRDefault="00280334" w:rsidP="00280334">
      <w:pPr>
        <w:spacing w:line="240" w:lineRule="auto"/>
        <w:ind w:left="794"/>
      </w:pPr>
      <w:r w:rsidRPr="00264154">
        <w:t xml:space="preserve">Organisations must disclose full contract information for contracts with an estimated value exceeding $10 million (including GST) on the contract publishing system. Only trade secrets or genuinely confidential business information will be withheld from voluntary disclosure, along with material which if disclosed would seriously harm the public interest. The Government will be guided by the criteria established by Parliament in the </w:t>
      </w:r>
      <w:r w:rsidRPr="00264154">
        <w:rPr>
          <w:i/>
        </w:rPr>
        <w:t>Freedom of Information Act</w:t>
      </w:r>
      <w:r w:rsidRPr="00264154">
        <w:t xml:space="preserve"> 1982.</w:t>
      </w:r>
    </w:p>
    <w:p w14:paraId="3A493040" w14:textId="77777777" w:rsidR="00280334" w:rsidRPr="00264154" w:rsidRDefault="00280334" w:rsidP="00280334">
      <w:pPr>
        <w:spacing w:line="240" w:lineRule="auto"/>
        <w:ind w:left="794"/>
      </w:pPr>
      <w:r w:rsidRPr="00264154">
        <w:t>Organisations are to develop protocols and procedures detailing such exemptions from disclosure.</w:t>
      </w:r>
    </w:p>
    <w:p w14:paraId="24CCDDDE" w14:textId="77777777" w:rsidR="00280334" w:rsidRPr="00264154" w:rsidRDefault="00280334" w:rsidP="00280334">
      <w:pPr>
        <w:spacing w:before="0" w:after="0" w:line="240" w:lineRule="auto"/>
        <w:rPr>
          <w:b/>
          <w:color w:val="4D4D4D"/>
          <w:sz w:val="28"/>
          <w:lang w:eastAsia="en-US"/>
        </w:rPr>
      </w:pPr>
      <w:r w:rsidRPr="00264154">
        <w:br w:type="page"/>
      </w:r>
      <w:bookmarkStart w:id="43" w:name="_Toc398647252"/>
      <w:bookmarkStart w:id="44" w:name="_Toc323212966"/>
    </w:p>
    <w:p w14:paraId="62686696" w14:textId="77777777" w:rsidR="00280334" w:rsidRPr="00264154" w:rsidRDefault="00280334" w:rsidP="00280334">
      <w:pPr>
        <w:keepNext/>
        <w:keepLines/>
        <w:widowControl w:val="0"/>
        <w:numPr>
          <w:ilvl w:val="2"/>
          <w:numId w:val="15"/>
        </w:numPr>
        <w:spacing w:before="200" w:after="120" w:line="216" w:lineRule="auto"/>
        <w:outlineLvl w:val="2"/>
        <w:rPr>
          <w:b/>
          <w:color w:val="4D4D4D"/>
          <w:sz w:val="28"/>
          <w:lang w:eastAsia="en-US"/>
        </w:rPr>
      </w:pPr>
      <w:bookmarkStart w:id="45" w:name="_Toc413924180"/>
      <w:bookmarkStart w:id="46" w:name="_Toc413937073"/>
      <w:r w:rsidRPr="00264154">
        <w:rPr>
          <w:b/>
          <w:color w:val="4D4D4D"/>
          <w:sz w:val="28"/>
          <w:lang w:eastAsia="en-US"/>
        </w:rPr>
        <w:lastRenderedPageBreak/>
        <w:t>Variation disclosure</w:t>
      </w:r>
      <w:bookmarkEnd w:id="43"/>
      <w:bookmarkEnd w:id="44"/>
      <w:bookmarkEnd w:id="45"/>
      <w:bookmarkEnd w:id="46"/>
    </w:p>
    <w:p w14:paraId="5A3479A2" w14:textId="77777777" w:rsidR="00280334" w:rsidRPr="00264154" w:rsidRDefault="00280334" w:rsidP="00280334">
      <w:pPr>
        <w:spacing w:line="240" w:lineRule="auto"/>
        <w:ind w:left="794"/>
      </w:pPr>
      <w:r w:rsidRPr="00264154">
        <w:t>Each individual variation, or variations with a cumulative value exceeding $100 000 (including GST) must be disclosed on the contract publishing system against the contract to which the variation relates. The estimated value of the variation and the adjustment to the total estimated value of the contract must be noted on the contract publishing system.</w:t>
      </w:r>
    </w:p>
    <w:p w14:paraId="2A2B2055" w14:textId="77777777" w:rsidR="00280334" w:rsidRPr="00264154" w:rsidRDefault="00280334" w:rsidP="00280334">
      <w:pPr>
        <w:spacing w:line="240" w:lineRule="auto"/>
        <w:ind w:left="794"/>
      </w:pPr>
    </w:p>
    <w:p w14:paraId="5384269C" w14:textId="77777777" w:rsidR="00280334" w:rsidRPr="00264154" w:rsidRDefault="00280334" w:rsidP="00280334">
      <w:pPr>
        <w:spacing w:line="240" w:lineRule="auto"/>
        <w:ind w:left="794"/>
      </w:pPr>
    </w:p>
    <w:p w14:paraId="0FC9FE53" w14:textId="77777777" w:rsidR="00280334" w:rsidRDefault="00280334" w:rsidP="00280334">
      <w:pPr>
        <w:spacing w:before="0" w:after="0" w:line="240" w:lineRule="auto"/>
        <w:rPr>
          <w:lang w:eastAsia="en-US"/>
        </w:rPr>
      </w:pPr>
      <w:r>
        <w:rPr>
          <w:lang w:eastAsia="en-US"/>
        </w:rPr>
        <w:br w:type="page"/>
      </w:r>
    </w:p>
    <w:p w14:paraId="532E6CD9" w14:textId="77777777" w:rsidR="00280334" w:rsidRDefault="00280334" w:rsidP="00086279">
      <w:pPr>
        <w:spacing w:before="0" w:after="200" w:line="276" w:lineRule="auto"/>
        <w:ind w:left="720"/>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This policy is one of</w:t>
      </w:r>
      <w:r w:rsidRPr="001E3B8B">
        <w:rPr>
          <w:rFonts w:asciiTheme="minorHAnsi" w:eastAsiaTheme="minorHAnsi" w:hAnsiTheme="minorHAnsi" w:cstheme="minorBidi"/>
          <w:lang w:eastAsia="en-US"/>
        </w:rPr>
        <w:t xml:space="preserve"> five Victorian Government Purchasing Board (VGPB) policies.  </w:t>
      </w:r>
    </w:p>
    <w:p w14:paraId="3712B19A" w14:textId="77777777" w:rsidR="00280334" w:rsidRPr="001E3B8B" w:rsidRDefault="00280334" w:rsidP="00086279">
      <w:pPr>
        <w:spacing w:before="0" w:after="200" w:line="276" w:lineRule="auto"/>
        <w:ind w:left="720"/>
        <w:rPr>
          <w:rFonts w:asciiTheme="minorHAnsi" w:eastAsiaTheme="minorHAnsi" w:hAnsiTheme="minorHAnsi" w:cstheme="minorBidi"/>
          <w:lang w:eastAsia="en-US"/>
        </w:rPr>
      </w:pPr>
      <w:r w:rsidRPr="001E3B8B">
        <w:rPr>
          <w:rFonts w:asciiTheme="minorHAnsi" w:eastAsiaTheme="minorHAnsi" w:hAnsiTheme="minorHAnsi" w:cstheme="minorBidi"/>
          <w:lang w:eastAsia="en-US"/>
        </w:rPr>
        <w:t>Fo</w:t>
      </w:r>
      <w:r>
        <w:rPr>
          <w:rFonts w:asciiTheme="minorHAnsi" w:eastAsiaTheme="minorHAnsi" w:hAnsiTheme="minorHAnsi" w:cstheme="minorBidi"/>
          <w:lang w:eastAsia="en-US"/>
        </w:rPr>
        <w:t>r more information regarding</w:t>
      </w:r>
      <w:r w:rsidRPr="001E3B8B">
        <w:rPr>
          <w:rFonts w:asciiTheme="minorHAnsi" w:eastAsiaTheme="minorHAnsi" w:hAnsiTheme="minorHAnsi" w:cstheme="minorBidi"/>
          <w:lang w:eastAsia="en-US"/>
        </w:rPr>
        <w:t xml:space="preserve"> VGPB </w:t>
      </w:r>
      <w:r>
        <w:rPr>
          <w:rFonts w:asciiTheme="minorHAnsi" w:eastAsiaTheme="minorHAnsi" w:hAnsiTheme="minorHAnsi" w:cstheme="minorBidi"/>
          <w:lang w:eastAsia="en-US"/>
        </w:rPr>
        <w:t>Supply Policies</w:t>
      </w:r>
      <w:r w:rsidRPr="001E3B8B">
        <w:rPr>
          <w:rFonts w:asciiTheme="minorHAnsi" w:eastAsiaTheme="minorHAnsi" w:hAnsiTheme="minorHAnsi" w:cstheme="minorBidi"/>
          <w:lang w:eastAsia="en-US"/>
        </w:rPr>
        <w:t xml:space="preserve"> refer to </w:t>
      </w:r>
      <w:hyperlink r:id="rId13" w:history="1">
        <w:r w:rsidRPr="001E3B8B">
          <w:rPr>
            <w:rFonts w:asciiTheme="minorHAnsi" w:eastAsiaTheme="minorHAnsi" w:hAnsiTheme="minorHAnsi" w:cstheme="minorBidi"/>
            <w:color w:val="0563C1" w:themeColor="hyperlink"/>
            <w:u w:val="single"/>
            <w:lang w:eastAsia="en-US"/>
          </w:rPr>
          <w:t>this link</w:t>
        </w:r>
      </w:hyperlink>
      <w:r w:rsidRPr="001E3B8B">
        <w:rPr>
          <w:rFonts w:asciiTheme="minorHAnsi" w:eastAsiaTheme="minorHAnsi" w:hAnsiTheme="minorHAnsi" w:cstheme="minorBidi"/>
          <w:lang w:eastAsia="en-US"/>
        </w:rPr>
        <w:t>.</w:t>
      </w:r>
    </w:p>
    <w:p w14:paraId="63342295" w14:textId="77777777" w:rsidR="00280334" w:rsidRDefault="00280334" w:rsidP="00280334">
      <w:pPr>
        <w:spacing w:before="0" w:after="200" w:line="276" w:lineRule="auto"/>
        <w:rPr>
          <w:rFonts w:asciiTheme="minorHAnsi" w:eastAsiaTheme="minorHAnsi" w:hAnsiTheme="minorHAnsi" w:cstheme="minorBidi"/>
          <w:lang w:eastAsia="en-US"/>
        </w:rPr>
      </w:pPr>
    </w:p>
    <w:p w14:paraId="621F8C76" w14:textId="77777777" w:rsidR="00280334" w:rsidRDefault="00280334" w:rsidP="00280334">
      <w:pPr>
        <w:spacing w:before="0" w:after="200" w:line="276" w:lineRule="auto"/>
        <w:rPr>
          <w:rFonts w:asciiTheme="minorHAnsi" w:eastAsiaTheme="minorHAnsi" w:hAnsiTheme="minorHAnsi" w:cstheme="minorBidi"/>
          <w:lang w:eastAsia="en-US"/>
        </w:rPr>
      </w:pPr>
    </w:p>
    <w:p w14:paraId="6F5C7F01" w14:textId="77777777" w:rsidR="00280334" w:rsidRDefault="00280334" w:rsidP="00280334">
      <w:pPr>
        <w:spacing w:before="0" w:after="200" w:line="276" w:lineRule="auto"/>
        <w:rPr>
          <w:rFonts w:asciiTheme="minorHAnsi" w:eastAsiaTheme="minorHAnsi" w:hAnsiTheme="minorHAnsi" w:cstheme="minorBidi"/>
          <w:lang w:eastAsia="en-US"/>
        </w:rPr>
      </w:pPr>
    </w:p>
    <w:p w14:paraId="4A813808" w14:textId="77777777" w:rsidR="00280334" w:rsidRDefault="00280334" w:rsidP="00280334">
      <w:pPr>
        <w:spacing w:before="0" w:after="200" w:line="276" w:lineRule="auto"/>
        <w:rPr>
          <w:rFonts w:asciiTheme="minorHAnsi" w:eastAsiaTheme="minorHAnsi" w:hAnsiTheme="minorHAnsi" w:cstheme="minorBidi"/>
          <w:lang w:eastAsia="en-US"/>
        </w:rPr>
      </w:pPr>
    </w:p>
    <w:p w14:paraId="5A4F6FAF" w14:textId="77777777" w:rsidR="00280334" w:rsidRDefault="00280334" w:rsidP="00280334">
      <w:pPr>
        <w:spacing w:before="0" w:after="200" w:line="276" w:lineRule="auto"/>
        <w:rPr>
          <w:rFonts w:asciiTheme="minorHAnsi" w:eastAsiaTheme="minorHAnsi" w:hAnsiTheme="minorHAnsi" w:cstheme="minorBidi"/>
          <w:lang w:eastAsia="en-US"/>
        </w:rPr>
      </w:pPr>
    </w:p>
    <w:p w14:paraId="347C722E" w14:textId="77777777" w:rsidR="00280334" w:rsidRDefault="00280334" w:rsidP="00280334">
      <w:pPr>
        <w:spacing w:before="0" w:after="200" w:line="276" w:lineRule="auto"/>
        <w:rPr>
          <w:rFonts w:asciiTheme="minorHAnsi" w:eastAsiaTheme="minorHAnsi" w:hAnsiTheme="minorHAnsi" w:cstheme="minorBidi"/>
          <w:lang w:eastAsia="en-US"/>
        </w:rPr>
      </w:pPr>
    </w:p>
    <w:p w14:paraId="25350DE1" w14:textId="77777777" w:rsidR="00280334" w:rsidRDefault="00280334" w:rsidP="00280334">
      <w:pPr>
        <w:spacing w:before="0" w:after="200" w:line="276" w:lineRule="auto"/>
        <w:rPr>
          <w:rFonts w:asciiTheme="minorHAnsi" w:eastAsiaTheme="minorHAnsi" w:hAnsiTheme="minorHAnsi" w:cstheme="minorBidi"/>
          <w:lang w:eastAsia="en-US"/>
        </w:rPr>
      </w:pPr>
    </w:p>
    <w:p w14:paraId="7F6228EE" w14:textId="77777777" w:rsidR="00280334" w:rsidRDefault="00280334" w:rsidP="00280334">
      <w:pPr>
        <w:spacing w:before="0" w:after="200" w:line="276" w:lineRule="auto"/>
        <w:rPr>
          <w:rFonts w:asciiTheme="minorHAnsi" w:eastAsiaTheme="minorHAnsi" w:hAnsiTheme="minorHAnsi" w:cstheme="minorBidi"/>
          <w:lang w:eastAsia="en-US"/>
        </w:rPr>
      </w:pPr>
    </w:p>
    <w:p w14:paraId="73C93B80" w14:textId="77777777" w:rsidR="00280334" w:rsidRDefault="00280334" w:rsidP="00280334">
      <w:pPr>
        <w:spacing w:before="0" w:after="200" w:line="276" w:lineRule="auto"/>
        <w:rPr>
          <w:rFonts w:asciiTheme="minorHAnsi" w:eastAsiaTheme="minorHAnsi" w:hAnsiTheme="minorHAnsi" w:cstheme="minorBidi"/>
          <w:lang w:eastAsia="en-US"/>
        </w:rPr>
      </w:pPr>
    </w:p>
    <w:p w14:paraId="09FCA63F" w14:textId="77777777" w:rsidR="00280334" w:rsidRDefault="00280334" w:rsidP="00280334">
      <w:pPr>
        <w:spacing w:before="0" w:after="200" w:line="276" w:lineRule="auto"/>
        <w:rPr>
          <w:rFonts w:asciiTheme="minorHAnsi" w:eastAsiaTheme="minorHAnsi" w:hAnsiTheme="minorHAnsi" w:cstheme="minorBidi"/>
          <w:lang w:eastAsia="en-US"/>
        </w:rPr>
      </w:pPr>
    </w:p>
    <w:p w14:paraId="3C828565" w14:textId="77777777" w:rsidR="00280334" w:rsidRDefault="00280334" w:rsidP="00280334">
      <w:pPr>
        <w:spacing w:before="0" w:after="200" w:line="276" w:lineRule="auto"/>
        <w:rPr>
          <w:rFonts w:asciiTheme="minorHAnsi" w:eastAsiaTheme="minorHAnsi" w:hAnsiTheme="minorHAnsi" w:cstheme="minorBidi"/>
          <w:lang w:eastAsia="en-US"/>
        </w:rPr>
      </w:pPr>
    </w:p>
    <w:p w14:paraId="76444A9B" w14:textId="77777777" w:rsidR="00280334" w:rsidRDefault="00280334" w:rsidP="00280334">
      <w:pPr>
        <w:spacing w:before="0" w:after="200" w:line="276" w:lineRule="auto"/>
        <w:rPr>
          <w:rFonts w:asciiTheme="minorHAnsi" w:eastAsiaTheme="minorHAnsi" w:hAnsiTheme="minorHAnsi" w:cstheme="minorBidi"/>
          <w:lang w:eastAsia="en-US"/>
        </w:rPr>
      </w:pPr>
    </w:p>
    <w:p w14:paraId="34EF111F" w14:textId="77777777" w:rsidR="00280334" w:rsidRDefault="00280334" w:rsidP="00280334">
      <w:pPr>
        <w:spacing w:before="0" w:after="200" w:line="276" w:lineRule="auto"/>
        <w:rPr>
          <w:rFonts w:asciiTheme="minorHAnsi" w:eastAsiaTheme="minorHAnsi" w:hAnsiTheme="minorHAnsi" w:cstheme="minorBidi"/>
          <w:lang w:eastAsia="en-US"/>
        </w:rPr>
      </w:pPr>
    </w:p>
    <w:p w14:paraId="5270B2FE" w14:textId="77777777" w:rsidR="00280334" w:rsidRDefault="00280334" w:rsidP="00280334">
      <w:pPr>
        <w:spacing w:before="0" w:after="200" w:line="276" w:lineRule="auto"/>
        <w:rPr>
          <w:rFonts w:asciiTheme="minorHAnsi" w:eastAsiaTheme="minorHAnsi" w:hAnsiTheme="minorHAnsi" w:cstheme="minorBidi"/>
          <w:lang w:eastAsia="en-US"/>
        </w:rPr>
      </w:pPr>
    </w:p>
    <w:p w14:paraId="488FA738" w14:textId="77777777" w:rsidR="00280334" w:rsidRDefault="00280334" w:rsidP="00280334">
      <w:pPr>
        <w:spacing w:before="0" w:after="200" w:line="276" w:lineRule="auto"/>
        <w:rPr>
          <w:rFonts w:asciiTheme="minorHAnsi" w:eastAsiaTheme="minorHAnsi" w:hAnsiTheme="minorHAnsi" w:cstheme="minorBidi"/>
          <w:lang w:eastAsia="en-US"/>
        </w:rPr>
      </w:pPr>
    </w:p>
    <w:p w14:paraId="4A0EED3B" w14:textId="77777777" w:rsidR="00280334" w:rsidRDefault="00280334" w:rsidP="00280334">
      <w:pPr>
        <w:spacing w:before="0" w:after="200" w:line="276" w:lineRule="auto"/>
        <w:rPr>
          <w:rFonts w:asciiTheme="minorHAnsi" w:eastAsiaTheme="minorHAnsi" w:hAnsiTheme="minorHAnsi" w:cstheme="minorBidi"/>
          <w:lang w:eastAsia="en-US"/>
        </w:rPr>
      </w:pPr>
    </w:p>
    <w:p w14:paraId="39AFBAC3" w14:textId="77777777" w:rsidR="00280334" w:rsidRDefault="00280334" w:rsidP="00280334">
      <w:pPr>
        <w:spacing w:before="0" w:after="200" w:line="276" w:lineRule="auto"/>
        <w:rPr>
          <w:rFonts w:asciiTheme="minorHAnsi" w:eastAsiaTheme="minorHAnsi" w:hAnsiTheme="minorHAnsi" w:cstheme="minorBidi"/>
          <w:lang w:eastAsia="en-US"/>
        </w:rPr>
      </w:pPr>
    </w:p>
    <w:p w14:paraId="259CABE0" w14:textId="77777777" w:rsidR="00280334" w:rsidRDefault="00280334" w:rsidP="00280334">
      <w:pPr>
        <w:spacing w:before="0" w:after="200" w:line="276" w:lineRule="auto"/>
        <w:rPr>
          <w:rFonts w:asciiTheme="minorHAnsi" w:eastAsiaTheme="minorHAnsi" w:hAnsiTheme="minorHAnsi" w:cstheme="minorBidi"/>
          <w:lang w:eastAsia="en-US"/>
        </w:rPr>
      </w:pPr>
    </w:p>
    <w:p w14:paraId="067A6C79" w14:textId="77777777" w:rsidR="00280334" w:rsidRDefault="00280334" w:rsidP="00280334">
      <w:pPr>
        <w:spacing w:before="0" w:after="200" w:line="276" w:lineRule="auto"/>
        <w:rPr>
          <w:rFonts w:asciiTheme="minorHAnsi" w:eastAsiaTheme="minorHAnsi" w:hAnsiTheme="minorHAnsi" w:cstheme="minorBidi"/>
          <w:lang w:eastAsia="en-US"/>
        </w:rPr>
      </w:pPr>
    </w:p>
    <w:p w14:paraId="21A004FF" w14:textId="77777777" w:rsidR="00280334" w:rsidRPr="001E3B8B" w:rsidRDefault="00280334" w:rsidP="00280334">
      <w:r w:rsidRPr="001E3B8B">
        <w:t>State of Victoria 20</w:t>
      </w:r>
      <w:r>
        <w:t>21</w:t>
      </w:r>
    </w:p>
    <w:p w14:paraId="12EC7678" w14:textId="77777777" w:rsidR="00280334" w:rsidRPr="001E3B8B" w:rsidRDefault="00280334" w:rsidP="00280334">
      <w:r w:rsidRPr="001E3B8B">
        <w:rPr>
          <w:noProof/>
        </w:rPr>
        <w:drawing>
          <wp:inline distT="0" distB="0" distL="0" distR="0" wp14:anchorId="4212050A" wp14:editId="48581AE3">
            <wp:extent cx="1117460" cy="393651"/>
            <wp:effectExtent l="0" t="0" r="6985" b="6985"/>
            <wp:docPr id="29" name="Picture 2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1E3B8B">
        <w:t xml:space="preserve"> </w:t>
      </w:r>
    </w:p>
    <w:p w14:paraId="1489862E" w14:textId="77777777" w:rsidR="00280334" w:rsidRPr="001E3B8B" w:rsidRDefault="00280334" w:rsidP="00280334">
      <w:r w:rsidRPr="001E3B8B">
        <w:t xml:space="preserve">This work is licensed under a </w:t>
      </w:r>
      <w:hyperlink r:id="rId16" w:history="1">
        <w:r w:rsidRPr="001E3B8B">
          <w:rPr>
            <w:color w:val="660B68"/>
          </w:rPr>
          <w:t>Creative Commons Attribution 4.0 licence</w:t>
        </w:r>
      </w:hyperlink>
      <w:r w:rsidRPr="001E3B8B">
        <w:t xml:space="preserve">. You are free to re-use the work under that licence, on the condition that you credit the State of Victoria as author. The licence does not apply to any images, </w:t>
      </w:r>
      <w:proofErr w:type="gramStart"/>
      <w:r w:rsidRPr="001E3B8B">
        <w:t>photographs</w:t>
      </w:r>
      <w:proofErr w:type="gramEnd"/>
      <w:r w:rsidRPr="001E3B8B">
        <w:t xml:space="preserve"> or branding, including the Victorian Coat of Arms, the Victorian Government logo and the Department of Treasury and Finance logo.</w:t>
      </w:r>
    </w:p>
    <w:p w14:paraId="7AED491B" w14:textId="77777777" w:rsidR="00280334" w:rsidRDefault="00280334" w:rsidP="00280334">
      <w:r w:rsidRPr="001E3B8B">
        <w:t xml:space="preserve">Copyright queries may be directed to </w:t>
      </w:r>
      <w:hyperlink r:id="rId17" w:history="1">
        <w:r w:rsidRPr="001E3B8B">
          <w:rPr>
            <w:color w:val="660B68"/>
          </w:rPr>
          <w:t>IPpolicy@dtf.vic.gov.au</w:t>
        </w:r>
      </w:hyperlink>
    </w:p>
    <w:p w14:paraId="7C1A8C10" w14:textId="77777777" w:rsidR="002C60CC" w:rsidRDefault="002C60CC"/>
    <w:sectPr w:rsidR="002C60CC" w:rsidSect="007D0601">
      <w:headerReference w:type="even" r:id="rId18"/>
      <w:headerReference w:type="default" r:id="rId19"/>
      <w:footerReference w:type="even" r:id="rId20"/>
      <w:footerReference w:type="default" r:id="rId21"/>
      <w:headerReference w:type="first" r:id="rId22"/>
      <w:footerReference w:type="first" r:id="rId23"/>
      <w:pgSz w:w="11901" w:h="16840" w:code="9"/>
      <w:pgMar w:top="907" w:right="1008" w:bottom="1138" w:left="1152" w:header="288" w:footer="33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EC54" w14:textId="77777777" w:rsidR="00280334" w:rsidRDefault="00280334" w:rsidP="00280334">
      <w:pPr>
        <w:spacing w:before="0" w:after="0" w:line="240" w:lineRule="auto"/>
      </w:pPr>
      <w:r>
        <w:separator/>
      </w:r>
    </w:p>
  </w:endnote>
  <w:endnote w:type="continuationSeparator" w:id="0">
    <w:p w14:paraId="5AEB8FF0" w14:textId="77777777" w:rsidR="00280334" w:rsidRDefault="00280334" w:rsidP="002803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F156" w14:textId="77777777" w:rsidR="00086279" w:rsidRDefault="00086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9218"/>
      <w:gridCol w:w="523"/>
    </w:tblGrid>
    <w:tr w:rsidR="00207449" w14:paraId="4599EF40" w14:textId="77777777" w:rsidTr="007D0601">
      <w:trPr>
        <w:cantSplit/>
      </w:trPr>
      <w:tc>
        <w:tcPr>
          <w:tcW w:w="9327" w:type="dxa"/>
          <w:shd w:val="clear" w:color="auto" w:fill="auto"/>
          <w:vAlign w:val="center"/>
        </w:tcPr>
        <w:p w14:paraId="3B22DC37" w14:textId="1B5F804C" w:rsidR="00A73D0C" w:rsidRDefault="000F1675" w:rsidP="007D0601">
          <w:pPr>
            <w:pStyle w:val="Footer"/>
          </w:pPr>
          <w:r>
            <mc:AlternateContent>
              <mc:Choice Requires="wps">
                <w:drawing>
                  <wp:anchor distT="0" distB="0" distL="114300" distR="114300" simplePos="0" relativeHeight="251659264" behindDoc="0" locked="0" layoutInCell="0" allowOverlap="1" wp14:anchorId="39C99E47" wp14:editId="2A0DC270">
                    <wp:simplePos x="0" y="0"/>
                    <wp:positionH relativeFrom="page">
                      <wp:posOffset>0</wp:posOffset>
                    </wp:positionH>
                    <wp:positionV relativeFrom="page">
                      <wp:posOffset>10236200</wp:posOffset>
                    </wp:positionV>
                    <wp:extent cx="7557135" cy="266700"/>
                    <wp:effectExtent l="0" t="0" r="0" b="0"/>
                    <wp:wrapNone/>
                    <wp:docPr id="1" name="MSIPCM1d9d4568830f87426d74c3f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920A8" w14:textId="64D7C5CF" w:rsidR="000F1675" w:rsidRPr="000F1675" w:rsidRDefault="000F1675" w:rsidP="000F1675">
                                <w:pPr>
                                  <w:spacing w:before="0" w:after="0"/>
                                  <w:rPr>
                                    <w:color w:val="000000"/>
                                  </w:rPr>
                                </w:pPr>
                                <w:r w:rsidRPr="000F167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C99E47" id="_x0000_t202" coordsize="21600,21600" o:spt="202" path="m,l,21600r21600,l21600,xe">
                    <v:stroke joinstyle="miter"/>
                    <v:path gradientshapeok="t" o:connecttype="rect"/>
                  </v:shapetype>
                  <v:shape id="MSIPCM1d9d4568830f87426d74c3f6" o:spid="_x0000_s1026" type="#_x0000_t202" alt="{&quot;HashCode&quot;:-1267603503,&quot;Height&quot;:842.0,&quot;Width&quot;:595.0,&quot;Placement&quot;:&quot;Footer&quot;,&quot;Index&quot;:&quot;Primary&quot;,&quot;Section&quot;:1,&quot;Top&quot;:0.0,&quot;Left&quot;:0.0}" style="position:absolute;left:0;text-align:left;margin-left:0;margin-top:806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" o:allowincell="f" filled="f" stroked="f" strokeweight=".5pt">
                    <v:textbox inset="20pt,0,,0">
                      <w:txbxContent>
                        <w:p w14:paraId="0B7920A8" w14:textId="64D7C5CF" w:rsidR="000F1675" w:rsidRPr="000F1675" w:rsidRDefault="000F1675" w:rsidP="000F1675">
                          <w:pPr>
                            <w:spacing w:before="0" w:after="0"/>
                            <w:rPr>
                              <w:color w:val="000000"/>
                            </w:rPr>
                          </w:pPr>
                          <w:r w:rsidRPr="000F1675">
                            <w:rPr>
                              <w:color w:val="000000"/>
                            </w:rPr>
                            <w:t>OFFICIAL</w:t>
                          </w:r>
                        </w:p>
                      </w:txbxContent>
                    </v:textbox>
                    <w10:wrap anchorx="page" anchory="page"/>
                  </v:shape>
                </w:pict>
              </mc:Fallback>
            </mc:AlternateContent>
          </w:r>
          <w:r w:rsidR="00280334">
            <mc:AlternateContent>
              <mc:Choice Requires="wps">
                <w:drawing>
                  <wp:anchor distT="0" distB="0" distL="114300" distR="114300" simplePos="0" relativeHeight="251652608" behindDoc="0" locked="0" layoutInCell="0" allowOverlap="1" wp14:anchorId="395B037C" wp14:editId="73A188E1">
                    <wp:simplePos x="0" y="0"/>
                    <wp:positionH relativeFrom="page">
                      <wp:posOffset>0</wp:posOffset>
                    </wp:positionH>
                    <wp:positionV relativeFrom="page">
                      <wp:posOffset>10236200</wp:posOffset>
                    </wp:positionV>
                    <wp:extent cx="7557135" cy="266700"/>
                    <wp:effectExtent l="0" t="0" r="0" b="0"/>
                    <wp:wrapNone/>
                    <wp:docPr id="226" name="MSIPCMd4e94f0d82f04431df75a5cc" descr="{&quot;HashCode&quot;:-1267603503,&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9410E" w14:textId="77777777" w:rsidR="00A73D0C" w:rsidRPr="00AC5D0B" w:rsidRDefault="00280334"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95B037C" id="MSIPCMd4e94f0d82f04431df75a5cc" o:spid="_x0000_s1027" type="#_x0000_t202" alt="{&quot;HashCode&quot;:-1267603503,&quot;Height&quot;:842.0,&quot;Width&quot;:595.0,&quot;Placement&quot;:&quot;Footer&quot;,&quot;Index&quot;:&quot;Primary&quot;,&quot;Section&quot;:5,&quot;Top&quot;:0.0,&quot;Left&quot;:0.0}" style="position:absolute;left:0;text-align:left;margin-left:0;margin-top:806pt;width:595.05pt;height:21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" o:allowincell="f" filled="f" stroked="f" strokeweight=".5pt">
                    <v:textbox inset="20pt,0,,0">
                      <w:txbxContent>
                        <w:p w14:paraId="77B9410E" w14:textId="77777777" w:rsidR="00207449" w:rsidRPr="00AC5D0B" w:rsidRDefault="00280334" w:rsidP="007D0601">
                          <w:pPr>
                            <w:spacing w:before="0" w:after="0"/>
                            <w:rPr>
                              <w:color w:val="000000"/>
                            </w:rPr>
                          </w:pPr>
                          <w:r>
                            <w:rPr>
                              <w:color w:val="000000"/>
                            </w:rPr>
                            <w:t>OFFICIAL</w:t>
                          </w:r>
                        </w:p>
                      </w:txbxContent>
                    </v:textbox>
                    <w10:wrap anchorx="page" anchory="page"/>
                  </v:shape>
                </w:pict>
              </mc:Fallback>
            </mc:AlternateContent>
          </w:r>
          <w:r w:rsidR="00280334">
            <w:t xml:space="preserve">VGPB </w:t>
          </w:r>
          <w:r w:rsidR="00280334" w:rsidRPr="00264154">
            <w:t>Policy Five: Contract management and contract disclosure</w:t>
          </w:r>
        </w:p>
        <w:p w14:paraId="4366F309" w14:textId="26199F87" w:rsidR="00A73D0C" w:rsidRDefault="00280334" w:rsidP="007D0601">
          <w:pPr>
            <w:pStyle w:val="Footer"/>
          </w:pPr>
          <w:r>
            <w:t>Version 1.</w:t>
          </w:r>
          <w:r w:rsidR="00F244C0">
            <w:t>2 May 2024</w:t>
          </w:r>
        </w:p>
      </w:tc>
      <w:tc>
        <w:tcPr>
          <w:tcW w:w="528" w:type="dxa"/>
          <w:shd w:val="clear" w:color="auto" w:fill="auto"/>
        </w:tcPr>
        <w:p w14:paraId="5F867DEE" w14:textId="77777777" w:rsidR="00A73D0C" w:rsidRPr="0018749C" w:rsidRDefault="00280334" w:rsidP="007D0601">
          <w:pPr>
            <w:pStyle w:val="Footer"/>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6</w:t>
          </w:r>
          <w:r w:rsidRPr="0018749C">
            <w:rPr>
              <w:rStyle w:val="PageNumber"/>
            </w:rPr>
            <w:fldChar w:fldCharType="end"/>
          </w:r>
        </w:p>
      </w:tc>
    </w:tr>
  </w:tbl>
  <w:p w14:paraId="3D7C3148" w14:textId="77777777" w:rsidR="00A73D0C" w:rsidRDefault="00A73D0C" w:rsidP="007D0601">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FCF0" w14:textId="4271A153" w:rsidR="00A73D0C" w:rsidRDefault="000F1675" w:rsidP="007D0601">
    <w:pPr>
      <w:pStyle w:val="Footer"/>
    </w:pPr>
    <w:r>
      <mc:AlternateContent>
        <mc:Choice Requires="wps">
          <w:drawing>
            <wp:anchor distT="0" distB="0" distL="114300" distR="114300" simplePos="0" relativeHeight="251660288" behindDoc="0" locked="0" layoutInCell="0" allowOverlap="1" wp14:anchorId="1C46BC34" wp14:editId="745D4409">
              <wp:simplePos x="0" y="0"/>
              <wp:positionH relativeFrom="page">
                <wp:posOffset>0</wp:posOffset>
              </wp:positionH>
              <wp:positionV relativeFrom="page">
                <wp:posOffset>10236200</wp:posOffset>
              </wp:positionV>
              <wp:extent cx="7557135" cy="266700"/>
              <wp:effectExtent l="0" t="0" r="0" b="0"/>
              <wp:wrapNone/>
              <wp:docPr id="2" name="MSIPCM747d43a1956cb9b42a1d6023"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6C00D" w14:textId="2A80F748" w:rsidR="000F1675" w:rsidRPr="000F1675" w:rsidRDefault="000F1675" w:rsidP="000F1675">
                          <w:pPr>
                            <w:spacing w:before="0" w:after="0"/>
                            <w:rPr>
                              <w:color w:val="000000"/>
                            </w:rPr>
                          </w:pPr>
                          <w:r w:rsidRPr="000F167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46BC34" id="_x0000_t202" coordsize="21600,21600" o:spt="202" path="m,l,21600r21600,l21600,xe">
              <v:stroke joinstyle="miter"/>
              <v:path gradientshapeok="t" o:connecttype="rect"/>
            </v:shapetype>
            <v:shape id="MSIPCM747d43a1956cb9b42a1d6023" o:spid="_x0000_s1028"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" o:allowincell="f" filled="f" stroked="f" strokeweight=".5pt">
              <v:textbox inset="20pt,0,,0">
                <w:txbxContent>
                  <w:p w14:paraId="3036C00D" w14:textId="2A80F748" w:rsidR="000F1675" w:rsidRPr="000F1675" w:rsidRDefault="000F1675" w:rsidP="000F1675">
                    <w:pPr>
                      <w:spacing w:before="0" w:after="0"/>
                      <w:rPr>
                        <w:color w:val="000000"/>
                      </w:rPr>
                    </w:pPr>
                    <w:r w:rsidRPr="000F1675">
                      <w:rPr>
                        <w:color w:val="000000"/>
                      </w:rPr>
                      <w:t>OFFICIAL</w:t>
                    </w:r>
                  </w:p>
                </w:txbxContent>
              </v:textbox>
              <w10:wrap anchorx="page" anchory="page"/>
            </v:shape>
          </w:pict>
        </mc:Fallback>
      </mc:AlternateContent>
    </w:r>
    <w:r w:rsidR="00280334">
      <mc:AlternateContent>
        <mc:Choice Requires="wps">
          <w:drawing>
            <wp:anchor distT="0" distB="0" distL="114300" distR="114300" simplePos="0" relativeHeight="251654656" behindDoc="0" locked="0" layoutInCell="0" allowOverlap="1" wp14:anchorId="4AF978E3" wp14:editId="5F9F6CB6">
              <wp:simplePos x="0" y="0"/>
              <wp:positionH relativeFrom="page">
                <wp:posOffset>0</wp:posOffset>
              </wp:positionH>
              <wp:positionV relativeFrom="page">
                <wp:posOffset>10236200</wp:posOffset>
              </wp:positionV>
              <wp:extent cx="7557135" cy="266700"/>
              <wp:effectExtent l="0" t="0" r="0" b="0"/>
              <wp:wrapNone/>
              <wp:docPr id="227" name="MSIPCM612146ce80380e1d0d542b4a" descr="{&quot;HashCode&quot;:-1267603503,&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8882E" w14:textId="77777777" w:rsidR="00A73D0C" w:rsidRPr="00AC5D0B" w:rsidRDefault="00280334" w:rsidP="007D0601">
                          <w:pPr>
                            <w:spacing w:before="0" w:after="0"/>
                            <w:rPr>
                              <w:color w:val="000000"/>
                            </w:rPr>
                          </w:pPr>
                          <w:r>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AF978E3" id="MSIPCM612146ce80380e1d0d542b4a" o:spid="_x0000_s1029" type="#_x0000_t202" alt="{&quot;HashCode&quot;:-1267603503,&quot;Height&quot;:842.0,&quot;Width&quot;:595.0,&quot;Placement&quot;:&quot;Footer&quot;,&quot;Index&quot;:&quot;FirstPage&quot;,&quot;Section&quot;:5,&quot;Top&quot;:0.0,&quot;Left&quot;:0.0}" style="position:absolute;left:0;text-align:left;margin-left:0;margin-top:806pt;width:595.05pt;height:21pt;z-index:2516546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" o:allowincell="f" filled="f" stroked="f" strokeweight=".5pt">
              <v:textbox inset="20pt,0,,0">
                <w:txbxContent>
                  <w:p w14:paraId="7198882E" w14:textId="77777777" w:rsidR="00207449" w:rsidRPr="00AC5D0B" w:rsidRDefault="00280334" w:rsidP="007D0601">
                    <w:pPr>
                      <w:spacing w:before="0" w:after="0"/>
                      <w:rPr>
                        <w:color w:val="000000"/>
                      </w:rPr>
                    </w:pPr>
                    <w:r>
                      <w:rPr>
                        <w:color w:val="000000"/>
                      </w:rPr>
                      <w:t>OFFICIAL</w:t>
                    </w:r>
                  </w:p>
                </w:txbxContent>
              </v:textbox>
              <w10:wrap anchorx="page" anchory="page"/>
            </v:shape>
          </w:pict>
        </mc:Fallback>
      </mc:AlternateContent>
    </w:r>
    <w:r w:rsidR="00280334">
      <w:drawing>
        <wp:anchor distT="0" distB="0" distL="114300" distR="114300" simplePos="0" relativeHeight="251650560" behindDoc="0" locked="0" layoutInCell="1" allowOverlap="1" wp14:anchorId="021A7091" wp14:editId="4B5D141C">
          <wp:simplePos x="0" y="0"/>
          <wp:positionH relativeFrom="column">
            <wp:posOffset>5675043</wp:posOffset>
          </wp:positionH>
          <wp:positionV relativeFrom="page">
            <wp:posOffset>10011878</wp:posOffset>
          </wp:positionV>
          <wp:extent cx="795528" cy="457200"/>
          <wp:effectExtent l="0" t="0" r="508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528"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ACBB" w14:textId="77777777" w:rsidR="00280334" w:rsidRDefault="00280334" w:rsidP="00280334">
      <w:pPr>
        <w:spacing w:before="0" w:after="0" w:line="240" w:lineRule="auto"/>
      </w:pPr>
      <w:r>
        <w:separator/>
      </w:r>
    </w:p>
  </w:footnote>
  <w:footnote w:type="continuationSeparator" w:id="0">
    <w:p w14:paraId="5BD88CCE" w14:textId="77777777" w:rsidR="00280334" w:rsidRDefault="00280334" w:rsidP="002803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91F3" w14:textId="77777777" w:rsidR="00086279" w:rsidRDefault="000862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1995" w14:textId="77777777" w:rsidR="00A73D0C" w:rsidRPr="007602D7" w:rsidRDefault="00280334" w:rsidP="007D0601">
    <w:pPr>
      <w:pStyle w:val="Header"/>
      <w:spacing w:before="240"/>
      <w:ind w:right="-461"/>
    </w:pPr>
    <w:r w:rsidRPr="000E286D">
      <w:drawing>
        <wp:anchor distT="0" distB="0" distL="114300" distR="114300" simplePos="0" relativeHeight="251648512" behindDoc="1" locked="0" layoutInCell="1" allowOverlap="1" wp14:anchorId="6392A0CB" wp14:editId="0B2F8702">
          <wp:simplePos x="0" y="0"/>
          <wp:positionH relativeFrom="column">
            <wp:posOffset>-734396</wp:posOffset>
          </wp:positionH>
          <wp:positionV relativeFrom="paragraph">
            <wp:posOffset>-185648</wp:posOffset>
          </wp:positionV>
          <wp:extent cx="560717" cy="10717356"/>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0717" cy="107173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2B5F" w14:textId="77777777" w:rsidR="00A73D0C" w:rsidRPr="007602D7" w:rsidRDefault="00280334" w:rsidP="007D0601">
    <w:pPr>
      <w:pStyle w:val="Header"/>
      <w:spacing w:before="240"/>
      <w:ind w:right="-461"/>
    </w:pPr>
    <w:r w:rsidRPr="000E286D">
      <w:drawing>
        <wp:anchor distT="0" distB="0" distL="114300" distR="114300" simplePos="0" relativeHeight="251646464" behindDoc="1" locked="0" layoutInCell="1" allowOverlap="1" wp14:anchorId="170D21F7" wp14:editId="6DDCCEE1">
          <wp:simplePos x="0" y="0"/>
          <wp:positionH relativeFrom="column">
            <wp:posOffset>-731520</wp:posOffset>
          </wp:positionH>
          <wp:positionV relativeFrom="paragraph">
            <wp:posOffset>-200133</wp:posOffset>
          </wp:positionV>
          <wp:extent cx="560717" cy="10717356"/>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 w15:restartNumberingAfterBreak="0">
    <w:nsid w:val="19003DA8"/>
    <w:multiLevelType w:val="hybridMultilevel"/>
    <w:tmpl w:val="3F8C6052"/>
    <w:lvl w:ilvl="0" w:tplc="0C09000F">
      <w:start w:val="1"/>
      <w:numFmt w:val="decimal"/>
      <w:lvlText w:val="%1."/>
      <w:lvlJc w:val="left"/>
      <w:pPr>
        <w:ind w:left="1406" w:hanging="360"/>
      </w:pPr>
    </w:lvl>
    <w:lvl w:ilvl="1" w:tplc="0C090019" w:tentative="1">
      <w:start w:val="1"/>
      <w:numFmt w:val="lowerLetter"/>
      <w:lvlText w:val="%2."/>
      <w:lvlJc w:val="left"/>
      <w:pPr>
        <w:ind w:left="2126" w:hanging="360"/>
      </w:pPr>
    </w:lvl>
    <w:lvl w:ilvl="2" w:tplc="0C09001B" w:tentative="1">
      <w:start w:val="1"/>
      <w:numFmt w:val="lowerRoman"/>
      <w:lvlText w:val="%3."/>
      <w:lvlJc w:val="right"/>
      <w:pPr>
        <w:ind w:left="2846" w:hanging="180"/>
      </w:pPr>
    </w:lvl>
    <w:lvl w:ilvl="3" w:tplc="0C09000F" w:tentative="1">
      <w:start w:val="1"/>
      <w:numFmt w:val="decimal"/>
      <w:lvlText w:val="%4."/>
      <w:lvlJc w:val="left"/>
      <w:pPr>
        <w:ind w:left="3566" w:hanging="360"/>
      </w:pPr>
    </w:lvl>
    <w:lvl w:ilvl="4" w:tplc="0C090019" w:tentative="1">
      <w:start w:val="1"/>
      <w:numFmt w:val="lowerLetter"/>
      <w:lvlText w:val="%5."/>
      <w:lvlJc w:val="left"/>
      <w:pPr>
        <w:ind w:left="4286" w:hanging="360"/>
      </w:pPr>
    </w:lvl>
    <w:lvl w:ilvl="5" w:tplc="0C09001B" w:tentative="1">
      <w:start w:val="1"/>
      <w:numFmt w:val="lowerRoman"/>
      <w:lvlText w:val="%6."/>
      <w:lvlJc w:val="right"/>
      <w:pPr>
        <w:ind w:left="5006" w:hanging="180"/>
      </w:pPr>
    </w:lvl>
    <w:lvl w:ilvl="6" w:tplc="0C09000F" w:tentative="1">
      <w:start w:val="1"/>
      <w:numFmt w:val="decimal"/>
      <w:lvlText w:val="%7."/>
      <w:lvlJc w:val="left"/>
      <w:pPr>
        <w:ind w:left="5726" w:hanging="360"/>
      </w:pPr>
    </w:lvl>
    <w:lvl w:ilvl="7" w:tplc="0C090019" w:tentative="1">
      <w:start w:val="1"/>
      <w:numFmt w:val="lowerLetter"/>
      <w:lvlText w:val="%8."/>
      <w:lvlJc w:val="left"/>
      <w:pPr>
        <w:ind w:left="6446" w:hanging="360"/>
      </w:pPr>
    </w:lvl>
    <w:lvl w:ilvl="8" w:tplc="0C09001B" w:tentative="1">
      <w:start w:val="1"/>
      <w:numFmt w:val="lowerRoman"/>
      <w:lvlText w:val="%9."/>
      <w:lvlJc w:val="right"/>
      <w:pPr>
        <w:ind w:left="7166" w:hanging="180"/>
      </w:pPr>
    </w:lvl>
  </w:abstractNum>
  <w:abstractNum w:abstractNumId="2" w15:restartNumberingAfterBreak="0">
    <w:nsid w:val="1B4E26AB"/>
    <w:multiLevelType w:val="hybridMultilevel"/>
    <w:tmpl w:val="32EE25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B44C17"/>
    <w:multiLevelType w:val="hybridMultilevel"/>
    <w:tmpl w:val="C6C89E4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5" w15:restartNumberingAfterBreak="0">
    <w:nsid w:val="46BD751D"/>
    <w:multiLevelType w:val="hybridMultilevel"/>
    <w:tmpl w:val="6DAE1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AB1711"/>
    <w:multiLevelType w:val="multilevel"/>
    <w:tmpl w:val="0B88D6D0"/>
    <w:name w:val="Headings5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7" w15:restartNumberingAfterBreak="0">
    <w:nsid w:val="4F7460C3"/>
    <w:multiLevelType w:val="hybridMultilevel"/>
    <w:tmpl w:val="D3FE3C38"/>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15:restartNumberingAfterBreak="0">
    <w:nsid w:val="63E80080"/>
    <w:multiLevelType w:val="hybridMultilevel"/>
    <w:tmpl w:val="C4184732"/>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9" w15:restartNumberingAfterBreak="0">
    <w:nsid w:val="6472245C"/>
    <w:multiLevelType w:val="hybridMultilevel"/>
    <w:tmpl w:val="C5B662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1E0155"/>
    <w:multiLevelType w:val="multilevel"/>
    <w:tmpl w:val="D62AA3A8"/>
    <w:name w:val="Headings5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6C0411D9"/>
    <w:multiLevelType w:val="hybridMultilevel"/>
    <w:tmpl w:val="BB2C315A"/>
    <w:lvl w:ilvl="0" w:tplc="0C09000F">
      <w:start w:val="1"/>
      <w:numFmt w:val="decimal"/>
      <w:lvlText w:val="%1."/>
      <w:lvlJc w:val="left"/>
      <w:pPr>
        <w:ind w:left="1514" w:hanging="360"/>
      </w:pPr>
    </w:lvl>
    <w:lvl w:ilvl="1" w:tplc="0C090019">
      <w:start w:val="1"/>
      <w:numFmt w:val="lowerLetter"/>
      <w:lvlText w:val="%2."/>
      <w:lvlJc w:val="left"/>
      <w:pPr>
        <w:ind w:left="2234" w:hanging="360"/>
      </w:pPr>
    </w:lvl>
    <w:lvl w:ilvl="2" w:tplc="0C09001B">
      <w:start w:val="1"/>
      <w:numFmt w:val="lowerRoman"/>
      <w:lvlText w:val="%3."/>
      <w:lvlJc w:val="right"/>
      <w:pPr>
        <w:ind w:left="2954" w:hanging="180"/>
      </w:pPr>
    </w:lvl>
    <w:lvl w:ilvl="3" w:tplc="0C09000F">
      <w:start w:val="1"/>
      <w:numFmt w:val="decimal"/>
      <w:lvlText w:val="%4."/>
      <w:lvlJc w:val="left"/>
      <w:pPr>
        <w:ind w:left="3674" w:hanging="360"/>
      </w:pPr>
    </w:lvl>
    <w:lvl w:ilvl="4" w:tplc="0C090019">
      <w:start w:val="1"/>
      <w:numFmt w:val="lowerLetter"/>
      <w:lvlText w:val="%5."/>
      <w:lvlJc w:val="left"/>
      <w:pPr>
        <w:ind w:left="4394" w:hanging="360"/>
      </w:pPr>
    </w:lvl>
    <w:lvl w:ilvl="5" w:tplc="0C09001B">
      <w:start w:val="1"/>
      <w:numFmt w:val="lowerRoman"/>
      <w:lvlText w:val="%6."/>
      <w:lvlJc w:val="right"/>
      <w:pPr>
        <w:ind w:left="5114" w:hanging="180"/>
      </w:pPr>
    </w:lvl>
    <w:lvl w:ilvl="6" w:tplc="0C09000F">
      <w:start w:val="1"/>
      <w:numFmt w:val="decimal"/>
      <w:lvlText w:val="%7."/>
      <w:lvlJc w:val="left"/>
      <w:pPr>
        <w:ind w:left="5834" w:hanging="360"/>
      </w:pPr>
    </w:lvl>
    <w:lvl w:ilvl="7" w:tplc="0C090019">
      <w:start w:val="1"/>
      <w:numFmt w:val="lowerLetter"/>
      <w:lvlText w:val="%8."/>
      <w:lvlJc w:val="left"/>
      <w:pPr>
        <w:ind w:left="6554" w:hanging="360"/>
      </w:pPr>
    </w:lvl>
    <w:lvl w:ilvl="8" w:tplc="0C09001B">
      <w:start w:val="1"/>
      <w:numFmt w:val="lowerRoman"/>
      <w:lvlText w:val="%9."/>
      <w:lvlJc w:val="right"/>
      <w:pPr>
        <w:ind w:left="7274" w:hanging="180"/>
      </w:pPr>
    </w:lvl>
  </w:abstractNum>
  <w:abstractNum w:abstractNumId="12" w15:restartNumberingAfterBreak="0">
    <w:nsid w:val="77860EBC"/>
    <w:multiLevelType w:val="hybridMultilevel"/>
    <w:tmpl w:val="C956642C"/>
    <w:lvl w:ilvl="0" w:tplc="5E6A6772">
      <w:start w:val="1"/>
      <w:numFmt w:val="decimal"/>
      <w:lvlText w:val="%1."/>
      <w:lvlJc w:val="left"/>
      <w:pPr>
        <w:ind w:left="15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7DF6965"/>
    <w:multiLevelType w:val="multilevel"/>
    <w:tmpl w:val="8C343274"/>
    <w:name w:val="Headings5222"/>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7D0A4858"/>
    <w:multiLevelType w:val="multilevel"/>
    <w:tmpl w:val="50F64AD0"/>
    <w:lvl w:ilvl="0">
      <w:start w:val="1"/>
      <w:numFmt w:val="lowerLetter"/>
      <w:lvlText w:val="%1)"/>
      <w:lvlJc w:val="left"/>
      <w:pPr>
        <w:tabs>
          <w:tab w:val="num" w:pos="1077"/>
        </w:tabs>
        <w:ind w:left="1077" w:hanging="283"/>
      </w:pPr>
      <w:rPr>
        <w:b w:val="0"/>
        <w:i w:val="0"/>
        <w:sz w:val="22"/>
      </w:rPr>
    </w:lvl>
    <w:lvl w:ilvl="1">
      <w:start w:val="1"/>
      <w:numFmt w:val="lowerLetter"/>
      <w:lvlText w:val="%2)"/>
      <w:lvlJc w:val="left"/>
      <w:pPr>
        <w:tabs>
          <w:tab w:val="num" w:pos="1361"/>
        </w:tabs>
        <w:ind w:left="1361" w:hanging="284"/>
      </w:pPr>
      <w:rPr>
        <w:rFonts w:ascii="Calibri" w:hAnsi="Calibri"/>
        <w:b w:val="0"/>
        <w:i w:val="0"/>
        <w:sz w:val="22"/>
      </w:rPr>
    </w:lvl>
    <w:lvl w:ilvl="2">
      <w:start w:val="1"/>
      <w:numFmt w:val="lowerRoman"/>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num w:numId="1" w16cid:durableId="1610505629">
    <w:abstractNumId w:val="4"/>
  </w:num>
  <w:num w:numId="2" w16cid:durableId="1376198957">
    <w:abstractNumId w:val="1"/>
  </w:num>
  <w:num w:numId="3" w16cid:durableId="706292720">
    <w:abstractNumId w:val="14"/>
  </w:num>
  <w:num w:numId="4" w16cid:durableId="1806577567">
    <w:abstractNumId w:val="5"/>
  </w:num>
  <w:num w:numId="5" w16cid:durableId="1509103528">
    <w:abstractNumId w:val="3"/>
  </w:num>
  <w:num w:numId="6" w16cid:durableId="1681158146">
    <w:abstractNumId w:val="7"/>
  </w:num>
  <w:num w:numId="7" w16cid:durableId="940837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6007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1054368">
    <w:abstractNumId w:val="2"/>
  </w:num>
  <w:num w:numId="10" w16cid:durableId="1609969167">
    <w:abstractNumId w:val="9"/>
  </w:num>
  <w:num w:numId="11" w16cid:durableId="999578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0118227">
    <w:abstractNumId w:val="12"/>
  </w:num>
  <w:num w:numId="13" w16cid:durableId="1651330343">
    <w:abstractNumId w:val="10"/>
  </w:num>
  <w:num w:numId="14" w16cid:durableId="471098744">
    <w:abstractNumId w:val="6"/>
  </w:num>
  <w:num w:numId="15" w16cid:durableId="21267308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34"/>
    <w:rsid w:val="0000045A"/>
    <w:rsid w:val="00086279"/>
    <w:rsid w:val="000F1675"/>
    <w:rsid w:val="001570CA"/>
    <w:rsid w:val="00280334"/>
    <w:rsid w:val="002C60CC"/>
    <w:rsid w:val="003E132D"/>
    <w:rsid w:val="004F340C"/>
    <w:rsid w:val="005551CE"/>
    <w:rsid w:val="005A1E8E"/>
    <w:rsid w:val="0061359B"/>
    <w:rsid w:val="008B7287"/>
    <w:rsid w:val="008D3718"/>
    <w:rsid w:val="00C90C80"/>
    <w:rsid w:val="00F24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68D6480"/>
  <w15:chartTrackingRefBased/>
  <w15:docId w15:val="{170DD7C1-0437-4CF0-8F44-E70647E0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34"/>
    <w:pPr>
      <w:spacing w:before="100" w:after="100" w:line="260" w:lineRule="atLeast"/>
    </w:pPr>
    <w:rPr>
      <w:rFonts w:ascii="Calibri" w:eastAsia="Times New Roman" w:hAnsi="Calibri" w:cs="Calibri"/>
      <w:lang w:eastAsia="en-AU"/>
    </w:rPr>
  </w:style>
  <w:style w:type="paragraph" w:styleId="Heading1">
    <w:name w:val="heading 1"/>
    <w:basedOn w:val="Normal"/>
    <w:next w:val="Normal"/>
    <w:link w:val="Heading1Char"/>
    <w:uiPriority w:val="9"/>
    <w:qFormat/>
    <w:rsid w:val="00280334"/>
    <w:pPr>
      <w:keepNext/>
      <w:keepLines/>
      <w:pageBreakBefore/>
      <w:spacing w:before="0" w:after="1120" w:line="216" w:lineRule="auto"/>
      <w:ind w:left="794"/>
      <w:outlineLvl w:val="0"/>
    </w:pPr>
    <w:rPr>
      <w:color w:val="660B68"/>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334"/>
    <w:rPr>
      <w:rFonts w:ascii="Calibri" w:eastAsia="Times New Roman" w:hAnsi="Calibri" w:cs="Calibri"/>
      <w:color w:val="660B68"/>
      <w:sz w:val="40"/>
      <w:szCs w:val="40"/>
    </w:rPr>
  </w:style>
  <w:style w:type="paragraph" w:customStyle="1" w:styleId="Bullet1">
    <w:name w:val="Bullet 1"/>
    <w:basedOn w:val="Normal"/>
    <w:uiPriority w:val="11"/>
    <w:qFormat/>
    <w:rsid w:val="00280334"/>
    <w:pPr>
      <w:numPr>
        <w:numId w:val="1"/>
      </w:numPr>
      <w:spacing w:before="0" w:after="0"/>
    </w:pPr>
  </w:style>
  <w:style w:type="paragraph" w:styleId="Footer">
    <w:name w:val="footer"/>
    <w:link w:val="FooterChar"/>
    <w:uiPriority w:val="24"/>
    <w:semiHidden/>
    <w:rsid w:val="00280334"/>
    <w:pPr>
      <w:tabs>
        <w:tab w:val="right" w:pos="8220"/>
      </w:tabs>
      <w:spacing w:after="0" w:line="240" w:lineRule="auto"/>
      <w:jc w:val="right"/>
    </w:pPr>
    <w:rPr>
      <w:rFonts w:ascii="Calibri" w:eastAsia="Times New Roman" w:hAnsi="Calibri" w:cs="Calibri"/>
      <w:noProof/>
      <w:sz w:val="20"/>
      <w:lang w:eastAsia="en-AU"/>
    </w:rPr>
  </w:style>
  <w:style w:type="character" w:customStyle="1" w:styleId="FooterChar">
    <w:name w:val="Footer Char"/>
    <w:basedOn w:val="DefaultParagraphFont"/>
    <w:link w:val="Footer"/>
    <w:uiPriority w:val="24"/>
    <w:semiHidden/>
    <w:rsid w:val="00280334"/>
    <w:rPr>
      <w:rFonts w:ascii="Calibri" w:eastAsia="Times New Roman" w:hAnsi="Calibri" w:cs="Calibri"/>
      <w:noProof/>
      <w:sz w:val="20"/>
      <w:lang w:eastAsia="en-AU"/>
    </w:rPr>
  </w:style>
  <w:style w:type="character" w:styleId="Hyperlink">
    <w:name w:val="Hyperlink"/>
    <w:uiPriority w:val="99"/>
    <w:rsid w:val="00280334"/>
    <w:rPr>
      <w:color w:val="660B68"/>
      <w:u w:val="none"/>
    </w:rPr>
  </w:style>
  <w:style w:type="character" w:styleId="PageNumber">
    <w:name w:val="page number"/>
    <w:uiPriority w:val="49"/>
    <w:semiHidden/>
    <w:rsid w:val="00280334"/>
    <w:rPr>
      <w:b/>
      <w:color w:val="4C4C4C"/>
      <w:sz w:val="28"/>
    </w:rPr>
  </w:style>
  <w:style w:type="paragraph" w:styleId="Header">
    <w:name w:val="header"/>
    <w:basedOn w:val="Normal"/>
    <w:link w:val="HeaderChar"/>
    <w:uiPriority w:val="24"/>
    <w:semiHidden/>
    <w:rsid w:val="00280334"/>
    <w:pPr>
      <w:tabs>
        <w:tab w:val="left" w:pos="930"/>
        <w:tab w:val="right" w:pos="10350"/>
      </w:tabs>
      <w:spacing w:before="480" w:after="200" w:line="240" w:lineRule="auto"/>
      <w:ind w:right="-465"/>
      <w:jc w:val="right"/>
    </w:pPr>
    <w:rPr>
      <w:noProof/>
      <w:sz w:val="28"/>
    </w:rPr>
  </w:style>
  <w:style w:type="character" w:customStyle="1" w:styleId="HeaderChar">
    <w:name w:val="Header Char"/>
    <w:basedOn w:val="DefaultParagraphFont"/>
    <w:link w:val="Header"/>
    <w:uiPriority w:val="24"/>
    <w:semiHidden/>
    <w:rsid w:val="00280334"/>
    <w:rPr>
      <w:rFonts w:ascii="Calibri" w:eastAsia="Times New Roman" w:hAnsi="Calibri" w:cs="Calibri"/>
      <w:noProof/>
      <w:sz w:val="28"/>
      <w:lang w:eastAsia="en-AU"/>
    </w:rPr>
  </w:style>
  <w:style w:type="paragraph" w:customStyle="1" w:styleId="Spacer">
    <w:name w:val="Spacer"/>
    <w:basedOn w:val="Normal"/>
    <w:uiPriority w:val="13"/>
    <w:qFormat/>
    <w:rsid w:val="00280334"/>
    <w:pPr>
      <w:spacing w:before="0" w:after="0" w:line="120" w:lineRule="atLeast"/>
    </w:pPr>
    <w:rPr>
      <w:sz w:val="12"/>
    </w:rPr>
  </w:style>
  <w:style w:type="paragraph" w:customStyle="1" w:styleId="Bullet2">
    <w:name w:val="Bullet 2"/>
    <w:basedOn w:val="Bullet1"/>
    <w:uiPriority w:val="11"/>
    <w:qFormat/>
    <w:rsid w:val="00280334"/>
    <w:pPr>
      <w:numPr>
        <w:ilvl w:val="1"/>
      </w:numPr>
    </w:pPr>
  </w:style>
  <w:style w:type="paragraph" w:customStyle="1" w:styleId="Bullet3">
    <w:name w:val="Bullet 3"/>
    <w:basedOn w:val="Bullet2"/>
    <w:uiPriority w:val="11"/>
    <w:qFormat/>
    <w:rsid w:val="00280334"/>
    <w:pPr>
      <w:numPr>
        <w:ilvl w:val="2"/>
      </w:numPr>
    </w:pPr>
  </w:style>
  <w:style w:type="paragraph" w:styleId="ListParagraph">
    <w:name w:val="List Paragraph"/>
    <w:basedOn w:val="Normal"/>
    <w:uiPriority w:val="34"/>
    <w:qFormat/>
    <w:rsid w:val="00280334"/>
    <w:pPr>
      <w:ind w:left="720"/>
      <w:contextualSpacing/>
    </w:pPr>
  </w:style>
  <w:style w:type="paragraph" w:styleId="TOC1">
    <w:name w:val="toc 1"/>
    <w:basedOn w:val="Normal"/>
    <w:next w:val="Normal"/>
    <w:autoRedefine/>
    <w:uiPriority w:val="39"/>
    <w:unhideWhenUsed/>
    <w:rsid w:val="00280334"/>
    <w:pPr>
      <w:tabs>
        <w:tab w:val="right" w:leader="dot" w:pos="9731"/>
      </w:tabs>
      <w:spacing w:before="120" w:after="240"/>
    </w:pPr>
    <w:rPr>
      <w:b/>
      <w:bCs/>
      <w:sz w:val="32"/>
      <w:szCs w:val="32"/>
    </w:rPr>
  </w:style>
  <w:style w:type="paragraph" w:styleId="Caption">
    <w:name w:val="caption"/>
    <w:basedOn w:val="Normal"/>
    <w:next w:val="Normal"/>
    <w:uiPriority w:val="35"/>
    <w:unhideWhenUsed/>
    <w:qFormat/>
    <w:rsid w:val="00280334"/>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vic.gov.au" TargetMode="External"/><Relationship Id="rId13" Type="http://schemas.openxmlformats.org/officeDocument/2006/relationships/hyperlink" Target="http://www.procurement.vic.gov.au/Buyers/Policies-Guides-and-Too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Microsoft_Visio_2003-2010_Drawing1.vsd"/><Relationship Id="rId17" Type="http://schemas.openxmlformats.org/officeDocument/2006/relationships/hyperlink" Target="mailto:IPpolicy@dtf.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oleObject" Target="embeddings/Microsoft_Visio_2003-2010_Drawing.vsd"/><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creativecommons.org/licenses/by/3.0/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972C103-A947-4CEB-92D0-105D5AC4477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Cattanach (DTF)</dc:creator>
  <cp:keywords/>
  <dc:description/>
  <cp:lastModifiedBy>Tharushi Liyanaarachchi (DGS)</cp:lastModifiedBy>
  <cp:revision>5</cp:revision>
  <dcterms:created xsi:type="dcterms:W3CDTF">2024-05-16T01:18:00Z</dcterms:created>
  <dcterms:modified xsi:type="dcterms:W3CDTF">2024-05-16T04:29:00Z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annalisa.cattanach@dtf.vic.gov.au</vt:lpwstr>
  </property>
  <property fmtid="{D5CDD505-2E9C-101B-9397-08002B2CF9AE}" pid="5" name="MSIP_Label_7158ebbd-6c5e-441f-bfc9-4eb8c11e3978_SetDate">
    <vt:lpwstr>2021-01-21T03:43:02.9703374Z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