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05BEB" w14:textId="77777777" w:rsidR="00E500D1" w:rsidRPr="007D65D4" w:rsidRDefault="00236EE1" w:rsidP="007D65D4">
      <w:pPr>
        <w:pStyle w:val="Heading1"/>
        <w:rPr>
          <w:b/>
          <w:color w:val="7030A0"/>
          <w:sz w:val="36"/>
          <w:szCs w:val="36"/>
        </w:rPr>
      </w:pPr>
      <w:r w:rsidRPr="007D65D4">
        <w:rPr>
          <w:b/>
          <w:color w:val="7030A0"/>
          <w:sz w:val="36"/>
          <w:szCs w:val="36"/>
        </w:rPr>
        <w:t>Detailed complexity assessment tool</w:t>
      </w:r>
    </w:p>
    <w:p w14:paraId="4F632741" w14:textId="77777777" w:rsidR="00236EE1" w:rsidRDefault="00236EE1" w:rsidP="00236EE1">
      <w:r>
        <w:t>The detailed complexity assessment tool evaluates the complexity level of non-transactional procurement categories.</w:t>
      </w:r>
    </w:p>
    <w:p w14:paraId="29E5CB85" w14:textId="77777777" w:rsidR="00236EE1" w:rsidRDefault="00236EE1" w:rsidP="00236EE1">
      <w:r>
        <w:t xml:space="preserve">Complexity assessments should also be completed for individual procurement activities outside the procurement categories which are critical to the business </w:t>
      </w:r>
      <w:r w:rsidR="00E32EDE">
        <w:br/>
      </w:r>
      <w:r>
        <w:t>or high risk to your organisation.</w:t>
      </w:r>
    </w:p>
    <w:p w14:paraId="6FBD7E29" w14:textId="77777777" w:rsidR="00236EE1" w:rsidRPr="007D65D4" w:rsidRDefault="00BD7032" w:rsidP="007D65D4">
      <w:pPr>
        <w:pStyle w:val="Heading2"/>
        <w:rPr>
          <w:color w:val="7030A0"/>
        </w:rPr>
      </w:pPr>
      <w:r w:rsidRPr="007D65D4">
        <w:rPr>
          <w:color w:val="7030A0"/>
        </w:rPr>
        <w:t>Complexity assessment process</w:t>
      </w:r>
    </w:p>
    <w:p w14:paraId="539DEAB9" w14:textId="77777777" w:rsidR="00FA5DF4" w:rsidRDefault="00236EE1" w:rsidP="00FA5DF4">
      <w:r>
        <w:t xml:space="preserve">The detailed complexity assessment tool and template is used in Step 6: Perform detailed complexity assessment.  </w:t>
      </w:r>
      <w:r w:rsidR="00FA5DF4" w:rsidRPr="00236EE1">
        <w:t>The key steps within step 6 are outlined below.</w:t>
      </w:r>
    </w:p>
    <w:p w14:paraId="6C42908C" w14:textId="77777777" w:rsidR="00236EE1" w:rsidRDefault="00236EE1" w:rsidP="00BD7032">
      <w:pPr>
        <w:pStyle w:val="Caption"/>
      </w:pPr>
      <w:r>
        <w:t xml:space="preserve">Figure: </w:t>
      </w:r>
      <w:r w:rsidR="00FA5DF4">
        <w:t>The complexity assessment process</w:t>
      </w:r>
    </w:p>
    <w:p w14:paraId="50B046CA" w14:textId="77777777" w:rsidR="00236EE1" w:rsidRDefault="00C8495B" w:rsidP="00236EE1">
      <w:r>
        <w:object w:dxaOrig="15514" w:dyaOrig="3288" w14:anchorId="273AF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154.5pt" o:ole="">
            <v:imagedata r:id="rId8" o:title=""/>
          </v:shape>
          <o:OLEObject Type="Embed" ProgID="Visio.Drawing.11" ShapeID="_x0000_i1025" DrawAspect="Content" ObjectID="_1783159683" r:id="rId9"/>
        </w:object>
      </w:r>
    </w:p>
    <w:p w14:paraId="15989E02" w14:textId="77777777" w:rsidR="00FA5DF4" w:rsidRDefault="00FA5DF4" w:rsidP="00FA5DF4">
      <w:r>
        <w:t>The figure is a flow chart.  The flow chart has 8 steps,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9075"/>
      </w:tblGrid>
      <w:tr w:rsidR="00FA5DF4" w:rsidRPr="0010724E" w14:paraId="653DB322" w14:textId="77777777" w:rsidTr="00F22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6" w:space="0" w:color="660B68"/>
            </w:tcBorders>
            <w:shd w:val="clear" w:color="auto" w:fill="auto"/>
          </w:tcPr>
          <w:p w14:paraId="1AF2786A" w14:textId="77777777" w:rsidR="00FA5DF4" w:rsidRPr="0010724E" w:rsidRDefault="00FA5DF4" w:rsidP="00F22436">
            <w:pPr>
              <w:rPr>
                <w:b/>
                <w:color w:val="auto"/>
              </w:rPr>
            </w:pPr>
            <w:r w:rsidRPr="0010724E">
              <w:rPr>
                <w:b/>
                <w:color w:val="auto"/>
              </w:rPr>
              <w:t>Step</w:t>
            </w:r>
          </w:p>
        </w:tc>
        <w:tc>
          <w:tcPr>
            <w:tcW w:w="9075" w:type="dxa"/>
            <w:tcBorders>
              <w:left w:val="single" w:sz="6" w:space="0" w:color="660B68"/>
            </w:tcBorders>
            <w:shd w:val="clear" w:color="auto" w:fill="auto"/>
          </w:tcPr>
          <w:p w14:paraId="63022B22" w14:textId="77777777" w:rsidR="00FA5DF4" w:rsidRPr="0010724E" w:rsidRDefault="00FA5DF4" w:rsidP="00F22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0724E">
              <w:rPr>
                <w:b/>
                <w:color w:val="auto"/>
              </w:rPr>
              <w:t>Action</w:t>
            </w:r>
          </w:p>
        </w:tc>
      </w:tr>
      <w:tr w:rsidR="00FA5DF4" w14:paraId="373C4569" w14:textId="77777777" w:rsidTr="00F22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bottom w:val="single" w:sz="6" w:space="0" w:color="660B68"/>
              <w:right w:val="single" w:sz="6" w:space="0" w:color="660B68"/>
            </w:tcBorders>
          </w:tcPr>
          <w:p w14:paraId="0B0DFBE4" w14:textId="77777777" w:rsidR="00FA5DF4" w:rsidRDefault="00FA5DF4" w:rsidP="00F22436">
            <w:r>
              <w:t>1</w:t>
            </w:r>
          </w:p>
        </w:tc>
        <w:tc>
          <w:tcPr>
            <w:tcW w:w="9075" w:type="dxa"/>
            <w:tcBorders>
              <w:left w:val="single" w:sz="6" w:space="0" w:color="660B68"/>
              <w:bottom w:val="single" w:sz="6" w:space="0" w:color="660B68"/>
              <w:right w:val="single" w:sz="6" w:space="0" w:color="660B68"/>
            </w:tcBorders>
          </w:tcPr>
          <w:p w14:paraId="328519D1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the category for assessment.</w:t>
            </w:r>
          </w:p>
        </w:tc>
      </w:tr>
      <w:tr w:rsidR="00FA5DF4" w:rsidRPr="0010724E" w14:paraId="11B00EA9" w14:textId="77777777" w:rsidTr="00F224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right w:val="single" w:sz="6" w:space="0" w:color="660B68"/>
            </w:tcBorders>
          </w:tcPr>
          <w:p w14:paraId="1E3FA8DC" w14:textId="77777777" w:rsidR="00FA5DF4" w:rsidRDefault="00FA5DF4" w:rsidP="00F22436">
            <w:r>
              <w:t>2</w:t>
            </w:r>
          </w:p>
        </w:tc>
        <w:tc>
          <w:tcPr>
            <w:tcW w:w="9075" w:type="dxa"/>
            <w:tcBorders>
              <w:left w:val="single" w:sz="6" w:space="0" w:color="660B68"/>
              <w:right w:val="single" w:sz="6" w:space="0" w:color="660B68"/>
            </w:tcBorders>
          </w:tcPr>
          <w:p w14:paraId="0B3DBFFD" w14:textId="77777777" w:rsidR="00FA5DF4" w:rsidRDefault="00FA5DF4" w:rsidP="00F22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Is complexity assessment required?</w:t>
            </w:r>
          </w:p>
          <w:p w14:paraId="5AFB0C00" w14:textId="77777777" w:rsidR="00FA5DF4" w:rsidRDefault="00FA5DF4" w:rsidP="00F22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yes, go to step 3.</w:t>
            </w:r>
          </w:p>
          <w:p w14:paraId="6C083397" w14:textId="77777777" w:rsidR="00FA5DF4" w:rsidRDefault="00FA5DF4" w:rsidP="00F22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no, complexity assessment not required (documentation of reason(s) required).</w:t>
            </w:r>
          </w:p>
        </w:tc>
      </w:tr>
      <w:tr w:rsidR="00FA5DF4" w:rsidRPr="0010724E" w14:paraId="44A6557B" w14:textId="77777777" w:rsidTr="00F22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right w:val="single" w:sz="6" w:space="0" w:color="660B68"/>
            </w:tcBorders>
          </w:tcPr>
          <w:p w14:paraId="2A2F24F7" w14:textId="77777777" w:rsidR="00FA5DF4" w:rsidRDefault="00FA5DF4" w:rsidP="00F22436">
            <w:r>
              <w:lastRenderedPageBreak/>
              <w:t>3</w:t>
            </w:r>
          </w:p>
        </w:tc>
        <w:tc>
          <w:tcPr>
            <w:tcW w:w="9075" w:type="dxa"/>
            <w:tcBorders>
              <w:left w:val="single" w:sz="6" w:space="0" w:color="660B68"/>
              <w:right w:val="single" w:sz="6" w:space="0" w:color="660B68"/>
            </w:tcBorders>
          </w:tcPr>
          <w:p w14:paraId="6DA9DAB7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categories to I.D. likely transactional categories.</w:t>
            </w:r>
          </w:p>
          <w:p w14:paraId="28388728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transactional, go to step 6.</w:t>
            </w:r>
          </w:p>
          <w:p w14:paraId="1BA5D9EF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non transactional, go to step 6.</w:t>
            </w:r>
          </w:p>
        </w:tc>
      </w:tr>
      <w:tr w:rsidR="00FA5DF4" w:rsidRPr="0010724E" w14:paraId="317427C4" w14:textId="77777777" w:rsidTr="00F224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right w:val="single" w:sz="6" w:space="0" w:color="660B68"/>
            </w:tcBorders>
          </w:tcPr>
          <w:p w14:paraId="3C2A173E" w14:textId="77777777" w:rsidR="00FA5DF4" w:rsidRDefault="00FA5DF4" w:rsidP="00F22436">
            <w:r>
              <w:t>4</w:t>
            </w:r>
          </w:p>
        </w:tc>
        <w:tc>
          <w:tcPr>
            <w:tcW w:w="9075" w:type="dxa"/>
            <w:tcBorders>
              <w:left w:val="single" w:sz="6" w:space="0" w:color="660B68"/>
              <w:right w:val="single" w:sz="6" w:space="0" w:color="660B68"/>
            </w:tcBorders>
          </w:tcPr>
          <w:p w14:paraId="35CA6AE8" w14:textId="77777777" w:rsidR="00FA5DF4" w:rsidRDefault="00FA5DF4" w:rsidP="00F22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Perform initial complexity assessment.</w:t>
            </w:r>
          </w:p>
        </w:tc>
      </w:tr>
      <w:tr w:rsidR="00FA5DF4" w:rsidRPr="0010724E" w14:paraId="7A451E28" w14:textId="77777777" w:rsidTr="00F22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right w:val="single" w:sz="6" w:space="0" w:color="660B68"/>
            </w:tcBorders>
          </w:tcPr>
          <w:p w14:paraId="502649BE" w14:textId="77777777" w:rsidR="00FA5DF4" w:rsidRDefault="00FA5DF4" w:rsidP="00F22436">
            <w:r>
              <w:t>5</w:t>
            </w:r>
          </w:p>
        </w:tc>
        <w:tc>
          <w:tcPr>
            <w:tcW w:w="9075" w:type="dxa"/>
            <w:tcBorders>
              <w:left w:val="single" w:sz="6" w:space="0" w:color="660B68"/>
              <w:right w:val="single" w:sz="6" w:space="0" w:color="660B68"/>
            </w:tcBorders>
          </w:tcPr>
          <w:p w14:paraId="67E7D90F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 procurement category assessed as transactional?</w:t>
            </w:r>
          </w:p>
          <w:p w14:paraId="447F08E3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go to step 7.</w:t>
            </w:r>
          </w:p>
          <w:p w14:paraId="5884D0A5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no, go to step 6.</w:t>
            </w:r>
          </w:p>
        </w:tc>
      </w:tr>
      <w:tr w:rsidR="00FA5DF4" w:rsidRPr="0010724E" w14:paraId="23FA8F2C" w14:textId="77777777" w:rsidTr="00F224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right w:val="single" w:sz="6" w:space="0" w:color="660B68"/>
            </w:tcBorders>
          </w:tcPr>
          <w:p w14:paraId="48A2EB07" w14:textId="77777777" w:rsidR="00FA5DF4" w:rsidRDefault="00FA5DF4" w:rsidP="00F22436">
            <w:r>
              <w:t>6</w:t>
            </w:r>
          </w:p>
        </w:tc>
        <w:tc>
          <w:tcPr>
            <w:tcW w:w="9075" w:type="dxa"/>
            <w:tcBorders>
              <w:left w:val="single" w:sz="6" w:space="0" w:color="660B68"/>
              <w:right w:val="single" w:sz="6" w:space="0" w:color="660B68"/>
            </w:tcBorders>
          </w:tcPr>
          <w:p w14:paraId="2D1F472F" w14:textId="77777777" w:rsidR="00FA5DF4" w:rsidRDefault="00FA5DF4" w:rsidP="00F22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Perform detailed complexity assessment.</w:t>
            </w:r>
          </w:p>
        </w:tc>
      </w:tr>
      <w:tr w:rsidR="00FA5DF4" w:rsidRPr="0010724E" w14:paraId="381A9290" w14:textId="77777777" w:rsidTr="00F22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right w:val="single" w:sz="6" w:space="0" w:color="660B68"/>
            </w:tcBorders>
          </w:tcPr>
          <w:p w14:paraId="5E534E32" w14:textId="77777777" w:rsidR="00FA5DF4" w:rsidRDefault="00FA5DF4" w:rsidP="00F22436">
            <w:r>
              <w:t>7</w:t>
            </w:r>
          </w:p>
        </w:tc>
        <w:tc>
          <w:tcPr>
            <w:tcW w:w="9075" w:type="dxa"/>
            <w:tcBorders>
              <w:left w:val="single" w:sz="6" w:space="0" w:color="660B68"/>
              <w:right w:val="single" w:sz="6" w:space="0" w:color="660B68"/>
            </w:tcBorders>
          </w:tcPr>
          <w:p w14:paraId="3CEBAB62" w14:textId="77777777" w:rsidR="00FA5DF4" w:rsidRDefault="00FA5DF4" w:rsidP="00F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appropriate sourcing strategies.</w:t>
            </w:r>
          </w:p>
        </w:tc>
      </w:tr>
      <w:tr w:rsidR="00FA5DF4" w:rsidRPr="0010724E" w14:paraId="206252AD" w14:textId="77777777" w:rsidTr="00F224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6" w:space="0" w:color="660B68"/>
              <w:right w:val="single" w:sz="6" w:space="0" w:color="660B68"/>
            </w:tcBorders>
          </w:tcPr>
          <w:p w14:paraId="6E756E7C" w14:textId="77777777" w:rsidR="00FA5DF4" w:rsidRDefault="00FA5DF4" w:rsidP="00F22436">
            <w:r>
              <w:t>8</w:t>
            </w:r>
          </w:p>
        </w:tc>
        <w:tc>
          <w:tcPr>
            <w:tcW w:w="9075" w:type="dxa"/>
            <w:tcBorders>
              <w:left w:val="single" w:sz="6" w:space="0" w:color="660B68"/>
              <w:right w:val="single" w:sz="6" w:space="0" w:color="660B68"/>
            </w:tcBorders>
          </w:tcPr>
          <w:p w14:paraId="2A1C7286" w14:textId="77777777" w:rsidR="00FA5DF4" w:rsidRDefault="00FA5DF4" w:rsidP="00F224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Procurement process continues.</w:t>
            </w:r>
          </w:p>
        </w:tc>
      </w:tr>
    </w:tbl>
    <w:p w14:paraId="770A8213" w14:textId="77777777" w:rsidR="00FA5DF4" w:rsidRDefault="00FA5DF4" w:rsidP="00FA5DF4"/>
    <w:p w14:paraId="692CFAD3" w14:textId="77777777" w:rsidR="00236EE1" w:rsidRPr="00FA5DF4" w:rsidRDefault="00236EE1" w:rsidP="00FA5DF4">
      <w:pPr>
        <w:pStyle w:val="Heading2"/>
        <w:rPr>
          <w:color w:val="7030A0"/>
        </w:rPr>
      </w:pPr>
      <w:r w:rsidRPr="00FA5DF4">
        <w:rPr>
          <w:color w:val="7030A0"/>
        </w:rPr>
        <w:t xml:space="preserve">Key steps in performing a detailed complexity </w:t>
      </w:r>
      <w:proofErr w:type="gramStart"/>
      <w:r w:rsidRPr="00FA5DF4">
        <w:rPr>
          <w:color w:val="7030A0"/>
        </w:rPr>
        <w:t>assessment</w:t>
      </w:r>
      <w:proofErr w:type="gramEnd"/>
    </w:p>
    <w:p w14:paraId="7D9F6E74" w14:textId="77777777" w:rsidR="00236EE1" w:rsidRDefault="00236EE1" w:rsidP="00FA5DF4">
      <w:r>
        <w:t>Key steps in performing a detailed complexity assessment (Step 6 of the complexity assessment process)</w:t>
      </w:r>
      <w:r w:rsidR="00F2617F">
        <w:t>.</w:t>
      </w:r>
    </w:p>
    <w:p w14:paraId="685D575E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a)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Obtain a listing of procurement categories initially assessed as unlikely to be transactional or where the initial complexity assessment determined the procurement category to be non-transactional. </w:t>
      </w:r>
    </w:p>
    <w:p w14:paraId="5FED9B78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b)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Insert the procurement category to be assessed in the detailed complexity assessment template in the attachment. </w:t>
      </w:r>
    </w:p>
    <w:p w14:paraId="39724122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c)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Gather relevant information for the procurement category that may be required to undertake the complexity assessment. Information may include market and supply factors for the procurement category. For </w:t>
      </w:r>
      <w:proofErr w:type="gramStart"/>
      <w:r w:rsidR="00236EE1" w:rsidRPr="00FA5DF4">
        <w:rPr>
          <w:sz w:val="22"/>
        </w:rPr>
        <w:t>example</w:t>
      </w:r>
      <w:proofErr w:type="gramEnd"/>
      <w:r w:rsidR="00236EE1" w:rsidRPr="00FA5DF4">
        <w:rPr>
          <w:sz w:val="22"/>
        </w:rPr>
        <w:t xml:space="preserve"> the number of suppliers who have the capacity to deliver and are willing to conduct business with the department/public body should be identified prior to addressing the question “Is the good/service being purchased from a competitive market?”. </w:t>
      </w:r>
    </w:p>
    <w:p w14:paraId="6F397676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d)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Assess the procurement category against the detailed complexity assessment questions outlined in the template in the attachment.  </w:t>
      </w:r>
    </w:p>
    <w:p w14:paraId="0A828727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e)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>Record the corresponding score of the response in the “Score of selected response” column.   Where relevant, record an explanation to justify the selection of a particular response in the “Comments” column of the template.</w:t>
      </w:r>
    </w:p>
    <w:p w14:paraId="4C87A76D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f)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>List and reference any documentation which has supported the selection of the response in the “Supporting documentation” column.</w:t>
      </w:r>
    </w:p>
    <w:p w14:paraId="0B2EECA6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lastRenderedPageBreak/>
        <w:t>(</w:t>
      </w:r>
      <w:r w:rsidR="00236EE1" w:rsidRPr="00FA5DF4">
        <w:rPr>
          <w:sz w:val="22"/>
        </w:rPr>
        <w:t>g)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Based on the responses selected, total the scores for the X Axis: Goods/Services/Markets and the Y Axis: Value created through procurement.  Insert the total scores in the relevant row in the tool and in the “Summary of outputs” table within the template. </w:t>
      </w:r>
    </w:p>
    <w:p w14:paraId="22394CEF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h)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Using the total scores for each axis, identify the level of complexity for a procurement category using the decision tree in Figure 1 of the attachment. </w:t>
      </w:r>
    </w:p>
    <w:p w14:paraId="0B49423F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i)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Insert the complexity quadrant result in the Assessed complexity quadrant column in the Summary of outputs table at the end of the detailed complexity assessment template.   </w:t>
      </w:r>
    </w:p>
    <w:p w14:paraId="147F2110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j)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When a detailed complexity assessment has been performed on the applicable procurement categories, the assessor should revisit the requirements of the procurement before signing and dating the template. </w:t>
      </w:r>
    </w:p>
    <w:p w14:paraId="6C2422CD" w14:textId="77777777" w:rsidR="00236EE1" w:rsidRPr="00FA5DF4" w:rsidRDefault="00F74802" w:rsidP="006A2E63">
      <w:pPr>
        <w:pStyle w:val="NoteNormal"/>
        <w:rPr>
          <w:sz w:val="22"/>
        </w:rPr>
      </w:pPr>
      <w:r w:rsidRPr="00FA5DF4">
        <w:rPr>
          <w:sz w:val="22"/>
        </w:rPr>
        <w:t>(</w:t>
      </w:r>
      <w:r w:rsidR="00236EE1" w:rsidRPr="00FA5DF4">
        <w:rPr>
          <w:sz w:val="22"/>
        </w:rPr>
        <w:t>k)</w:t>
      </w:r>
      <w:r w:rsidRPr="00FA5DF4">
        <w:rPr>
          <w:sz w:val="22"/>
        </w:rPr>
        <w:t xml:space="preserve"> </w:t>
      </w:r>
      <w:r w:rsidR="00236EE1" w:rsidRPr="00FA5DF4">
        <w:rPr>
          <w:sz w:val="22"/>
        </w:rPr>
        <w:t xml:space="preserve">The assessor should provide a copy of the template to the approver for review and endorsement. </w:t>
      </w:r>
    </w:p>
    <w:p w14:paraId="4157F0F5" w14:textId="77777777" w:rsidR="00F74802" w:rsidRDefault="00F74802" w:rsidP="00F74802">
      <w:pPr>
        <w:pStyle w:val="NoteNormal"/>
      </w:pPr>
    </w:p>
    <w:p w14:paraId="65C3C2CA" w14:textId="77777777" w:rsidR="00236EE1" w:rsidRDefault="00236EE1" w:rsidP="00236EE1">
      <w:r>
        <w:t>Proceed to Step 7: Identify sourcing strategies within the complexity assessment process.</w:t>
      </w:r>
    </w:p>
    <w:p w14:paraId="2214ACC8" w14:textId="77777777" w:rsidR="00FA5DF4" w:rsidRPr="00FA5DF4" w:rsidRDefault="00FA5DF4" w:rsidP="00FA5DF4">
      <w:r>
        <w:br w:type="page"/>
      </w:r>
    </w:p>
    <w:p w14:paraId="0E352FA1" w14:textId="77777777" w:rsidR="00236EE1" w:rsidRPr="00FA5DF4" w:rsidRDefault="00236EE1" w:rsidP="00FA5DF4">
      <w:pPr>
        <w:pStyle w:val="Heading2"/>
        <w:rPr>
          <w:color w:val="7030A0"/>
        </w:rPr>
      </w:pPr>
      <w:r w:rsidRPr="00FA5DF4">
        <w:rPr>
          <w:color w:val="7030A0"/>
        </w:rPr>
        <w:lastRenderedPageBreak/>
        <w:t>Detailed complexity assessment template</w:t>
      </w:r>
    </w:p>
    <w:tbl>
      <w:tblPr>
        <w:tblStyle w:val="TableGrid"/>
        <w:tblW w:w="14864" w:type="dxa"/>
        <w:tblLook w:val="04A0" w:firstRow="1" w:lastRow="0" w:firstColumn="1" w:lastColumn="0" w:noHBand="0" w:noVBand="1"/>
      </w:tblPr>
      <w:tblGrid>
        <w:gridCol w:w="464"/>
        <w:gridCol w:w="6210"/>
        <w:gridCol w:w="822"/>
        <w:gridCol w:w="1007"/>
        <w:gridCol w:w="2941"/>
        <w:gridCol w:w="3420"/>
      </w:tblGrid>
      <w:tr w:rsidR="00F74802" w14:paraId="78F3E15A" w14:textId="77777777" w:rsidTr="00B70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tcBorders>
              <w:bottom w:val="single" w:sz="6" w:space="0" w:color="85159D"/>
            </w:tcBorders>
          </w:tcPr>
          <w:p w14:paraId="2970E518" w14:textId="77777777" w:rsidR="00F74802" w:rsidRDefault="00F74802" w:rsidP="003940A1">
            <w:pPr>
              <w:pStyle w:val="TableHeader"/>
            </w:pPr>
            <w:r>
              <w:t>Questions and response</w:t>
            </w:r>
          </w:p>
        </w:tc>
        <w:tc>
          <w:tcPr>
            <w:tcW w:w="2941" w:type="dxa"/>
            <w:tcBorders>
              <w:bottom w:val="single" w:sz="6" w:space="0" w:color="85159D"/>
            </w:tcBorders>
          </w:tcPr>
          <w:p w14:paraId="6B1186A2" w14:textId="77777777" w:rsidR="00F74802" w:rsidRDefault="00F74802" w:rsidP="003940A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3420" w:type="dxa"/>
            <w:tcBorders>
              <w:bottom w:val="single" w:sz="6" w:space="0" w:color="85159D"/>
            </w:tcBorders>
          </w:tcPr>
          <w:p w14:paraId="1A66E88B" w14:textId="77777777" w:rsidR="00F74802" w:rsidRDefault="00F74802" w:rsidP="003940A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Supporting documentation</w:t>
            </w:r>
          </w:p>
        </w:tc>
      </w:tr>
      <w:tr w:rsidR="00F74802" w14:paraId="29FE495F" w14:textId="77777777" w:rsidTr="00B70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tcBorders>
              <w:top w:val="single" w:sz="6" w:space="0" w:color="85159D"/>
              <w:left w:val="single" w:sz="6" w:space="0" w:color="85159D"/>
              <w:bottom w:val="single" w:sz="6" w:space="0" w:color="85159D"/>
            </w:tcBorders>
            <w:shd w:val="clear" w:color="auto" w:fill="85159D"/>
          </w:tcPr>
          <w:p w14:paraId="3F193720" w14:textId="77777777" w:rsidR="00F74802" w:rsidRDefault="00F74802" w:rsidP="003940A1">
            <w:pPr>
              <w:pStyle w:val="TableHeader"/>
            </w:pPr>
            <w:r w:rsidRPr="00F73103">
              <w:t xml:space="preserve">X </w:t>
            </w:r>
            <w:r w:rsidR="00C7437E" w:rsidRPr="00F73103">
              <w:t>axis</w:t>
            </w:r>
            <w:r w:rsidRPr="00F73103">
              <w:t xml:space="preserve">: </w:t>
            </w:r>
            <w:r w:rsidR="00C7437E" w:rsidRPr="00F73103">
              <w:t>goods/services/markets</w:t>
            </w:r>
          </w:p>
        </w:tc>
        <w:tc>
          <w:tcPr>
            <w:tcW w:w="2941" w:type="dxa"/>
            <w:tcBorders>
              <w:top w:val="single" w:sz="6" w:space="0" w:color="85159D"/>
              <w:bottom w:val="single" w:sz="6" w:space="0" w:color="85159D"/>
            </w:tcBorders>
            <w:shd w:val="clear" w:color="auto" w:fill="85159D"/>
          </w:tcPr>
          <w:p w14:paraId="4564A329" w14:textId="77777777" w:rsidR="00F74802" w:rsidRDefault="00F74802" w:rsidP="003940A1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tcBorders>
              <w:top w:val="single" w:sz="6" w:space="0" w:color="85159D"/>
              <w:bottom w:val="single" w:sz="6" w:space="0" w:color="85159D"/>
              <w:right w:val="single" w:sz="6" w:space="0" w:color="85159D"/>
            </w:tcBorders>
            <w:shd w:val="clear" w:color="auto" w:fill="85159D"/>
          </w:tcPr>
          <w:p w14:paraId="40D4423F" w14:textId="77777777" w:rsidR="00F74802" w:rsidRDefault="00F74802" w:rsidP="003940A1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0A1" w14:paraId="061381CA" w14:textId="77777777" w:rsidTr="00B70A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1B519D3A" w14:textId="77777777" w:rsidR="003940A1" w:rsidRPr="00C7437E" w:rsidRDefault="003940A1" w:rsidP="003940A1">
            <w:pPr>
              <w:pStyle w:val="TableText"/>
              <w:rPr>
                <w:b/>
              </w:rPr>
            </w:pPr>
            <w:r w:rsidRPr="00C7437E">
              <w:rPr>
                <w:b/>
              </w:rPr>
              <w:t>Ref.</w:t>
            </w:r>
          </w:p>
        </w:tc>
        <w:tc>
          <w:tcPr>
            <w:tcW w:w="6210" w:type="dxa"/>
          </w:tcPr>
          <w:p w14:paraId="25097A23" w14:textId="77777777" w:rsidR="003940A1" w:rsidRPr="00C7437E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7437E">
              <w:rPr>
                <w:b/>
              </w:rPr>
              <w:t xml:space="preserve">Potential </w:t>
            </w:r>
            <w:r w:rsidR="00C7437E" w:rsidRPr="00C7437E">
              <w:rPr>
                <w:b/>
              </w:rPr>
              <w:t>responses</w:t>
            </w:r>
          </w:p>
        </w:tc>
        <w:tc>
          <w:tcPr>
            <w:tcW w:w="822" w:type="dxa"/>
          </w:tcPr>
          <w:p w14:paraId="779F4FCD" w14:textId="77777777" w:rsidR="003940A1" w:rsidRPr="003940A1" w:rsidRDefault="003940A1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940A1">
              <w:rPr>
                <w:b/>
              </w:rPr>
              <w:t>Score</w:t>
            </w:r>
          </w:p>
        </w:tc>
        <w:tc>
          <w:tcPr>
            <w:tcW w:w="1007" w:type="dxa"/>
          </w:tcPr>
          <w:p w14:paraId="35C5696E" w14:textId="77777777" w:rsidR="003940A1" w:rsidRPr="003940A1" w:rsidRDefault="003940A1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940A1">
              <w:rPr>
                <w:b/>
              </w:rPr>
              <w:t>Score of selected response</w:t>
            </w:r>
          </w:p>
        </w:tc>
        <w:tc>
          <w:tcPr>
            <w:tcW w:w="2941" w:type="dxa"/>
          </w:tcPr>
          <w:p w14:paraId="716A6179" w14:textId="77777777" w:rsidR="003940A1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192A47DC" w14:textId="77777777" w:rsidR="003940A1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:rsidRPr="003940A1" w14:paraId="6A1AE20E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tcBorders>
              <w:top w:val="single" w:sz="6" w:space="0" w:color="85159D"/>
            </w:tcBorders>
            <w:shd w:val="clear" w:color="auto" w:fill="D1BFFD"/>
          </w:tcPr>
          <w:p w14:paraId="3566E512" w14:textId="77777777" w:rsidR="00B70AFF" w:rsidRPr="003940A1" w:rsidRDefault="00B70AFF" w:rsidP="005A0EF4">
            <w:pPr>
              <w:pStyle w:val="TableText"/>
              <w:rPr>
                <w:color w:val="auto"/>
              </w:rPr>
            </w:pPr>
            <w:r w:rsidRPr="003940A1">
              <w:rPr>
                <w:color w:val="auto"/>
              </w:rPr>
              <w:t>Do the specifications of the good/service require customisation?</w:t>
            </w:r>
          </w:p>
        </w:tc>
        <w:tc>
          <w:tcPr>
            <w:tcW w:w="2941" w:type="dxa"/>
            <w:tcBorders>
              <w:top w:val="single" w:sz="6" w:space="0" w:color="85159D"/>
            </w:tcBorders>
            <w:shd w:val="clear" w:color="auto" w:fill="D1BFFD"/>
          </w:tcPr>
          <w:p w14:paraId="476EB057" w14:textId="77777777" w:rsidR="00B70AFF" w:rsidRPr="003940A1" w:rsidRDefault="00B70AFF" w:rsidP="005A0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tcBorders>
              <w:top w:val="single" w:sz="6" w:space="0" w:color="85159D"/>
            </w:tcBorders>
            <w:shd w:val="clear" w:color="auto" w:fill="D1BFFD"/>
          </w:tcPr>
          <w:p w14:paraId="7C6FDA69" w14:textId="77777777" w:rsidR="00B70AFF" w:rsidRPr="003940A1" w:rsidRDefault="00B70AFF" w:rsidP="005A0E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33897AAD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245F334A" w14:textId="77777777" w:rsidR="00B70AFF" w:rsidRPr="00A010B9" w:rsidRDefault="00B70AFF" w:rsidP="003940A1">
            <w:pPr>
              <w:pStyle w:val="TableText"/>
            </w:pPr>
            <w:r>
              <w:t>(</w:t>
            </w:r>
            <w:r w:rsidRPr="00A010B9">
              <w:t>a)</w:t>
            </w:r>
          </w:p>
        </w:tc>
        <w:tc>
          <w:tcPr>
            <w:tcW w:w="6210" w:type="dxa"/>
          </w:tcPr>
          <w:p w14:paraId="733F6F8D" w14:textId="77777777" w:rsidR="00B70AFF" w:rsidRPr="00A010B9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No, good/service requirements are standard (e.g. off the shelf product, standard service)</w:t>
            </w:r>
          </w:p>
        </w:tc>
        <w:tc>
          <w:tcPr>
            <w:tcW w:w="822" w:type="dxa"/>
          </w:tcPr>
          <w:p w14:paraId="63A773F9" w14:textId="77777777" w:rsidR="00B70AFF" w:rsidRPr="00A010B9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0</w:t>
            </w:r>
          </w:p>
        </w:tc>
        <w:tc>
          <w:tcPr>
            <w:tcW w:w="1007" w:type="dxa"/>
            <w:shd w:val="clear" w:color="auto" w:fill="D1BFFD"/>
          </w:tcPr>
          <w:p w14:paraId="2A190C1F" w14:textId="77777777" w:rsidR="00B70AFF" w:rsidRPr="00A010B9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1DF2D3FC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07BB3268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38D7DF35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3C340FD8" w14:textId="77777777" w:rsidR="00B70AFF" w:rsidRPr="00A010B9" w:rsidRDefault="00B70AFF" w:rsidP="003940A1">
            <w:pPr>
              <w:pStyle w:val="TableText"/>
            </w:pPr>
            <w:r>
              <w:t>(</w:t>
            </w:r>
            <w:r w:rsidRPr="00A010B9">
              <w:t>b)</w:t>
            </w:r>
          </w:p>
        </w:tc>
        <w:tc>
          <w:tcPr>
            <w:tcW w:w="6210" w:type="dxa"/>
          </w:tcPr>
          <w:p w14:paraId="3450B8DF" w14:textId="77777777" w:rsidR="00B70AFF" w:rsidRPr="00A010B9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 xml:space="preserve">Yes, however good/service only requires a low level of customisation e.g. some configuration or some specialisation  </w:t>
            </w:r>
          </w:p>
        </w:tc>
        <w:tc>
          <w:tcPr>
            <w:tcW w:w="822" w:type="dxa"/>
          </w:tcPr>
          <w:p w14:paraId="17D10FF7" w14:textId="77777777" w:rsidR="00B70AFF" w:rsidRPr="00A010B9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5</w:t>
            </w:r>
          </w:p>
        </w:tc>
        <w:tc>
          <w:tcPr>
            <w:tcW w:w="1007" w:type="dxa"/>
            <w:shd w:val="clear" w:color="auto" w:fill="D1BFFD"/>
          </w:tcPr>
          <w:p w14:paraId="4A5E3F1C" w14:textId="77777777" w:rsidR="00B70AFF" w:rsidRPr="00A010B9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1CA800D9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743538FB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65D88A50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4C9ACEFE" w14:textId="77777777" w:rsidR="00B70AFF" w:rsidRPr="00A010B9" w:rsidRDefault="00B70AFF" w:rsidP="003940A1">
            <w:pPr>
              <w:pStyle w:val="TableText"/>
            </w:pPr>
            <w:r>
              <w:t>(</w:t>
            </w:r>
            <w:r w:rsidRPr="00A010B9">
              <w:t>c)</w:t>
            </w:r>
          </w:p>
        </w:tc>
        <w:tc>
          <w:tcPr>
            <w:tcW w:w="6210" w:type="dxa"/>
          </w:tcPr>
          <w:p w14:paraId="6A03BED6" w14:textId="77777777" w:rsidR="00B70AFF" w:rsidRPr="00A010B9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Yes, the good/service requires a medium level of customisation/specialisation</w:t>
            </w:r>
          </w:p>
        </w:tc>
        <w:tc>
          <w:tcPr>
            <w:tcW w:w="822" w:type="dxa"/>
          </w:tcPr>
          <w:p w14:paraId="2CBD0C68" w14:textId="77777777" w:rsidR="00B70AFF" w:rsidRPr="00A010B9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10</w:t>
            </w:r>
          </w:p>
        </w:tc>
        <w:tc>
          <w:tcPr>
            <w:tcW w:w="1007" w:type="dxa"/>
            <w:shd w:val="clear" w:color="auto" w:fill="D1BFFD"/>
          </w:tcPr>
          <w:p w14:paraId="6B91C480" w14:textId="77777777" w:rsidR="00B70AFF" w:rsidRPr="00A010B9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522C50B8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0921842E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6D01545B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3F3F0258" w14:textId="77777777" w:rsidR="00B70AFF" w:rsidRPr="00A010B9" w:rsidRDefault="00B70AFF" w:rsidP="003940A1">
            <w:pPr>
              <w:pStyle w:val="TableText"/>
            </w:pPr>
            <w:r>
              <w:t>(</w:t>
            </w:r>
            <w:r w:rsidRPr="00A010B9">
              <w:t>d)</w:t>
            </w:r>
          </w:p>
        </w:tc>
        <w:tc>
          <w:tcPr>
            <w:tcW w:w="6210" w:type="dxa"/>
          </w:tcPr>
          <w:p w14:paraId="6F49B74B" w14:textId="77777777" w:rsidR="00B70AFF" w:rsidRPr="00A010B9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Yes, good/service requires a high level of customisation and/or specifications are not fully known</w:t>
            </w:r>
          </w:p>
        </w:tc>
        <w:tc>
          <w:tcPr>
            <w:tcW w:w="822" w:type="dxa"/>
          </w:tcPr>
          <w:p w14:paraId="7A09A377" w14:textId="77777777" w:rsidR="00B70AFF" w:rsidRPr="00A010B9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15</w:t>
            </w:r>
          </w:p>
        </w:tc>
        <w:tc>
          <w:tcPr>
            <w:tcW w:w="1007" w:type="dxa"/>
            <w:shd w:val="clear" w:color="auto" w:fill="D1BFFD"/>
          </w:tcPr>
          <w:p w14:paraId="5ED109BC" w14:textId="77777777" w:rsidR="00B70AFF" w:rsidRPr="00A010B9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146F54BB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0E123ED6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A42" w:rsidRPr="00261A42" w14:paraId="0F4CE270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shd w:val="clear" w:color="auto" w:fill="D1BFFD"/>
          </w:tcPr>
          <w:p w14:paraId="670E253C" w14:textId="77777777" w:rsidR="003940A1" w:rsidRPr="00261A42" w:rsidRDefault="003940A1" w:rsidP="003940A1">
            <w:pPr>
              <w:pStyle w:val="TableText"/>
              <w:rPr>
                <w:color w:val="auto"/>
              </w:rPr>
            </w:pPr>
            <w:r w:rsidRPr="00261A42">
              <w:rPr>
                <w:color w:val="auto"/>
              </w:rPr>
              <w:t>Is the good/service critical to the organisation and/or core operations of the organisation?</w:t>
            </w:r>
          </w:p>
        </w:tc>
        <w:tc>
          <w:tcPr>
            <w:tcW w:w="2941" w:type="dxa"/>
            <w:shd w:val="clear" w:color="auto" w:fill="D1BFFD"/>
          </w:tcPr>
          <w:p w14:paraId="24B76A81" w14:textId="77777777" w:rsidR="003940A1" w:rsidRPr="00261A42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D1BFFD"/>
          </w:tcPr>
          <w:p w14:paraId="2B7DAC6F" w14:textId="77777777" w:rsidR="003940A1" w:rsidRPr="00261A42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23139B27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13979A70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3940A1">
              <w:rPr>
                <w:color w:val="auto"/>
              </w:rPr>
              <w:t>a)</w:t>
            </w:r>
          </w:p>
        </w:tc>
        <w:tc>
          <w:tcPr>
            <w:tcW w:w="6210" w:type="dxa"/>
          </w:tcPr>
          <w:p w14:paraId="3A0C738F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No, the good/service is not critical to the organisation or core operations</w:t>
            </w:r>
          </w:p>
        </w:tc>
        <w:tc>
          <w:tcPr>
            <w:tcW w:w="822" w:type="dxa"/>
          </w:tcPr>
          <w:p w14:paraId="0ABA099F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0</w:t>
            </w:r>
          </w:p>
        </w:tc>
        <w:tc>
          <w:tcPr>
            <w:tcW w:w="1007" w:type="dxa"/>
            <w:shd w:val="clear" w:color="auto" w:fill="D1BFFD"/>
          </w:tcPr>
          <w:p w14:paraId="1E0FD5FB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6090C105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2C49B78E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774729A7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4233F578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3940A1">
              <w:rPr>
                <w:color w:val="auto"/>
              </w:rPr>
              <w:t>b)</w:t>
            </w:r>
          </w:p>
        </w:tc>
        <w:tc>
          <w:tcPr>
            <w:tcW w:w="6210" w:type="dxa"/>
          </w:tcPr>
          <w:p w14:paraId="5E5CCF50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Yes, however the good/service is only of medium criticality to the organisation and/or core operations</w:t>
            </w:r>
          </w:p>
        </w:tc>
        <w:tc>
          <w:tcPr>
            <w:tcW w:w="822" w:type="dxa"/>
          </w:tcPr>
          <w:p w14:paraId="298A1E49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3</w:t>
            </w:r>
          </w:p>
        </w:tc>
        <w:tc>
          <w:tcPr>
            <w:tcW w:w="1007" w:type="dxa"/>
            <w:shd w:val="clear" w:color="auto" w:fill="D1BFFD"/>
          </w:tcPr>
          <w:p w14:paraId="32B8916A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6DAF6081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7C161C43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4096CEE4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0015DA7E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3940A1">
              <w:rPr>
                <w:color w:val="auto"/>
              </w:rPr>
              <w:t>c)</w:t>
            </w:r>
          </w:p>
        </w:tc>
        <w:tc>
          <w:tcPr>
            <w:tcW w:w="6210" w:type="dxa"/>
          </w:tcPr>
          <w:p w14:paraId="616BB9C3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Yes, the good/service is critical to the organisation and/or core operations</w:t>
            </w:r>
          </w:p>
        </w:tc>
        <w:tc>
          <w:tcPr>
            <w:tcW w:w="822" w:type="dxa"/>
          </w:tcPr>
          <w:p w14:paraId="7CC24B33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6</w:t>
            </w:r>
          </w:p>
        </w:tc>
        <w:tc>
          <w:tcPr>
            <w:tcW w:w="1007" w:type="dxa"/>
            <w:shd w:val="clear" w:color="auto" w:fill="D1BFFD"/>
          </w:tcPr>
          <w:p w14:paraId="44CBD771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5B14E3E3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4B777380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0F0DD260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48BCF0D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3940A1">
              <w:rPr>
                <w:color w:val="auto"/>
              </w:rPr>
              <w:t>d)</w:t>
            </w:r>
          </w:p>
        </w:tc>
        <w:tc>
          <w:tcPr>
            <w:tcW w:w="6210" w:type="dxa"/>
          </w:tcPr>
          <w:p w14:paraId="329317D7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Yes, the good/service is very critical to the organisation and/or core operations</w:t>
            </w:r>
          </w:p>
        </w:tc>
        <w:tc>
          <w:tcPr>
            <w:tcW w:w="822" w:type="dxa"/>
          </w:tcPr>
          <w:p w14:paraId="50065F28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9</w:t>
            </w:r>
          </w:p>
        </w:tc>
        <w:tc>
          <w:tcPr>
            <w:tcW w:w="1007" w:type="dxa"/>
            <w:shd w:val="clear" w:color="auto" w:fill="D1BFFD"/>
          </w:tcPr>
          <w:p w14:paraId="1F7D6962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2940A500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3006C705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1A42" w:rsidRPr="00261A42" w14:paraId="11DC3F5E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shd w:val="clear" w:color="auto" w:fill="D1BFFD"/>
          </w:tcPr>
          <w:p w14:paraId="204C7243" w14:textId="77777777" w:rsidR="003940A1" w:rsidRPr="00261A42" w:rsidRDefault="003940A1" w:rsidP="00B70AFF">
            <w:pPr>
              <w:pStyle w:val="TableText"/>
              <w:rPr>
                <w:color w:val="auto"/>
                <w:vertAlign w:val="superscript"/>
              </w:rPr>
            </w:pPr>
            <w:r w:rsidRPr="00261A42">
              <w:rPr>
                <w:color w:val="auto"/>
              </w:rPr>
              <w:t xml:space="preserve">Is the good/service being purchased from a competitive market? </w:t>
            </w:r>
            <w:r w:rsidRPr="00261A42">
              <w:rPr>
                <w:color w:val="auto"/>
                <w:vertAlign w:val="superscript"/>
              </w:rPr>
              <w:t>(1)</w:t>
            </w:r>
          </w:p>
          <w:p w14:paraId="2FC82F76" w14:textId="77777777" w:rsidR="003940A1" w:rsidRPr="00261A42" w:rsidRDefault="003940A1" w:rsidP="003940A1">
            <w:pPr>
              <w:pStyle w:val="TableText"/>
              <w:rPr>
                <w:color w:val="auto"/>
                <w:sz w:val="16"/>
              </w:rPr>
            </w:pPr>
            <w:r w:rsidRPr="00261A42">
              <w:rPr>
                <w:color w:val="auto"/>
                <w:sz w:val="16"/>
              </w:rPr>
              <w:t>(1) Competitive market includes consideration of substitute goods/services and the suppliers within the market</w:t>
            </w:r>
          </w:p>
        </w:tc>
        <w:tc>
          <w:tcPr>
            <w:tcW w:w="2941" w:type="dxa"/>
            <w:shd w:val="clear" w:color="auto" w:fill="D1BFFD"/>
          </w:tcPr>
          <w:p w14:paraId="2DD18168" w14:textId="77777777" w:rsidR="003940A1" w:rsidRPr="00261A42" w:rsidRDefault="003940A1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D1BFFD"/>
          </w:tcPr>
          <w:p w14:paraId="595E4DD1" w14:textId="77777777" w:rsidR="003940A1" w:rsidRPr="00261A42" w:rsidRDefault="003940A1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1D147930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4977B6F7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(a)</w:t>
            </w:r>
          </w:p>
        </w:tc>
        <w:tc>
          <w:tcPr>
            <w:tcW w:w="6210" w:type="dxa"/>
          </w:tcPr>
          <w:p w14:paraId="10B2F5F4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Yes, more than 5 suitable substitute goods/services or suppliers exist</w:t>
            </w:r>
          </w:p>
        </w:tc>
        <w:tc>
          <w:tcPr>
            <w:tcW w:w="822" w:type="dxa"/>
          </w:tcPr>
          <w:p w14:paraId="3C924B69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0</w:t>
            </w:r>
          </w:p>
        </w:tc>
        <w:tc>
          <w:tcPr>
            <w:tcW w:w="1007" w:type="dxa"/>
            <w:shd w:val="clear" w:color="auto" w:fill="D1BFFD"/>
          </w:tcPr>
          <w:p w14:paraId="5363D6B5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3830B63F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3FCC5638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6144433A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3579EDEC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(b)</w:t>
            </w:r>
          </w:p>
        </w:tc>
        <w:tc>
          <w:tcPr>
            <w:tcW w:w="6210" w:type="dxa"/>
          </w:tcPr>
          <w:p w14:paraId="21A93527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Yes, between 3 and 5 suitable substitute goods/services or suppliers exist</w:t>
            </w:r>
          </w:p>
        </w:tc>
        <w:tc>
          <w:tcPr>
            <w:tcW w:w="822" w:type="dxa"/>
          </w:tcPr>
          <w:p w14:paraId="7368D868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3</w:t>
            </w:r>
          </w:p>
        </w:tc>
        <w:tc>
          <w:tcPr>
            <w:tcW w:w="1007" w:type="dxa"/>
            <w:shd w:val="clear" w:color="auto" w:fill="D1BFFD"/>
          </w:tcPr>
          <w:p w14:paraId="1842F350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5B7CFC55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64E93287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087E417D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12D3EE47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lastRenderedPageBreak/>
              <w:t>(c)</w:t>
            </w:r>
          </w:p>
        </w:tc>
        <w:tc>
          <w:tcPr>
            <w:tcW w:w="6210" w:type="dxa"/>
          </w:tcPr>
          <w:p w14:paraId="6768C3FA" w14:textId="77777777" w:rsidR="00B70AFF" w:rsidRPr="003940A1" w:rsidRDefault="00E15C02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Yes, however limited (&lt;3</w:t>
            </w:r>
            <w:r w:rsidR="00B70AFF" w:rsidRPr="003940A1">
              <w:t>) suitable substitute goods/services or suppliers exist</w:t>
            </w:r>
          </w:p>
        </w:tc>
        <w:tc>
          <w:tcPr>
            <w:tcW w:w="822" w:type="dxa"/>
          </w:tcPr>
          <w:p w14:paraId="393331C7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6</w:t>
            </w:r>
          </w:p>
        </w:tc>
        <w:tc>
          <w:tcPr>
            <w:tcW w:w="1007" w:type="dxa"/>
            <w:shd w:val="clear" w:color="auto" w:fill="D1BFFD"/>
          </w:tcPr>
          <w:p w14:paraId="7C095E9B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0E7F4CCF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44B25546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27C574F5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6EA310D4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(d)</w:t>
            </w:r>
          </w:p>
        </w:tc>
        <w:tc>
          <w:tcPr>
            <w:tcW w:w="6210" w:type="dxa"/>
          </w:tcPr>
          <w:p w14:paraId="00C98C9B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No, only one suitable substitute good/service or supplier has been identified and qualified</w:t>
            </w:r>
          </w:p>
        </w:tc>
        <w:tc>
          <w:tcPr>
            <w:tcW w:w="822" w:type="dxa"/>
          </w:tcPr>
          <w:p w14:paraId="4F23C5E3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9</w:t>
            </w:r>
          </w:p>
        </w:tc>
        <w:tc>
          <w:tcPr>
            <w:tcW w:w="1007" w:type="dxa"/>
            <w:shd w:val="clear" w:color="auto" w:fill="D1BFFD"/>
          </w:tcPr>
          <w:p w14:paraId="2A6B7C6B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7890E9D6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6A67B631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A42" w:rsidRPr="00261A42" w14:paraId="06D8455A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shd w:val="clear" w:color="auto" w:fill="D1BFFD"/>
          </w:tcPr>
          <w:p w14:paraId="5D2497D8" w14:textId="77777777" w:rsidR="003940A1" w:rsidRPr="00261A42" w:rsidRDefault="003940A1" w:rsidP="003940A1">
            <w:pPr>
              <w:pStyle w:val="TableText"/>
              <w:rPr>
                <w:color w:val="auto"/>
              </w:rPr>
            </w:pPr>
            <w:r w:rsidRPr="00261A42">
              <w:rPr>
                <w:color w:val="auto"/>
              </w:rPr>
              <w:t>Would there be a significant interruption to the organisation’s core operations in the event of supplier default?</w:t>
            </w:r>
          </w:p>
        </w:tc>
        <w:tc>
          <w:tcPr>
            <w:tcW w:w="2941" w:type="dxa"/>
            <w:shd w:val="clear" w:color="auto" w:fill="D1BFFD"/>
          </w:tcPr>
          <w:p w14:paraId="5FE22630" w14:textId="77777777" w:rsidR="003940A1" w:rsidRPr="00261A42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D1BFFD"/>
          </w:tcPr>
          <w:p w14:paraId="01DFEEC9" w14:textId="77777777" w:rsidR="003940A1" w:rsidRPr="00261A42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36BE58CA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31E9473E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(a)</w:t>
            </w:r>
          </w:p>
        </w:tc>
        <w:tc>
          <w:tcPr>
            <w:tcW w:w="6210" w:type="dxa"/>
          </w:tcPr>
          <w:p w14:paraId="5D5EF32C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 xml:space="preserve">No, the transition time for an alternate supplier would be minimal or a </w:t>
            </w:r>
            <w:proofErr w:type="spellStart"/>
            <w:r w:rsidRPr="003940A1">
              <w:t>back up</w:t>
            </w:r>
            <w:proofErr w:type="spellEnd"/>
            <w:r w:rsidRPr="003940A1">
              <w:t xml:space="preserve"> supplier will be in place </w:t>
            </w:r>
          </w:p>
        </w:tc>
        <w:tc>
          <w:tcPr>
            <w:tcW w:w="822" w:type="dxa"/>
          </w:tcPr>
          <w:p w14:paraId="1EA3D1E4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0</w:t>
            </w:r>
          </w:p>
        </w:tc>
        <w:tc>
          <w:tcPr>
            <w:tcW w:w="1007" w:type="dxa"/>
            <w:shd w:val="clear" w:color="auto" w:fill="D1BFFD"/>
          </w:tcPr>
          <w:p w14:paraId="0DB7CD08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5F415E08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69C14699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70EDB70B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3F6104DD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(b)</w:t>
            </w:r>
          </w:p>
        </w:tc>
        <w:tc>
          <w:tcPr>
            <w:tcW w:w="6210" w:type="dxa"/>
          </w:tcPr>
          <w:p w14:paraId="08047711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 xml:space="preserve">No, however there would be an acceptable transition time to engage an alternate supplier </w:t>
            </w:r>
          </w:p>
        </w:tc>
        <w:tc>
          <w:tcPr>
            <w:tcW w:w="822" w:type="dxa"/>
          </w:tcPr>
          <w:p w14:paraId="2E58866B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5</w:t>
            </w:r>
          </w:p>
        </w:tc>
        <w:tc>
          <w:tcPr>
            <w:tcW w:w="1007" w:type="dxa"/>
            <w:shd w:val="clear" w:color="auto" w:fill="D1BFFD"/>
          </w:tcPr>
          <w:p w14:paraId="1529760A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72A215D4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4F2C48B2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4CC44E39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6A940DCA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(c)</w:t>
            </w:r>
          </w:p>
        </w:tc>
        <w:tc>
          <w:tcPr>
            <w:tcW w:w="6210" w:type="dxa"/>
          </w:tcPr>
          <w:p w14:paraId="4CE1F4B2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 xml:space="preserve">Yes, there would be an intermediate level of interruption to the organisation’s core operations, with a transition time to a new supplier </w:t>
            </w:r>
          </w:p>
        </w:tc>
        <w:tc>
          <w:tcPr>
            <w:tcW w:w="822" w:type="dxa"/>
          </w:tcPr>
          <w:p w14:paraId="1375233D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10</w:t>
            </w:r>
          </w:p>
        </w:tc>
        <w:tc>
          <w:tcPr>
            <w:tcW w:w="1007" w:type="dxa"/>
            <w:shd w:val="clear" w:color="auto" w:fill="D1BFFD"/>
          </w:tcPr>
          <w:p w14:paraId="0FD59515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0FC509C5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15147474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311867A8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21F9B082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(d)</w:t>
            </w:r>
          </w:p>
        </w:tc>
        <w:tc>
          <w:tcPr>
            <w:tcW w:w="6210" w:type="dxa"/>
          </w:tcPr>
          <w:p w14:paraId="02F52FDD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Yes, there would be a significant interruption to the organisation’s core operations with a high transition time to an alternate supplier</w:t>
            </w:r>
          </w:p>
        </w:tc>
        <w:tc>
          <w:tcPr>
            <w:tcW w:w="822" w:type="dxa"/>
          </w:tcPr>
          <w:p w14:paraId="1339F373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15</w:t>
            </w:r>
          </w:p>
        </w:tc>
        <w:tc>
          <w:tcPr>
            <w:tcW w:w="1007" w:type="dxa"/>
            <w:shd w:val="clear" w:color="auto" w:fill="D1BFFD"/>
          </w:tcPr>
          <w:p w14:paraId="313D452B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16934A8E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2B9FEB73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1A42" w:rsidRPr="00261A42" w14:paraId="44458ADB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shd w:val="clear" w:color="auto" w:fill="D1BFFD"/>
          </w:tcPr>
          <w:p w14:paraId="104D5972" w14:textId="77777777" w:rsidR="003940A1" w:rsidRPr="00261A42" w:rsidRDefault="003940A1" w:rsidP="003940A1">
            <w:pPr>
              <w:pStyle w:val="TableText"/>
              <w:rPr>
                <w:color w:val="auto"/>
              </w:rPr>
            </w:pPr>
            <w:r w:rsidRPr="00261A42">
              <w:rPr>
                <w:color w:val="auto"/>
              </w:rPr>
              <w:t>Will the Government’s purchase/s impact the market?</w:t>
            </w:r>
          </w:p>
        </w:tc>
        <w:tc>
          <w:tcPr>
            <w:tcW w:w="2941" w:type="dxa"/>
            <w:shd w:val="clear" w:color="auto" w:fill="D1BFFD"/>
          </w:tcPr>
          <w:p w14:paraId="026D33D9" w14:textId="77777777" w:rsidR="003940A1" w:rsidRPr="00261A42" w:rsidRDefault="003940A1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D1BFFD"/>
          </w:tcPr>
          <w:p w14:paraId="326ABF9C" w14:textId="77777777" w:rsidR="003940A1" w:rsidRPr="00261A42" w:rsidRDefault="003940A1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4364C3B8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3AECD378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(a)</w:t>
            </w:r>
          </w:p>
        </w:tc>
        <w:tc>
          <w:tcPr>
            <w:tcW w:w="6210" w:type="dxa"/>
          </w:tcPr>
          <w:p w14:paraId="2A796941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 xml:space="preserve">No, the purchase/s will not be material to the market </w:t>
            </w:r>
          </w:p>
        </w:tc>
        <w:tc>
          <w:tcPr>
            <w:tcW w:w="822" w:type="dxa"/>
          </w:tcPr>
          <w:p w14:paraId="0EC7A11B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0</w:t>
            </w:r>
          </w:p>
        </w:tc>
        <w:tc>
          <w:tcPr>
            <w:tcW w:w="1007" w:type="dxa"/>
            <w:shd w:val="clear" w:color="auto" w:fill="D1BFFD"/>
          </w:tcPr>
          <w:p w14:paraId="1B7C4F05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0AF02DDD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3B1C2FDB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2EDB0F19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0BB5378C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(b)</w:t>
            </w:r>
          </w:p>
        </w:tc>
        <w:tc>
          <w:tcPr>
            <w:tcW w:w="6210" w:type="dxa"/>
          </w:tcPr>
          <w:p w14:paraId="4220B732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 xml:space="preserve">No, the procurement will be material to the market but will not impact the competitive landscape </w:t>
            </w:r>
          </w:p>
        </w:tc>
        <w:tc>
          <w:tcPr>
            <w:tcW w:w="822" w:type="dxa"/>
          </w:tcPr>
          <w:p w14:paraId="7C20E1FC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2</w:t>
            </w:r>
          </w:p>
        </w:tc>
        <w:tc>
          <w:tcPr>
            <w:tcW w:w="1007" w:type="dxa"/>
            <w:shd w:val="clear" w:color="auto" w:fill="D1BFFD"/>
          </w:tcPr>
          <w:p w14:paraId="148A852C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2123AFF2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71218AE9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1BD709FD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24DEEEB3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(c)</w:t>
            </w:r>
          </w:p>
        </w:tc>
        <w:tc>
          <w:tcPr>
            <w:tcW w:w="6210" w:type="dxa"/>
          </w:tcPr>
          <w:p w14:paraId="177820D9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 xml:space="preserve">Yes, the procurement has potential to significantly impact the market and may result in a reduction in competition between existing vendors </w:t>
            </w:r>
          </w:p>
        </w:tc>
        <w:tc>
          <w:tcPr>
            <w:tcW w:w="822" w:type="dxa"/>
          </w:tcPr>
          <w:p w14:paraId="7690D3CF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4</w:t>
            </w:r>
          </w:p>
        </w:tc>
        <w:tc>
          <w:tcPr>
            <w:tcW w:w="1007" w:type="dxa"/>
            <w:shd w:val="clear" w:color="auto" w:fill="D1BFFD"/>
          </w:tcPr>
          <w:p w14:paraId="2D1AA822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72B0E49C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073F20B9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4FC9E79B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23A6EBE7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(d)</w:t>
            </w:r>
          </w:p>
        </w:tc>
        <w:tc>
          <w:tcPr>
            <w:tcW w:w="6210" w:type="dxa"/>
          </w:tcPr>
          <w:p w14:paraId="55B4D136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 xml:space="preserve">Yes, the procurement is likely to result in the creation of a monopoly or potential market power by government  </w:t>
            </w:r>
          </w:p>
        </w:tc>
        <w:tc>
          <w:tcPr>
            <w:tcW w:w="822" w:type="dxa"/>
          </w:tcPr>
          <w:p w14:paraId="14CAEBB9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6</w:t>
            </w:r>
          </w:p>
        </w:tc>
        <w:tc>
          <w:tcPr>
            <w:tcW w:w="1007" w:type="dxa"/>
            <w:shd w:val="clear" w:color="auto" w:fill="D1BFFD"/>
          </w:tcPr>
          <w:p w14:paraId="47C1C949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7053CE62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5A216FC6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A42" w:rsidRPr="00261A42" w14:paraId="0DDC1D98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shd w:val="clear" w:color="auto" w:fill="D1BFFD"/>
          </w:tcPr>
          <w:p w14:paraId="0FC6F5A3" w14:textId="77777777" w:rsidR="003940A1" w:rsidRPr="00261A42" w:rsidRDefault="003940A1" w:rsidP="003940A1">
            <w:pPr>
              <w:pStyle w:val="TableText"/>
              <w:rPr>
                <w:color w:val="auto"/>
              </w:rPr>
            </w:pPr>
            <w:r w:rsidRPr="00261A42">
              <w:rPr>
                <w:color w:val="auto"/>
              </w:rPr>
              <w:t xml:space="preserve">Are there </w:t>
            </w:r>
            <w:r w:rsidR="003A647C">
              <w:rPr>
                <w:color w:val="auto"/>
              </w:rPr>
              <w:t>Australia and New Zealand small to medium</w:t>
            </w:r>
            <w:r w:rsidR="00092D35">
              <w:rPr>
                <w:color w:val="auto"/>
              </w:rPr>
              <w:t xml:space="preserve"> size</w:t>
            </w:r>
            <w:r w:rsidR="003A647C">
              <w:rPr>
                <w:color w:val="auto"/>
              </w:rPr>
              <w:t xml:space="preserve"> enterprise (SME) </w:t>
            </w:r>
            <w:r w:rsidRPr="00261A42">
              <w:rPr>
                <w:color w:val="auto"/>
              </w:rPr>
              <w:t xml:space="preserve">considerations with this purchase? E.g. recognise the impact of suppliers on participation by </w:t>
            </w:r>
            <w:r w:rsidR="003A647C">
              <w:rPr>
                <w:color w:val="auto"/>
              </w:rPr>
              <w:t>SMEs</w:t>
            </w:r>
            <w:r w:rsidRPr="00261A42">
              <w:rPr>
                <w:color w:val="auto"/>
              </w:rPr>
              <w:t>.</w:t>
            </w:r>
          </w:p>
        </w:tc>
        <w:tc>
          <w:tcPr>
            <w:tcW w:w="2941" w:type="dxa"/>
            <w:shd w:val="clear" w:color="auto" w:fill="D1BFFD"/>
          </w:tcPr>
          <w:p w14:paraId="5ECA16E6" w14:textId="77777777" w:rsidR="003940A1" w:rsidRPr="00261A42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D1BFFD"/>
          </w:tcPr>
          <w:p w14:paraId="09DD6799" w14:textId="77777777" w:rsidR="003940A1" w:rsidRPr="00261A42" w:rsidRDefault="003940A1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6F89DBB7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50680EDC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t>(a)</w:t>
            </w:r>
          </w:p>
        </w:tc>
        <w:tc>
          <w:tcPr>
            <w:tcW w:w="6210" w:type="dxa"/>
          </w:tcPr>
          <w:p w14:paraId="430EE211" w14:textId="77777777" w:rsidR="00B70AFF" w:rsidRPr="003940A1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 xml:space="preserve">No, international suppliers are an established part of the </w:t>
            </w:r>
            <w:proofErr w:type="gramStart"/>
            <w:r w:rsidRPr="003940A1">
              <w:t>market</w:t>
            </w:r>
            <w:proofErr w:type="gramEnd"/>
            <w:r w:rsidRPr="003940A1">
              <w:t xml:space="preserve"> or the market is not currently attractive to international suppliers</w:t>
            </w:r>
          </w:p>
        </w:tc>
        <w:tc>
          <w:tcPr>
            <w:tcW w:w="822" w:type="dxa"/>
          </w:tcPr>
          <w:p w14:paraId="2D037F58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40A1">
              <w:t>0</w:t>
            </w:r>
          </w:p>
        </w:tc>
        <w:tc>
          <w:tcPr>
            <w:tcW w:w="1007" w:type="dxa"/>
            <w:shd w:val="clear" w:color="auto" w:fill="D1BFFD"/>
          </w:tcPr>
          <w:p w14:paraId="7A390C49" w14:textId="77777777" w:rsidR="00B70AFF" w:rsidRPr="003940A1" w:rsidRDefault="00B70AFF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79994AFF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08DF09DB" w14:textId="77777777" w:rsidR="00B70AFF" w:rsidRDefault="00B70AFF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3E5676CF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16BEEE6C" w14:textId="77777777" w:rsidR="00B70AFF" w:rsidRPr="003940A1" w:rsidRDefault="00B70AFF" w:rsidP="003940A1">
            <w:pPr>
              <w:pStyle w:val="TableText"/>
              <w:rPr>
                <w:color w:val="auto"/>
              </w:rPr>
            </w:pPr>
            <w:r>
              <w:lastRenderedPageBreak/>
              <w:t>(b)</w:t>
            </w:r>
          </w:p>
        </w:tc>
        <w:tc>
          <w:tcPr>
            <w:tcW w:w="6210" w:type="dxa"/>
          </w:tcPr>
          <w:p w14:paraId="35CD714A" w14:textId="77777777" w:rsidR="00B70AFF" w:rsidRPr="003940A1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Yes, changes to the level of international market participation will impact local suppliers</w:t>
            </w:r>
          </w:p>
        </w:tc>
        <w:tc>
          <w:tcPr>
            <w:tcW w:w="822" w:type="dxa"/>
          </w:tcPr>
          <w:p w14:paraId="257FE55F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0A1">
              <w:t>6</w:t>
            </w:r>
          </w:p>
        </w:tc>
        <w:tc>
          <w:tcPr>
            <w:tcW w:w="1007" w:type="dxa"/>
            <w:shd w:val="clear" w:color="auto" w:fill="D1BFFD"/>
          </w:tcPr>
          <w:p w14:paraId="368F3DE9" w14:textId="77777777" w:rsidR="00B70AFF" w:rsidRPr="003940A1" w:rsidRDefault="00B70AFF" w:rsidP="003940A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3046E9AA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2B7EE651" w14:textId="77777777" w:rsidR="00B70AFF" w:rsidRDefault="00B70AFF" w:rsidP="003940A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940A1" w14:paraId="58EB7980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6" w:type="dxa"/>
            <w:gridSpan w:val="3"/>
            <w:shd w:val="clear" w:color="auto" w:fill="D1BFFD"/>
          </w:tcPr>
          <w:p w14:paraId="1618C4AF" w14:textId="77777777" w:rsidR="003940A1" w:rsidRPr="003940A1" w:rsidRDefault="003940A1" w:rsidP="003940A1">
            <w:pPr>
              <w:pStyle w:val="TableText"/>
              <w:rPr>
                <w:b/>
              </w:rPr>
            </w:pPr>
            <w:r w:rsidRPr="003940A1">
              <w:rPr>
                <w:b/>
                <w:color w:val="auto"/>
                <w:szCs w:val="20"/>
              </w:rPr>
              <w:t>Total X axis score (out of 60)</w:t>
            </w:r>
          </w:p>
        </w:tc>
        <w:tc>
          <w:tcPr>
            <w:tcW w:w="1007" w:type="dxa"/>
            <w:shd w:val="clear" w:color="auto" w:fill="D1BFFD"/>
          </w:tcPr>
          <w:p w14:paraId="4F3E2D1D" w14:textId="77777777" w:rsidR="003940A1" w:rsidRPr="003940A1" w:rsidRDefault="003940A1" w:rsidP="003940A1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shd w:val="clear" w:color="auto" w:fill="D1BFFD"/>
          </w:tcPr>
          <w:p w14:paraId="1F558C93" w14:textId="77777777" w:rsidR="003940A1" w:rsidRDefault="003940A1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D1BFFD"/>
          </w:tcPr>
          <w:p w14:paraId="2FFEB17B" w14:textId="77777777" w:rsidR="003940A1" w:rsidRDefault="003940A1" w:rsidP="003940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437E" w14:paraId="5697A717" w14:textId="77777777" w:rsidTr="00B70A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tcBorders>
              <w:top w:val="single" w:sz="6" w:space="0" w:color="85159D"/>
              <w:left w:val="single" w:sz="6" w:space="0" w:color="85159D"/>
              <w:bottom w:val="single" w:sz="6" w:space="0" w:color="85159D"/>
            </w:tcBorders>
            <w:shd w:val="clear" w:color="auto" w:fill="85159D"/>
          </w:tcPr>
          <w:p w14:paraId="5CA0F7B8" w14:textId="77777777" w:rsidR="00C7437E" w:rsidRDefault="00B70AFF" w:rsidP="00B70AFF">
            <w:pPr>
              <w:pStyle w:val="TableHeader"/>
            </w:pPr>
            <w:r w:rsidRPr="00F73103">
              <w:t>Y axis: value created through procurement</w:t>
            </w:r>
          </w:p>
        </w:tc>
        <w:tc>
          <w:tcPr>
            <w:tcW w:w="2941" w:type="dxa"/>
            <w:tcBorders>
              <w:top w:val="single" w:sz="6" w:space="0" w:color="85159D"/>
              <w:bottom w:val="single" w:sz="6" w:space="0" w:color="85159D"/>
            </w:tcBorders>
            <w:shd w:val="clear" w:color="auto" w:fill="85159D"/>
          </w:tcPr>
          <w:p w14:paraId="264C2DFB" w14:textId="77777777" w:rsidR="00C7437E" w:rsidRDefault="00C7437E" w:rsidP="00B70AFF">
            <w:pPr>
              <w:pStyle w:val="TableHead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tcBorders>
              <w:top w:val="single" w:sz="6" w:space="0" w:color="85159D"/>
              <w:bottom w:val="single" w:sz="6" w:space="0" w:color="85159D"/>
              <w:right w:val="single" w:sz="6" w:space="0" w:color="85159D"/>
            </w:tcBorders>
            <w:shd w:val="clear" w:color="auto" w:fill="85159D"/>
          </w:tcPr>
          <w:p w14:paraId="538CAB62" w14:textId="77777777" w:rsidR="00C7437E" w:rsidRDefault="00C7437E" w:rsidP="00B70AFF">
            <w:pPr>
              <w:pStyle w:val="TableHead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:rsidRPr="00B70AFF" w14:paraId="4BC1B522" w14:textId="77777777" w:rsidTr="00B70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12F20B0E" w14:textId="77777777" w:rsidR="00B70AFF" w:rsidRPr="00B70AFF" w:rsidRDefault="00B70AFF" w:rsidP="00B70AFF">
            <w:pPr>
              <w:pStyle w:val="TableText"/>
              <w:rPr>
                <w:b/>
              </w:rPr>
            </w:pPr>
            <w:r w:rsidRPr="00B70AFF">
              <w:rPr>
                <w:b/>
              </w:rPr>
              <w:t>Ref.</w:t>
            </w:r>
          </w:p>
        </w:tc>
        <w:tc>
          <w:tcPr>
            <w:tcW w:w="6210" w:type="dxa"/>
          </w:tcPr>
          <w:p w14:paraId="6A9EC890" w14:textId="77777777" w:rsidR="00B70AFF" w:rsidRP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0AFF">
              <w:rPr>
                <w:b/>
              </w:rPr>
              <w:t>Potential responses</w:t>
            </w:r>
          </w:p>
        </w:tc>
        <w:tc>
          <w:tcPr>
            <w:tcW w:w="822" w:type="dxa"/>
          </w:tcPr>
          <w:p w14:paraId="68812A28" w14:textId="77777777" w:rsidR="00B70AFF" w:rsidRP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0AFF">
              <w:rPr>
                <w:b/>
              </w:rPr>
              <w:t>Score</w:t>
            </w:r>
          </w:p>
        </w:tc>
        <w:tc>
          <w:tcPr>
            <w:tcW w:w="1007" w:type="dxa"/>
          </w:tcPr>
          <w:p w14:paraId="3E3B254F" w14:textId="77777777" w:rsidR="00B70AFF" w:rsidRP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0AFF">
              <w:rPr>
                <w:b/>
              </w:rPr>
              <w:t>Score of selected response</w:t>
            </w:r>
          </w:p>
        </w:tc>
        <w:tc>
          <w:tcPr>
            <w:tcW w:w="2941" w:type="dxa"/>
          </w:tcPr>
          <w:p w14:paraId="7E132D4C" w14:textId="77777777" w:rsidR="00B70AFF" w:rsidRP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20" w:type="dxa"/>
          </w:tcPr>
          <w:p w14:paraId="40BDC880" w14:textId="77777777" w:rsidR="00B70AFF" w:rsidRP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61A42" w:rsidRPr="00261A42" w14:paraId="6DFE1E57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tcBorders>
              <w:top w:val="single" w:sz="6" w:space="0" w:color="85159D"/>
            </w:tcBorders>
            <w:shd w:val="clear" w:color="auto" w:fill="D1BFFD"/>
          </w:tcPr>
          <w:p w14:paraId="614EC300" w14:textId="77777777" w:rsidR="00C7437E" w:rsidRPr="00261A42" w:rsidRDefault="00B70AFF" w:rsidP="00B70AFF">
            <w:pPr>
              <w:pStyle w:val="TableText"/>
              <w:rPr>
                <w:color w:val="auto"/>
              </w:rPr>
            </w:pPr>
            <w:r w:rsidRPr="00261A42">
              <w:rPr>
                <w:color w:val="auto"/>
              </w:rPr>
              <w:t>Is the good/service’s total cost of ownership (TCO) high?</w:t>
            </w:r>
          </w:p>
        </w:tc>
        <w:tc>
          <w:tcPr>
            <w:tcW w:w="2941" w:type="dxa"/>
            <w:tcBorders>
              <w:top w:val="single" w:sz="6" w:space="0" w:color="85159D"/>
            </w:tcBorders>
            <w:shd w:val="clear" w:color="auto" w:fill="D1BFFD"/>
          </w:tcPr>
          <w:p w14:paraId="259BB530" w14:textId="77777777" w:rsidR="00C7437E" w:rsidRPr="00261A42" w:rsidRDefault="00C7437E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tcBorders>
              <w:top w:val="single" w:sz="6" w:space="0" w:color="85159D"/>
            </w:tcBorders>
            <w:shd w:val="clear" w:color="auto" w:fill="D1BFFD"/>
          </w:tcPr>
          <w:p w14:paraId="6182B246" w14:textId="77777777" w:rsidR="00C7437E" w:rsidRPr="00261A42" w:rsidRDefault="00C7437E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46392F0B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48DED38F" w14:textId="77777777" w:rsidR="00B70AFF" w:rsidRPr="00A010B9" w:rsidRDefault="00B70AFF" w:rsidP="00B70AFF">
            <w:pPr>
              <w:pStyle w:val="TableText"/>
            </w:pPr>
            <w:r>
              <w:t>(</w:t>
            </w:r>
            <w:r w:rsidRPr="00A010B9">
              <w:t>a)</w:t>
            </w:r>
          </w:p>
        </w:tc>
        <w:tc>
          <w:tcPr>
            <w:tcW w:w="6210" w:type="dxa"/>
          </w:tcPr>
          <w:p w14:paraId="2766FAC7" w14:textId="77777777" w:rsidR="00B70AFF" w:rsidRPr="00A010B9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No, the good/service’s total</w:t>
            </w:r>
            <w:r>
              <w:t xml:space="preserve"> cost of ownership is of a low value,</w:t>
            </w:r>
            <w:r w:rsidRPr="00A010B9">
              <w:t xml:space="preserve"> e.g. not within top 50 contracts/categories of the </w:t>
            </w:r>
            <w:r>
              <w:t>organisation</w:t>
            </w:r>
            <w:r w:rsidRPr="00A010B9">
              <w:t xml:space="preserve"> </w:t>
            </w:r>
          </w:p>
        </w:tc>
        <w:tc>
          <w:tcPr>
            <w:tcW w:w="822" w:type="dxa"/>
          </w:tcPr>
          <w:p w14:paraId="34AF785D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0</w:t>
            </w:r>
          </w:p>
        </w:tc>
        <w:tc>
          <w:tcPr>
            <w:tcW w:w="1007" w:type="dxa"/>
            <w:shd w:val="clear" w:color="auto" w:fill="D1BFFD"/>
          </w:tcPr>
          <w:p w14:paraId="4AA959FB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5DEDD5FD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083722A8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3AC2BB45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1ACE92B0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(b)</w:t>
            </w:r>
          </w:p>
        </w:tc>
        <w:tc>
          <w:tcPr>
            <w:tcW w:w="6210" w:type="dxa"/>
          </w:tcPr>
          <w:p w14:paraId="01DE2DAD" w14:textId="77777777" w:rsidR="00B70AFF" w:rsidRPr="00A010B9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No, the good/service’s total cost of ownership is of a medium cost</w:t>
            </w:r>
            <w:r>
              <w:t>,</w:t>
            </w:r>
            <w:r w:rsidRPr="00A010B9">
              <w:t xml:space="preserve"> e.g. within top 50 contracts/categories of the </w:t>
            </w:r>
            <w:r>
              <w:t>organisation</w:t>
            </w:r>
            <w:r w:rsidRPr="00A010B9">
              <w:t xml:space="preserve"> (from a TCO perspective) </w:t>
            </w:r>
          </w:p>
        </w:tc>
        <w:tc>
          <w:tcPr>
            <w:tcW w:w="822" w:type="dxa"/>
          </w:tcPr>
          <w:p w14:paraId="438B011E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8</w:t>
            </w:r>
          </w:p>
        </w:tc>
        <w:tc>
          <w:tcPr>
            <w:tcW w:w="1007" w:type="dxa"/>
            <w:shd w:val="clear" w:color="auto" w:fill="D1BFFD"/>
          </w:tcPr>
          <w:p w14:paraId="46B6A960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688CB1AC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7888FF9A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01F8748D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5B971783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(c)</w:t>
            </w:r>
          </w:p>
        </w:tc>
        <w:tc>
          <w:tcPr>
            <w:tcW w:w="6210" w:type="dxa"/>
          </w:tcPr>
          <w:p w14:paraId="4E6DE770" w14:textId="77777777" w:rsidR="00B70AFF" w:rsidRPr="00A010B9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No, however the good/service’s total cost of ownership is of a medium to high cost</w:t>
            </w:r>
            <w:r>
              <w:t>,</w:t>
            </w:r>
            <w:r w:rsidRPr="00A010B9">
              <w:t xml:space="preserve"> e.g. within top 20 contracts/categories of the </w:t>
            </w:r>
            <w:r>
              <w:t>organisation</w:t>
            </w:r>
            <w:r w:rsidRPr="00A010B9">
              <w:t xml:space="preserve"> (from a TCO perspective) </w:t>
            </w:r>
          </w:p>
        </w:tc>
        <w:tc>
          <w:tcPr>
            <w:tcW w:w="822" w:type="dxa"/>
          </w:tcPr>
          <w:p w14:paraId="69548E46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16</w:t>
            </w:r>
          </w:p>
        </w:tc>
        <w:tc>
          <w:tcPr>
            <w:tcW w:w="1007" w:type="dxa"/>
            <w:shd w:val="clear" w:color="auto" w:fill="D1BFFD"/>
          </w:tcPr>
          <w:p w14:paraId="6BE3046B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7F2D79C6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0EA59958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3BBD36D2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339C05D0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(d)</w:t>
            </w:r>
          </w:p>
        </w:tc>
        <w:tc>
          <w:tcPr>
            <w:tcW w:w="6210" w:type="dxa"/>
          </w:tcPr>
          <w:p w14:paraId="0397C613" w14:textId="77777777" w:rsidR="00B70AFF" w:rsidRPr="00A010B9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Yes, the good/service’s total cost of ownership is of a high cost</w:t>
            </w:r>
            <w:r>
              <w:t>,</w:t>
            </w:r>
            <w:r w:rsidRPr="00A010B9">
              <w:t xml:space="preserve"> e.g. within top 10 contracts/categories of the </w:t>
            </w:r>
            <w:r>
              <w:t>organisation</w:t>
            </w:r>
            <w:r w:rsidRPr="00A010B9">
              <w:t xml:space="preserve"> (from a TCO perspective) </w:t>
            </w:r>
          </w:p>
        </w:tc>
        <w:tc>
          <w:tcPr>
            <w:tcW w:w="822" w:type="dxa"/>
          </w:tcPr>
          <w:p w14:paraId="70967248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24</w:t>
            </w:r>
          </w:p>
        </w:tc>
        <w:tc>
          <w:tcPr>
            <w:tcW w:w="1007" w:type="dxa"/>
            <w:shd w:val="clear" w:color="auto" w:fill="D1BFFD"/>
          </w:tcPr>
          <w:p w14:paraId="56AB3AE0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01FE93FF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1E805157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1A42" w:rsidRPr="00261A42" w14:paraId="22254FE6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tcBorders>
              <w:top w:val="single" w:sz="6" w:space="0" w:color="85159D"/>
            </w:tcBorders>
            <w:shd w:val="clear" w:color="auto" w:fill="D1BFFD"/>
          </w:tcPr>
          <w:p w14:paraId="64ECFA51" w14:textId="77777777" w:rsidR="00B70AFF" w:rsidRPr="00261A42" w:rsidRDefault="00B70AFF" w:rsidP="00B70AFF">
            <w:pPr>
              <w:pStyle w:val="TableText"/>
              <w:keepNext/>
              <w:rPr>
                <w:color w:val="auto"/>
              </w:rPr>
            </w:pPr>
            <w:r w:rsidRPr="00261A42">
              <w:rPr>
                <w:color w:val="auto"/>
              </w:rPr>
              <w:t>Would the aggregation of demand be beneficial across organisations or within an organisation?</w:t>
            </w:r>
          </w:p>
        </w:tc>
        <w:tc>
          <w:tcPr>
            <w:tcW w:w="2941" w:type="dxa"/>
            <w:tcBorders>
              <w:top w:val="single" w:sz="6" w:space="0" w:color="85159D"/>
            </w:tcBorders>
            <w:shd w:val="clear" w:color="auto" w:fill="D1BFFD"/>
          </w:tcPr>
          <w:p w14:paraId="724BE212" w14:textId="77777777" w:rsidR="00B70AFF" w:rsidRPr="00261A42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tcBorders>
              <w:top w:val="single" w:sz="6" w:space="0" w:color="85159D"/>
            </w:tcBorders>
            <w:shd w:val="clear" w:color="auto" w:fill="D1BFFD"/>
          </w:tcPr>
          <w:p w14:paraId="642CB4EA" w14:textId="77777777" w:rsidR="00B70AFF" w:rsidRPr="00261A42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2B769534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0C76EAB2" w14:textId="77777777" w:rsidR="00B70AFF" w:rsidRPr="00A010B9" w:rsidRDefault="00B70AFF" w:rsidP="00B70AFF">
            <w:pPr>
              <w:pStyle w:val="TableText"/>
            </w:pPr>
            <w:r>
              <w:t>(</w:t>
            </w:r>
            <w:r w:rsidRPr="00A010B9">
              <w:t>a)</w:t>
            </w:r>
          </w:p>
        </w:tc>
        <w:tc>
          <w:tcPr>
            <w:tcW w:w="6210" w:type="dxa"/>
          </w:tcPr>
          <w:p w14:paraId="491674B9" w14:textId="77777777" w:rsidR="00B70AFF" w:rsidRPr="00A010B9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 xml:space="preserve">No, demand aggregation should not occur due to </w:t>
            </w:r>
            <w:proofErr w:type="gramStart"/>
            <w:r w:rsidRPr="00A010B9">
              <w:t>one/all of</w:t>
            </w:r>
            <w:proofErr w:type="gramEnd"/>
            <w:r w:rsidRPr="00A010B9">
              <w:t xml:space="preserve"> the following factors:</w:t>
            </w:r>
          </w:p>
          <w:p w14:paraId="7D88B0AC" w14:textId="77777777" w:rsidR="00B70AFF" w:rsidRPr="00A010B9" w:rsidRDefault="00B70AFF" w:rsidP="00B70AFF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 xml:space="preserve">specifications are too </w:t>
            </w:r>
            <w:r w:rsidR="00E15C02" w:rsidRPr="00A010B9">
              <w:t>complex,</w:t>
            </w:r>
            <w:r w:rsidRPr="00A010B9">
              <w:t xml:space="preserve"> or purchases are too infrequent to offset the cost of the demand aggregation </w:t>
            </w:r>
            <w:proofErr w:type="gramStart"/>
            <w:r w:rsidRPr="00A010B9">
              <w:t>process</w:t>
            </w:r>
            <w:proofErr w:type="gramEnd"/>
          </w:p>
          <w:p w14:paraId="7FEEC405" w14:textId="77777777" w:rsidR="00B70AFF" w:rsidRPr="00A010B9" w:rsidRDefault="00B70AFF" w:rsidP="00B70AFF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diseconomies of scale i.e. not one size fits all</w:t>
            </w:r>
          </w:p>
          <w:p w14:paraId="05E2F8AB" w14:textId="77777777" w:rsidR="00B70AFF" w:rsidRPr="00A010B9" w:rsidRDefault="00B70AFF" w:rsidP="00B70AFF">
            <w:pPr>
              <w:pStyle w:val="Table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potential for monopoly / monopsony situation</w:t>
            </w:r>
          </w:p>
        </w:tc>
        <w:tc>
          <w:tcPr>
            <w:tcW w:w="822" w:type="dxa"/>
          </w:tcPr>
          <w:p w14:paraId="6F6A6D8B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0</w:t>
            </w:r>
          </w:p>
        </w:tc>
        <w:tc>
          <w:tcPr>
            <w:tcW w:w="1007" w:type="dxa"/>
            <w:shd w:val="clear" w:color="auto" w:fill="D1BFFD"/>
          </w:tcPr>
          <w:p w14:paraId="60F95AE4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5920BE29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582C02DC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14A2C516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F46B937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(b)</w:t>
            </w:r>
          </w:p>
        </w:tc>
        <w:tc>
          <w:tcPr>
            <w:tcW w:w="6210" w:type="dxa"/>
          </w:tcPr>
          <w:p w14:paraId="573C5E34" w14:textId="77777777" w:rsidR="00B70AFF" w:rsidRPr="00A010B9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Yes, some advantages of demand aggregation could be realised including lower cost of goods/service and lower procurement costs (economies of scale in vendor pricing)</w:t>
            </w:r>
          </w:p>
        </w:tc>
        <w:tc>
          <w:tcPr>
            <w:tcW w:w="822" w:type="dxa"/>
          </w:tcPr>
          <w:p w14:paraId="41F6C808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9</w:t>
            </w:r>
          </w:p>
        </w:tc>
        <w:tc>
          <w:tcPr>
            <w:tcW w:w="1007" w:type="dxa"/>
            <w:shd w:val="clear" w:color="auto" w:fill="D1BFFD"/>
          </w:tcPr>
          <w:p w14:paraId="3364BE43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3AE3E4A3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53C701F4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5563E1F5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436F8F7E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lastRenderedPageBreak/>
              <w:t>(c)</w:t>
            </w:r>
          </w:p>
        </w:tc>
        <w:tc>
          <w:tcPr>
            <w:tcW w:w="6210" w:type="dxa"/>
          </w:tcPr>
          <w:p w14:paraId="29E0BEF3" w14:textId="77777777" w:rsidR="00B70AFF" w:rsidRPr="00A010B9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rPr>
                <w:rFonts w:cs="Arial Narrow"/>
              </w:rPr>
              <w:t xml:space="preserve">Yes, there may be an opportunity to gain advantage from aggregation by attracting increased competition through bundling categories or aggregating spend across two or more </w:t>
            </w:r>
            <w:r>
              <w:rPr>
                <w:rFonts w:cs="Arial Narrow"/>
              </w:rPr>
              <w:t>organisations</w:t>
            </w:r>
            <w:r w:rsidRPr="00A010B9">
              <w:rPr>
                <w:rFonts w:cs="Arial Narrow"/>
              </w:rPr>
              <w:t xml:space="preserve"> or as part of a </w:t>
            </w:r>
            <w:r>
              <w:rPr>
                <w:rFonts w:cs="Arial Narrow"/>
              </w:rPr>
              <w:t>s</w:t>
            </w:r>
            <w:r w:rsidRPr="00A010B9">
              <w:rPr>
                <w:rFonts w:cs="Arial Narrow"/>
              </w:rPr>
              <w:t xml:space="preserve">tate </w:t>
            </w:r>
            <w:r>
              <w:rPr>
                <w:rFonts w:cs="Arial Narrow"/>
              </w:rPr>
              <w:t>p</w:t>
            </w:r>
            <w:r w:rsidRPr="00A010B9">
              <w:rPr>
                <w:rFonts w:cs="Arial Narrow"/>
              </w:rPr>
              <w:t xml:space="preserve">urchasing </w:t>
            </w:r>
            <w:r>
              <w:rPr>
                <w:rFonts w:cs="Arial Narrow"/>
              </w:rPr>
              <w:t>c</w:t>
            </w:r>
            <w:r w:rsidRPr="00A010B9">
              <w:rPr>
                <w:rFonts w:cs="Arial Narrow"/>
              </w:rPr>
              <w:t>ontract</w:t>
            </w:r>
          </w:p>
        </w:tc>
        <w:tc>
          <w:tcPr>
            <w:tcW w:w="822" w:type="dxa"/>
          </w:tcPr>
          <w:p w14:paraId="2E0A3284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18</w:t>
            </w:r>
          </w:p>
        </w:tc>
        <w:tc>
          <w:tcPr>
            <w:tcW w:w="1007" w:type="dxa"/>
            <w:shd w:val="clear" w:color="auto" w:fill="D1BFFD"/>
          </w:tcPr>
          <w:p w14:paraId="5840BB4F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465E98DF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361B6E51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61A42" w:rsidRPr="00261A42" w14:paraId="7D31AECA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3" w:type="dxa"/>
            <w:gridSpan w:val="4"/>
            <w:tcBorders>
              <w:top w:val="single" w:sz="6" w:space="0" w:color="85159D"/>
            </w:tcBorders>
            <w:shd w:val="clear" w:color="auto" w:fill="D1BFFD"/>
          </w:tcPr>
          <w:p w14:paraId="73E0473F" w14:textId="77777777" w:rsidR="00B70AFF" w:rsidRPr="00261A42" w:rsidRDefault="00B70AFF" w:rsidP="00B70AFF">
            <w:pPr>
              <w:pStyle w:val="TableText"/>
              <w:keepNext/>
              <w:rPr>
                <w:color w:val="auto"/>
              </w:rPr>
            </w:pPr>
            <w:r w:rsidRPr="00261A42">
              <w:rPr>
                <w:color w:val="auto"/>
              </w:rPr>
              <w:t>Does the good/service align with other objectives of the organisation and/or broader Victorian Government objectives, for example environmental, social and/or economic considerations (</w:t>
            </w:r>
            <w:proofErr w:type="spellStart"/>
            <w:r w:rsidRPr="00261A42">
              <w:rPr>
                <w:color w:val="auto"/>
              </w:rPr>
              <w:t>e.g</w:t>
            </w:r>
            <w:proofErr w:type="spellEnd"/>
            <w:r w:rsidRPr="00261A42">
              <w:rPr>
                <w:color w:val="auto"/>
              </w:rPr>
              <w:t> VIPP</w:t>
            </w:r>
            <w:r w:rsidR="003A647C">
              <w:rPr>
                <w:color w:val="auto"/>
              </w:rPr>
              <w:t>, Social Procurement opportunities</w:t>
            </w:r>
            <w:r w:rsidRPr="00261A42">
              <w:rPr>
                <w:color w:val="auto"/>
              </w:rPr>
              <w:t>)?</w:t>
            </w:r>
          </w:p>
        </w:tc>
        <w:tc>
          <w:tcPr>
            <w:tcW w:w="2941" w:type="dxa"/>
            <w:tcBorders>
              <w:top w:val="single" w:sz="6" w:space="0" w:color="85159D"/>
            </w:tcBorders>
            <w:shd w:val="clear" w:color="auto" w:fill="D1BFFD"/>
          </w:tcPr>
          <w:p w14:paraId="7E1A3485" w14:textId="77777777" w:rsidR="00B70AFF" w:rsidRPr="00261A42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tcBorders>
              <w:top w:val="single" w:sz="6" w:space="0" w:color="85159D"/>
            </w:tcBorders>
            <w:shd w:val="clear" w:color="auto" w:fill="D1BFFD"/>
          </w:tcPr>
          <w:p w14:paraId="4E5DBD3D" w14:textId="77777777" w:rsidR="00B70AFF" w:rsidRPr="00261A42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07577D98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60B6F38" w14:textId="77777777" w:rsidR="00B70AFF" w:rsidRPr="00A010B9" w:rsidRDefault="00B70AFF" w:rsidP="00B70AFF">
            <w:pPr>
              <w:pStyle w:val="TableText"/>
            </w:pPr>
            <w:r>
              <w:t>(</w:t>
            </w:r>
            <w:r w:rsidRPr="00A010B9">
              <w:t>a)</w:t>
            </w:r>
          </w:p>
        </w:tc>
        <w:tc>
          <w:tcPr>
            <w:tcW w:w="6210" w:type="dxa"/>
          </w:tcPr>
          <w:p w14:paraId="2FB6B0A7" w14:textId="77777777" w:rsidR="00B70AFF" w:rsidRPr="00A010B9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No, the good/service procurement would not align with the objectives of the relevant policies</w:t>
            </w:r>
          </w:p>
        </w:tc>
        <w:tc>
          <w:tcPr>
            <w:tcW w:w="822" w:type="dxa"/>
          </w:tcPr>
          <w:p w14:paraId="0EA3D382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0</w:t>
            </w:r>
          </w:p>
        </w:tc>
        <w:tc>
          <w:tcPr>
            <w:tcW w:w="1007" w:type="dxa"/>
            <w:shd w:val="clear" w:color="auto" w:fill="D1BFFD"/>
          </w:tcPr>
          <w:p w14:paraId="3DF5D7BA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 w:val="restart"/>
          </w:tcPr>
          <w:p w14:paraId="1B61C893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 w:val="restart"/>
          </w:tcPr>
          <w:p w14:paraId="11586641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519C30E8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4279E99D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(b)</w:t>
            </w:r>
          </w:p>
        </w:tc>
        <w:tc>
          <w:tcPr>
            <w:tcW w:w="6210" w:type="dxa"/>
          </w:tcPr>
          <w:p w14:paraId="5A040B1E" w14:textId="77777777" w:rsidR="00B70AFF" w:rsidRPr="00A010B9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 xml:space="preserve">Yes, however the good/service procurement would only align to some of the objectives of the relevant policies </w:t>
            </w:r>
          </w:p>
        </w:tc>
        <w:tc>
          <w:tcPr>
            <w:tcW w:w="822" w:type="dxa"/>
          </w:tcPr>
          <w:p w14:paraId="682B6AFE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6</w:t>
            </w:r>
          </w:p>
        </w:tc>
        <w:tc>
          <w:tcPr>
            <w:tcW w:w="1007" w:type="dxa"/>
            <w:shd w:val="clear" w:color="auto" w:fill="D1BFFD"/>
          </w:tcPr>
          <w:p w14:paraId="64B47E18" w14:textId="77777777" w:rsidR="00B70AFF" w:rsidRPr="003940A1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7B56472A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37F51E67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6B4F1F7F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700D05CD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(c)</w:t>
            </w:r>
          </w:p>
        </w:tc>
        <w:tc>
          <w:tcPr>
            <w:tcW w:w="6210" w:type="dxa"/>
          </w:tcPr>
          <w:p w14:paraId="3EA47B4A" w14:textId="77777777" w:rsidR="00B70AFF" w:rsidRPr="00A010B9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 xml:space="preserve">Yes, the good/service would align with all objectives of the relevant policies </w:t>
            </w:r>
          </w:p>
        </w:tc>
        <w:tc>
          <w:tcPr>
            <w:tcW w:w="822" w:type="dxa"/>
          </w:tcPr>
          <w:p w14:paraId="471A9C6D" w14:textId="77777777" w:rsidR="00B70AFF" w:rsidRPr="00A010B9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10B9">
              <w:t>12</w:t>
            </w:r>
          </w:p>
        </w:tc>
        <w:tc>
          <w:tcPr>
            <w:tcW w:w="1007" w:type="dxa"/>
            <w:shd w:val="clear" w:color="auto" w:fill="D1BFFD"/>
          </w:tcPr>
          <w:p w14:paraId="62EFD391" w14:textId="77777777" w:rsidR="00B70AFF" w:rsidRPr="003940A1" w:rsidRDefault="00B70AFF" w:rsidP="00B70AF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259456F1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46D8194B" w14:textId="77777777" w:rsidR="00B70AFF" w:rsidRDefault="00B70AFF" w:rsidP="00B70AF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0AFF" w14:paraId="6A6BAA3C" w14:textId="77777777" w:rsidTr="00954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14:paraId="55782F64" w14:textId="77777777" w:rsidR="00B70AFF" w:rsidRPr="003940A1" w:rsidRDefault="00B70AFF" w:rsidP="00B70AFF">
            <w:pPr>
              <w:pStyle w:val="TableText"/>
              <w:rPr>
                <w:color w:val="auto"/>
              </w:rPr>
            </w:pPr>
            <w:r>
              <w:t>(d)</w:t>
            </w:r>
          </w:p>
        </w:tc>
        <w:tc>
          <w:tcPr>
            <w:tcW w:w="6210" w:type="dxa"/>
          </w:tcPr>
          <w:p w14:paraId="7EBEEAAA" w14:textId="77777777" w:rsidR="00B70AFF" w:rsidRPr="00A010B9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Yes, the good/service would align with and enhance the objectives of the relevant policies</w:t>
            </w:r>
          </w:p>
        </w:tc>
        <w:tc>
          <w:tcPr>
            <w:tcW w:w="822" w:type="dxa"/>
          </w:tcPr>
          <w:p w14:paraId="7D3D65B4" w14:textId="77777777" w:rsidR="00B70AFF" w:rsidRPr="00A010B9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0B9">
              <w:t>18</w:t>
            </w:r>
          </w:p>
        </w:tc>
        <w:tc>
          <w:tcPr>
            <w:tcW w:w="1007" w:type="dxa"/>
            <w:shd w:val="clear" w:color="auto" w:fill="D1BFFD"/>
          </w:tcPr>
          <w:p w14:paraId="3773A499" w14:textId="77777777" w:rsidR="00B70AFF" w:rsidRPr="003940A1" w:rsidRDefault="00B70AFF" w:rsidP="00B70AF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1" w:type="dxa"/>
            <w:vMerge/>
          </w:tcPr>
          <w:p w14:paraId="6A7E654F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  <w:vMerge/>
          </w:tcPr>
          <w:p w14:paraId="0E017ED7" w14:textId="77777777" w:rsidR="00B70AFF" w:rsidRDefault="00B70AFF" w:rsidP="00B70AF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AFF" w14:paraId="4A992B1D" w14:textId="77777777" w:rsidTr="00954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6" w:type="dxa"/>
            <w:gridSpan w:val="3"/>
            <w:shd w:val="clear" w:color="auto" w:fill="D1BFFD"/>
          </w:tcPr>
          <w:p w14:paraId="3F6EBF7A" w14:textId="77777777" w:rsidR="00B70AFF" w:rsidRPr="003940A1" w:rsidRDefault="00B70AFF" w:rsidP="00B70AFF">
            <w:pPr>
              <w:pStyle w:val="TableText"/>
              <w:rPr>
                <w:b/>
              </w:rPr>
            </w:pPr>
            <w:r w:rsidRPr="003940A1">
              <w:rPr>
                <w:b/>
                <w:color w:val="auto"/>
                <w:szCs w:val="20"/>
              </w:rPr>
              <w:t xml:space="preserve">Total </w:t>
            </w:r>
            <w:r>
              <w:rPr>
                <w:b/>
                <w:color w:val="auto"/>
                <w:szCs w:val="20"/>
              </w:rPr>
              <w:t>Y</w:t>
            </w:r>
            <w:r w:rsidRPr="003940A1">
              <w:rPr>
                <w:b/>
                <w:color w:val="auto"/>
                <w:szCs w:val="20"/>
              </w:rPr>
              <w:t xml:space="preserve"> axis score (out of 60)</w:t>
            </w:r>
          </w:p>
        </w:tc>
        <w:tc>
          <w:tcPr>
            <w:tcW w:w="1007" w:type="dxa"/>
            <w:shd w:val="clear" w:color="auto" w:fill="D1BFFD"/>
          </w:tcPr>
          <w:p w14:paraId="16B47294" w14:textId="77777777" w:rsidR="00B70AFF" w:rsidRPr="003940A1" w:rsidRDefault="00B70AFF" w:rsidP="00F7754A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41" w:type="dxa"/>
            <w:shd w:val="clear" w:color="auto" w:fill="D1BFFD"/>
          </w:tcPr>
          <w:p w14:paraId="239C67A4" w14:textId="77777777" w:rsidR="00B70AFF" w:rsidRDefault="00B70AFF" w:rsidP="00F7754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20" w:type="dxa"/>
            <w:shd w:val="clear" w:color="auto" w:fill="D1BFFD"/>
          </w:tcPr>
          <w:p w14:paraId="4240CA2E" w14:textId="77777777" w:rsidR="00B70AFF" w:rsidRDefault="00B70AFF" w:rsidP="00F7754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117E0A8" w14:textId="77777777" w:rsidR="00C7437E" w:rsidRDefault="00C7437E" w:rsidP="00236EE1"/>
    <w:p w14:paraId="3C12872A" w14:textId="77777777" w:rsidR="00181C1F" w:rsidRDefault="00181C1F" w:rsidP="00181C1F">
      <w:pPr>
        <w:pStyle w:val="Heading2"/>
      </w:pPr>
      <w:r w:rsidRPr="00181C1F">
        <w:t>Summary of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3614"/>
        <w:gridCol w:w="6288"/>
      </w:tblGrid>
      <w:tr w:rsidR="00261A42" w14:paraId="75813C32" w14:textId="77777777" w:rsidTr="0026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2DD83318" w14:textId="77777777" w:rsidR="00261A42" w:rsidRDefault="00261A42" w:rsidP="00261A42">
            <w:pPr>
              <w:pStyle w:val="TableHeader"/>
              <w:rPr>
                <w:lang w:eastAsia="en-US"/>
              </w:rPr>
            </w:pPr>
            <w:r w:rsidRPr="000D1726">
              <w:t>Axis</w:t>
            </w:r>
          </w:p>
        </w:tc>
        <w:tc>
          <w:tcPr>
            <w:tcW w:w="3614" w:type="dxa"/>
          </w:tcPr>
          <w:p w14:paraId="5A2CFB94" w14:textId="77777777" w:rsidR="00261A42" w:rsidRDefault="00261A42" w:rsidP="00261A4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0D1726">
              <w:t>Total score</w:t>
            </w:r>
          </w:p>
        </w:tc>
        <w:tc>
          <w:tcPr>
            <w:tcW w:w="6288" w:type="dxa"/>
          </w:tcPr>
          <w:p w14:paraId="0ABC5122" w14:textId="77777777" w:rsidR="00261A42" w:rsidRDefault="00261A42" w:rsidP="00261A4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0D1726">
              <w:t>Assessed complexity quadrant</w:t>
            </w:r>
          </w:p>
        </w:tc>
      </w:tr>
      <w:tr w:rsidR="00261A42" w:rsidRPr="00261A42" w14:paraId="09C02538" w14:textId="77777777" w:rsidTr="00261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9EF48DD" w14:textId="77777777" w:rsidR="00261A42" w:rsidRPr="00261A42" w:rsidRDefault="00261A42" w:rsidP="00261A42">
            <w:pPr>
              <w:pStyle w:val="TableText"/>
              <w:rPr>
                <w:color w:val="auto"/>
              </w:rPr>
            </w:pPr>
            <w:r w:rsidRPr="00261A42">
              <w:rPr>
                <w:color w:val="auto"/>
              </w:rPr>
              <w:t>X axis: goods/services market total score</w:t>
            </w:r>
          </w:p>
        </w:tc>
        <w:tc>
          <w:tcPr>
            <w:tcW w:w="3614" w:type="dxa"/>
          </w:tcPr>
          <w:p w14:paraId="6BCB4C7B" w14:textId="77777777" w:rsidR="00261A42" w:rsidRPr="00261A42" w:rsidRDefault="00261A42" w:rsidP="00261A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8" w:type="dxa"/>
            <w:vMerge w:val="restart"/>
          </w:tcPr>
          <w:p w14:paraId="7141F0CF" w14:textId="77777777" w:rsidR="00261A42" w:rsidRPr="00261A42" w:rsidRDefault="00261A42" w:rsidP="00261A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A42" w:rsidRPr="00261A42" w14:paraId="5FB2F149" w14:textId="77777777" w:rsidTr="00261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2B609E1A" w14:textId="77777777" w:rsidR="00261A42" w:rsidRPr="00261A42" w:rsidRDefault="00261A42" w:rsidP="00261A42">
            <w:pPr>
              <w:pStyle w:val="TableText"/>
              <w:rPr>
                <w:color w:val="auto"/>
              </w:rPr>
            </w:pPr>
            <w:r w:rsidRPr="00261A42">
              <w:rPr>
                <w:color w:val="auto"/>
              </w:rPr>
              <w:t xml:space="preserve">Y axis: value created through procurement </w:t>
            </w:r>
          </w:p>
        </w:tc>
        <w:tc>
          <w:tcPr>
            <w:tcW w:w="3614" w:type="dxa"/>
          </w:tcPr>
          <w:p w14:paraId="349E0D3C" w14:textId="77777777" w:rsidR="00261A42" w:rsidRPr="00261A42" w:rsidRDefault="00261A42" w:rsidP="00261A4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288" w:type="dxa"/>
            <w:vMerge/>
          </w:tcPr>
          <w:p w14:paraId="2E6E7CB5" w14:textId="77777777" w:rsidR="00261A42" w:rsidRPr="00261A42" w:rsidRDefault="00261A42" w:rsidP="00261A4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EDF6CEF" w14:textId="77777777" w:rsidR="00261A42" w:rsidRDefault="00261A42" w:rsidP="00261A42">
      <w:pPr>
        <w:rPr>
          <w:lang w:eastAsia="en-US"/>
        </w:rPr>
      </w:pPr>
    </w:p>
    <w:p w14:paraId="0C6310DA" w14:textId="77777777" w:rsidR="009D5067" w:rsidRDefault="009D5067">
      <w:pPr>
        <w:spacing w:before="0" w:after="0" w:line="240" w:lineRule="auto"/>
      </w:pPr>
      <w:r>
        <w:br w:type="page"/>
      </w:r>
    </w:p>
    <w:p w14:paraId="4F8A30C5" w14:textId="77777777" w:rsidR="00261A42" w:rsidRDefault="00261A42" w:rsidP="00181C1F"/>
    <w:p w14:paraId="037DCA8A" w14:textId="77777777" w:rsidR="00181C1F" w:rsidRDefault="00181C1F" w:rsidP="00261A42">
      <w:pPr>
        <w:pStyle w:val="Heading3"/>
      </w:pPr>
      <w:r>
        <w:t xml:space="preserve">Signatures: </w:t>
      </w:r>
    </w:p>
    <w:p w14:paraId="0BCFC2DD" w14:textId="77777777" w:rsidR="00261A42" w:rsidRDefault="00261A42" w:rsidP="00181C1F"/>
    <w:p w14:paraId="3C734AA3" w14:textId="77777777" w:rsidR="00181C1F" w:rsidRDefault="00181C1F" w:rsidP="00181C1F">
      <w:r>
        <w:t xml:space="preserve">Signed by </w:t>
      </w:r>
      <w:r w:rsidR="00261A42">
        <w:t xml:space="preserve">assessor   </w:t>
      </w:r>
      <w:r>
        <w:t xml:space="preserve">..................................................... </w:t>
      </w:r>
      <w:r w:rsidR="00261A42">
        <w:t xml:space="preserve"> </w:t>
      </w:r>
      <w:r>
        <w:t>Date........................</w:t>
      </w:r>
    </w:p>
    <w:p w14:paraId="2E032B74" w14:textId="77777777" w:rsidR="00181C1F" w:rsidRDefault="00181C1F" w:rsidP="00181C1F"/>
    <w:p w14:paraId="4AA6CB9E" w14:textId="77777777" w:rsidR="00181C1F" w:rsidRDefault="00181C1F" w:rsidP="00181C1F">
      <w:r>
        <w:t xml:space="preserve">Signed by </w:t>
      </w:r>
      <w:proofErr w:type="gramStart"/>
      <w:r w:rsidR="00261A42">
        <w:t xml:space="preserve">approver  </w:t>
      </w:r>
      <w:r>
        <w:t>.....................................................</w:t>
      </w:r>
      <w:proofErr w:type="gramEnd"/>
      <w:r>
        <w:t xml:space="preserve"> </w:t>
      </w:r>
      <w:r w:rsidR="00261A42">
        <w:t xml:space="preserve"> </w:t>
      </w:r>
      <w:r>
        <w:t>Date........................</w:t>
      </w:r>
    </w:p>
    <w:p w14:paraId="7BDE5B5D" w14:textId="77777777" w:rsidR="00181C1F" w:rsidRDefault="00181C1F" w:rsidP="00236EE1"/>
    <w:p w14:paraId="1C63FF5D" w14:textId="77777777" w:rsidR="00261A42" w:rsidRDefault="00261A42">
      <w:pPr>
        <w:spacing w:before="0" w:after="0" w:line="240" w:lineRule="auto"/>
      </w:pPr>
      <w:r>
        <w:br w:type="page"/>
      </w:r>
    </w:p>
    <w:p w14:paraId="434860EF" w14:textId="77777777" w:rsidR="00181C1F" w:rsidRDefault="00F2617F" w:rsidP="00261A42">
      <w:pPr>
        <w:pStyle w:val="Caption"/>
      </w:pPr>
      <w:r>
        <w:lastRenderedPageBreak/>
        <w:t xml:space="preserve">Figure </w:t>
      </w:r>
      <w:r w:rsidR="00181C1F" w:rsidRPr="00181C1F">
        <w:t xml:space="preserve">Decision tree linking to complexity </w:t>
      </w:r>
      <w:proofErr w:type="gramStart"/>
      <w:r w:rsidR="00181C1F" w:rsidRPr="00181C1F">
        <w:t>quadrant</w:t>
      </w:r>
      <w:proofErr w:type="gramEnd"/>
    </w:p>
    <w:p w14:paraId="4ABB9BF9" w14:textId="77777777" w:rsidR="00181C1F" w:rsidRDefault="004510E9" w:rsidP="00236EE1">
      <w:r>
        <w:object w:dxaOrig="13660" w:dyaOrig="4633" w14:anchorId="1D3F675A">
          <v:shape id="_x0000_i1026" type="#_x0000_t75" style="width:729.4pt;height:247.5pt" o:ole="">
            <v:imagedata r:id="rId10" o:title=""/>
          </v:shape>
          <o:OLEObject Type="Embed" ProgID="Visio.Drawing.11" ShapeID="_x0000_i1026" DrawAspect="Content" ObjectID="_1783159684" r:id="rId11"/>
        </w:object>
      </w:r>
    </w:p>
    <w:p w14:paraId="1A5B6F8F" w14:textId="77777777" w:rsidR="00D955F9" w:rsidRDefault="00F2617F" w:rsidP="004510E9">
      <w:pPr>
        <w:pStyle w:val="NoteNormal"/>
        <w:rPr>
          <w:sz w:val="22"/>
        </w:rPr>
      </w:pPr>
      <w:r>
        <w:rPr>
          <w:sz w:val="22"/>
        </w:rPr>
        <w:t xml:space="preserve">The figure shows a decision tree comparing scores for goods / services / market and value </w:t>
      </w:r>
      <w:proofErr w:type="spellStart"/>
      <w:r>
        <w:rPr>
          <w:sz w:val="22"/>
        </w:rPr>
        <w:t>createdthrough</w:t>
      </w:r>
      <w:proofErr w:type="spellEnd"/>
      <w:r>
        <w:rPr>
          <w:sz w:val="22"/>
        </w:rPr>
        <w:t xml:space="preserve"> procurement.  The decision questions and outcomes are shown in the following table.</w:t>
      </w:r>
    </w:p>
    <w:tbl>
      <w:tblPr>
        <w:tblStyle w:val="TableGrid"/>
        <w:tblW w:w="0" w:type="auto"/>
        <w:tblBorders>
          <w:left w:val="single" w:sz="6" w:space="0" w:color="660B68"/>
          <w:right w:val="single" w:sz="6" w:space="0" w:color="660B68"/>
          <w:insideV w:val="single" w:sz="6" w:space="0" w:color="660B68"/>
        </w:tblBorders>
        <w:tblLook w:val="04A0" w:firstRow="1" w:lastRow="0" w:firstColumn="1" w:lastColumn="0" w:noHBand="0" w:noVBand="1"/>
      </w:tblPr>
      <w:tblGrid>
        <w:gridCol w:w="4951"/>
        <w:gridCol w:w="4958"/>
        <w:gridCol w:w="4943"/>
      </w:tblGrid>
      <w:tr w:rsidR="00D955F9" w:rsidRPr="00D955F9" w14:paraId="04A28BC7" w14:textId="77777777" w:rsidTr="00D95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0D37B18" w14:textId="77777777" w:rsidR="00D955F9" w:rsidRPr="00D955F9" w:rsidRDefault="00D955F9" w:rsidP="00D955F9">
            <w:pPr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G</w:t>
            </w:r>
            <w:r w:rsidRPr="00D955F9">
              <w:rPr>
                <w:b/>
                <w:color w:val="auto"/>
                <w:lang w:eastAsia="en-US"/>
              </w:rPr>
              <w:t>oods / services / market</w:t>
            </w:r>
            <w:r>
              <w:rPr>
                <w:b/>
                <w:color w:val="auto"/>
                <w:lang w:eastAsia="en-US"/>
              </w:rPr>
              <w:t xml:space="preserve"> score</w:t>
            </w:r>
            <w:r>
              <w:rPr>
                <w:b/>
                <w:color w:val="auto"/>
                <w:lang w:eastAsia="en-US"/>
              </w:rPr>
              <w:br/>
              <w:t>(</w:t>
            </w:r>
            <w:r w:rsidRPr="00D955F9">
              <w:rPr>
                <w:b/>
                <w:color w:val="auto"/>
                <w:lang w:eastAsia="en-US"/>
              </w:rPr>
              <w:t>X axis</w:t>
            </w:r>
            <w:r>
              <w:rPr>
                <w:b/>
                <w:color w:val="auto"/>
                <w:lang w:eastAsia="en-US"/>
              </w:rPr>
              <w:t>)</w:t>
            </w:r>
          </w:p>
        </w:tc>
        <w:tc>
          <w:tcPr>
            <w:tcW w:w="495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C261FC3" w14:textId="77777777" w:rsidR="00D955F9" w:rsidRPr="00D955F9" w:rsidRDefault="00D955F9" w:rsidP="00D955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V</w:t>
            </w:r>
            <w:r w:rsidRPr="00D955F9">
              <w:rPr>
                <w:b/>
                <w:color w:val="auto"/>
                <w:lang w:eastAsia="en-US"/>
              </w:rPr>
              <w:t>alue created through procurement score</w:t>
            </w:r>
            <w:r>
              <w:rPr>
                <w:b/>
                <w:color w:val="auto"/>
                <w:lang w:eastAsia="en-US"/>
              </w:rPr>
              <w:br/>
            </w:r>
            <w:r w:rsidR="00F2617F">
              <w:rPr>
                <w:b/>
                <w:color w:val="auto"/>
                <w:lang w:eastAsia="en-US"/>
              </w:rPr>
              <w:t>(Y axis)</w:t>
            </w:r>
          </w:p>
        </w:tc>
        <w:tc>
          <w:tcPr>
            <w:tcW w:w="49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9D3FBA" w14:textId="77777777" w:rsidR="00D955F9" w:rsidRPr="00D955F9" w:rsidRDefault="00D955F9" w:rsidP="00D955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en-US"/>
              </w:rPr>
            </w:pPr>
            <w:r w:rsidRPr="00D955F9">
              <w:rPr>
                <w:b/>
                <w:color w:val="auto"/>
                <w:lang w:eastAsia="en-US"/>
              </w:rPr>
              <w:t>Appropriate complexity quadrant</w:t>
            </w:r>
          </w:p>
        </w:tc>
      </w:tr>
      <w:tr w:rsidR="00D955F9" w14:paraId="302C5B60" w14:textId="77777777" w:rsidTr="00D95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</w:tcPr>
          <w:p w14:paraId="6AD91686" w14:textId="77777777" w:rsidR="00D955F9" w:rsidRDefault="00D955F9" w:rsidP="00D955F9">
            <w:pPr>
              <w:rPr>
                <w:lang w:eastAsia="en-US"/>
              </w:rPr>
            </w:pPr>
            <w:r>
              <w:rPr>
                <w:lang w:eastAsia="en-US"/>
              </w:rPr>
              <w:t>Greater than 30</w:t>
            </w:r>
          </w:p>
        </w:tc>
        <w:tc>
          <w:tcPr>
            <w:tcW w:w="4958" w:type="dxa"/>
          </w:tcPr>
          <w:p w14:paraId="25420C97" w14:textId="77777777" w:rsidR="00D955F9" w:rsidRDefault="00D955F9" w:rsidP="00D95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Greater than 30</w:t>
            </w:r>
          </w:p>
        </w:tc>
        <w:tc>
          <w:tcPr>
            <w:tcW w:w="4943" w:type="dxa"/>
          </w:tcPr>
          <w:p w14:paraId="71E9C4B5" w14:textId="77777777" w:rsidR="00D955F9" w:rsidRDefault="00D955F9" w:rsidP="00D95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Strategic</w:t>
            </w:r>
          </w:p>
        </w:tc>
      </w:tr>
      <w:tr w:rsidR="00D955F9" w14:paraId="523856BA" w14:textId="77777777" w:rsidTr="00D95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</w:tcPr>
          <w:p w14:paraId="30BA4306" w14:textId="77777777" w:rsidR="00D955F9" w:rsidRDefault="00D955F9" w:rsidP="00D955F9">
            <w:pPr>
              <w:rPr>
                <w:lang w:eastAsia="en-US"/>
              </w:rPr>
            </w:pPr>
            <w:r>
              <w:rPr>
                <w:lang w:eastAsia="en-US"/>
              </w:rPr>
              <w:t>Greater than 30</w:t>
            </w:r>
          </w:p>
        </w:tc>
        <w:tc>
          <w:tcPr>
            <w:tcW w:w="4958" w:type="dxa"/>
          </w:tcPr>
          <w:p w14:paraId="74AA0C27" w14:textId="77777777" w:rsidR="00D955F9" w:rsidRDefault="00D955F9" w:rsidP="00D95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Less than 30</w:t>
            </w:r>
          </w:p>
        </w:tc>
        <w:tc>
          <w:tcPr>
            <w:tcW w:w="4943" w:type="dxa"/>
          </w:tcPr>
          <w:p w14:paraId="3AA11F3E" w14:textId="77777777" w:rsidR="00D955F9" w:rsidRDefault="00D955F9" w:rsidP="00D95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Focused</w:t>
            </w:r>
          </w:p>
        </w:tc>
      </w:tr>
      <w:tr w:rsidR="00D955F9" w14:paraId="049C58B6" w14:textId="77777777" w:rsidTr="00D95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</w:tcPr>
          <w:p w14:paraId="5664092B" w14:textId="77777777" w:rsidR="00D955F9" w:rsidRDefault="00D955F9" w:rsidP="00D955F9">
            <w:pPr>
              <w:rPr>
                <w:lang w:eastAsia="en-US"/>
              </w:rPr>
            </w:pPr>
            <w:r>
              <w:rPr>
                <w:lang w:eastAsia="en-US"/>
              </w:rPr>
              <w:t>Less than 30</w:t>
            </w:r>
          </w:p>
        </w:tc>
        <w:tc>
          <w:tcPr>
            <w:tcW w:w="4958" w:type="dxa"/>
          </w:tcPr>
          <w:p w14:paraId="56C08A2A" w14:textId="77777777" w:rsidR="00D955F9" w:rsidRDefault="00D955F9" w:rsidP="00D95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Greater than 30</w:t>
            </w:r>
          </w:p>
        </w:tc>
        <w:tc>
          <w:tcPr>
            <w:tcW w:w="4943" w:type="dxa"/>
          </w:tcPr>
          <w:p w14:paraId="33815B67" w14:textId="77777777" w:rsidR="00D955F9" w:rsidRDefault="00D955F9" w:rsidP="00D95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Leveraged</w:t>
            </w:r>
          </w:p>
        </w:tc>
      </w:tr>
      <w:tr w:rsidR="00D955F9" w14:paraId="4C82D6AA" w14:textId="77777777" w:rsidTr="00D95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1" w:type="dxa"/>
          </w:tcPr>
          <w:p w14:paraId="7D03ECDE" w14:textId="77777777" w:rsidR="00D955F9" w:rsidRDefault="00D955F9" w:rsidP="00D955F9">
            <w:pPr>
              <w:rPr>
                <w:lang w:eastAsia="en-US"/>
              </w:rPr>
            </w:pPr>
            <w:r>
              <w:rPr>
                <w:lang w:eastAsia="en-US"/>
              </w:rPr>
              <w:t>Less than 30</w:t>
            </w:r>
          </w:p>
        </w:tc>
        <w:tc>
          <w:tcPr>
            <w:tcW w:w="4958" w:type="dxa"/>
          </w:tcPr>
          <w:p w14:paraId="1AA30E0A" w14:textId="77777777" w:rsidR="00D955F9" w:rsidRDefault="00D955F9" w:rsidP="00D95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Less than 30</w:t>
            </w:r>
          </w:p>
        </w:tc>
        <w:tc>
          <w:tcPr>
            <w:tcW w:w="4943" w:type="dxa"/>
          </w:tcPr>
          <w:p w14:paraId="7C5E662D" w14:textId="77777777" w:rsidR="00D955F9" w:rsidRDefault="00D955F9" w:rsidP="00D95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Transactional</w:t>
            </w:r>
          </w:p>
        </w:tc>
      </w:tr>
    </w:tbl>
    <w:p w14:paraId="52721D96" w14:textId="77777777" w:rsidR="00181C1F" w:rsidRPr="00D955F9" w:rsidRDefault="00181C1F" w:rsidP="004510E9">
      <w:pPr>
        <w:pStyle w:val="NoteNormal"/>
        <w:rPr>
          <w:sz w:val="22"/>
        </w:rPr>
      </w:pPr>
      <w:r w:rsidRPr="00D955F9">
        <w:rPr>
          <w:sz w:val="22"/>
        </w:rPr>
        <w:lastRenderedPageBreak/>
        <w:t>NOTE: Changing the inter-quadrant values on either the X or Y axis to reflect the risk and scoring ratings adopted by the organisation will alter the allocation of categories across the complexity quadrants.</w:t>
      </w:r>
    </w:p>
    <w:p w14:paraId="7EE5D78F" w14:textId="77777777" w:rsidR="00181C1F" w:rsidRDefault="004B6D7B" w:rsidP="00236EE1">
      <w:r>
        <w:rPr>
          <w:lang w:eastAsia="en-US"/>
        </w:rPr>
        <w:t xml:space="preserve">The complexity assessment quadrants are shown in the following </w:t>
      </w:r>
      <w:proofErr w:type="gramStart"/>
      <w:r>
        <w:rPr>
          <w:lang w:eastAsia="en-US"/>
        </w:rPr>
        <w:t>table”</w:t>
      </w:r>
      <w:proofErr w:type="gramEnd"/>
    </w:p>
    <w:tbl>
      <w:tblPr>
        <w:tblStyle w:val="TableGrid"/>
        <w:tblW w:w="0" w:type="auto"/>
        <w:tblBorders>
          <w:left w:val="single" w:sz="6" w:space="0" w:color="660B68"/>
          <w:right w:val="single" w:sz="6" w:space="0" w:color="660B68"/>
          <w:insideV w:val="single" w:sz="6" w:space="0" w:color="660B68"/>
        </w:tblBorders>
        <w:tblLook w:val="04A0" w:firstRow="1" w:lastRow="0" w:firstColumn="1" w:lastColumn="0" w:noHBand="0" w:noVBand="1"/>
      </w:tblPr>
      <w:tblGrid>
        <w:gridCol w:w="3319"/>
        <w:gridCol w:w="3319"/>
        <w:gridCol w:w="3319"/>
      </w:tblGrid>
      <w:tr w:rsidR="004B6D7B" w:rsidRPr="0004759C" w14:paraId="17B8ABE8" w14:textId="77777777" w:rsidTr="00F22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dxa"/>
            <w:shd w:val="clear" w:color="auto" w:fill="auto"/>
          </w:tcPr>
          <w:p w14:paraId="528B8182" w14:textId="77777777" w:rsidR="00900D4F" w:rsidRDefault="004B6D7B" w:rsidP="00900D4F">
            <w:pPr>
              <w:jc w:val="center"/>
              <w:rPr>
                <w:b/>
              </w:rPr>
            </w:pPr>
            <w:r w:rsidRPr="0004759C">
              <w:rPr>
                <w:b/>
                <w:color w:val="auto"/>
              </w:rPr>
              <w:t xml:space="preserve">Value created through </w:t>
            </w:r>
            <w:proofErr w:type="gramStart"/>
            <w:r w:rsidRPr="0004759C">
              <w:rPr>
                <w:b/>
                <w:color w:val="auto"/>
              </w:rPr>
              <w:t>procurement</w:t>
            </w:r>
            <w:proofErr w:type="gramEnd"/>
          </w:p>
          <w:p w14:paraId="4CF43C1B" w14:textId="77777777" w:rsidR="004B6D7B" w:rsidRPr="0004759C" w:rsidRDefault="004B6D7B" w:rsidP="00F2243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Y axis</w:t>
            </w:r>
          </w:p>
        </w:tc>
        <w:tc>
          <w:tcPr>
            <w:tcW w:w="3319" w:type="dxa"/>
            <w:shd w:val="clear" w:color="auto" w:fill="auto"/>
          </w:tcPr>
          <w:p w14:paraId="50B2B684" w14:textId="77777777" w:rsidR="004B6D7B" w:rsidRDefault="004B6D7B" w:rsidP="00F2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59C">
              <w:rPr>
                <w:b/>
                <w:color w:val="auto"/>
              </w:rPr>
              <w:t xml:space="preserve">Standardised </w:t>
            </w:r>
            <w:r w:rsidRPr="0004759C">
              <w:rPr>
                <w:b/>
                <w:color w:val="auto"/>
              </w:rPr>
              <w:br/>
              <w:t>goods and services market</w:t>
            </w:r>
          </w:p>
          <w:p w14:paraId="7310D691" w14:textId="77777777" w:rsidR="004B6D7B" w:rsidRPr="0004759C" w:rsidRDefault="004B6D7B" w:rsidP="00F2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59C">
              <w:rPr>
                <w:b/>
                <w:color w:val="auto"/>
              </w:rPr>
              <w:t xml:space="preserve">Scores between </w:t>
            </w:r>
            <w:r w:rsidR="00900D4F">
              <w:rPr>
                <w:b/>
                <w:color w:val="auto"/>
              </w:rPr>
              <w:t xml:space="preserve">0 - </w:t>
            </w:r>
            <w:r w:rsidRPr="0004759C">
              <w:rPr>
                <w:b/>
                <w:color w:val="auto"/>
              </w:rPr>
              <w:t>300</w:t>
            </w:r>
          </w:p>
          <w:p w14:paraId="6804791A" w14:textId="77777777" w:rsidR="004B6D7B" w:rsidRPr="0004759C" w:rsidRDefault="004B6D7B" w:rsidP="00F2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X axis</w:t>
            </w:r>
          </w:p>
        </w:tc>
        <w:tc>
          <w:tcPr>
            <w:tcW w:w="3319" w:type="dxa"/>
            <w:shd w:val="clear" w:color="auto" w:fill="auto"/>
          </w:tcPr>
          <w:p w14:paraId="0EA6C12D" w14:textId="77777777" w:rsidR="004B6D7B" w:rsidRDefault="004B6D7B" w:rsidP="00F2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59C">
              <w:rPr>
                <w:b/>
                <w:color w:val="auto"/>
              </w:rPr>
              <w:t>Specialised</w:t>
            </w:r>
            <w:r w:rsidRPr="0004759C">
              <w:rPr>
                <w:b/>
                <w:color w:val="auto"/>
              </w:rPr>
              <w:br/>
              <w:t>goods and services market</w:t>
            </w:r>
          </w:p>
          <w:p w14:paraId="2E4D8FF3" w14:textId="77777777" w:rsidR="004B6D7B" w:rsidRPr="0004759C" w:rsidRDefault="004B6D7B" w:rsidP="00F2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759C">
              <w:rPr>
                <w:b/>
                <w:color w:val="auto"/>
              </w:rPr>
              <w:t>Scores between 30</w:t>
            </w:r>
            <w:r w:rsidR="00900D4F">
              <w:rPr>
                <w:b/>
                <w:color w:val="auto"/>
              </w:rPr>
              <w:t xml:space="preserve"> - 60</w:t>
            </w:r>
          </w:p>
          <w:p w14:paraId="70982462" w14:textId="77777777" w:rsidR="004B6D7B" w:rsidRPr="0004759C" w:rsidRDefault="004B6D7B" w:rsidP="00F22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X axis</w:t>
            </w:r>
          </w:p>
        </w:tc>
      </w:tr>
      <w:tr w:rsidR="004B6D7B" w14:paraId="2CFC54D6" w14:textId="77777777" w:rsidTr="00F22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dxa"/>
          </w:tcPr>
          <w:p w14:paraId="22A790C4" w14:textId="77777777" w:rsidR="004B6D7B" w:rsidRPr="0004759C" w:rsidRDefault="004B6D7B" w:rsidP="00F22436">
            <w:pPr>
              <w:jc w:val="center"/>
              <w:rPr>
                <w:b/>
                <w:color w:val="auto"/>
              </w:rPr>
            </w:pPr>
            <w:r w:rsidRPr="0004759C">
              <w:rPr>
                <w:b/>
                <w:color w:val="auto"/>
              </w:rPr>
              <w:t>High value</w:t>
            </w:r>
          </w:p>
          <w:p w14:paraId="11696C7F" w14:textId="77777777" w:rsidR="004B6D7B" w:rsidRPr="0004759C" w:rsidRDefault="004B6D7B" w:rsidP="00F22436">
            <w:pPr>
              <w:jc w:val="center"/>
              <w:rPr>
                <w:b/>
                <w:color w:val="auto"/>
              </w:rPr>
            </w:pPr>
            <w:r w:rsidRPr="0004759C">
              <w:rPr>
                <w:b/>
                <w:color w:val="auto"/>
              </w:rPr>
              <w:t>Scores between 30 - 60</w:t>
            </w:r>
          </w:p>
        </w:tc>
        <w:tc>
          <w:tcPr>
            <w:tcW w:w="3319" w:type="dxa"/>
          </w:tcPr>
          <w:p w14:paraId="14740DF2" w14:textId="77777777" w:rsidR="004B6D7B" w:rsidRPr="0004759C" w:rsidRDefault="004B6D7B" w:rsidP="00F22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59C">
              <w:t>Leveraged</w:t>
            </w:r>
          </w:p>
          <w:p w14:paraId="4347AD2B" w14:textId="77777777" w:rsidR="004B6D7B" w:rsidRPr="0004759C" w:rsidRDefault="004B6D7B" w:rsidP="00F22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59C">
              <w:t>(quadrant 2)</w:t>
            </w:r>
          </w:p>
        </w:tc>
        <w:tc>
          <w:tcPr>
            <w:tcW w:w="3319" w:type="dxa"/>
          </w:tcPr>
          <w:p w14:paraId="2FCB2390" w14:textId="77777777" w:rsidR="004B6D7B" w:rsidRPr="0004759C" w:rsidRDefault="004B6D7B" w:rsidP="00F22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59C">
              <w:t>Strategic</w:t>
            </w:r>
          </w:p>
          <w:p w14:paraId="1F201618" w14:textId="77777777" w:rsidR="004B6D7B" w:rsidRPr="0004759C" w:rsidRDefault="004B6D7B" w:rsidP="00F22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59C">
              <w:t>(quadrant 4)</w:t>
            </w:r>
          </w:p>
        </w:tc>
      </w:tr>
      <w:tr w:rsidR="004B6D7B" w14:paraId="29D23CFF" w14:textId="77777777" w:rsidTr="00F224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dxa"/>
          </w:tcPr>
          <w:p w14:paraId="674F5F78" w14:textId="77777777" w:rsidR="004B6D7B" w:rsidRPr="0004759C" w:rsidRDefault="004B6D7B" w:rsidP="00F22436">
            <w:pPr>
              <w:jc w:val="center"/>
              <w:rPr>
                <w:b/>
                <w:color w:val="auto"/>
              </w:rPr>
            </w:pPr>
            <w:r w:rsidRPr="0004759C">
              <w:rPr>
                <w:b/>
                <w:color w:val="auto"/>
              </w:rPr>
              <w:t>Low value</w:t>
            </w:r>
          </w:p>
          <w:p w14:paraId="6B0E749A" w14:textId="77777777" w:rsidR="004B6D7B" w:rsidRPr="0004759C" w:rsidRDefault="004B6D7B" w:rsidP="00F22436">
            <w:pPr>
              <w:jc w:val="center"/>
              <w:rPr>
                <w:b/>
                <w:color w:val="auto"/>
              </w:rPr>
            </w:pPr>
            <w:r w:rsidRPr="0004759C">
              <w:rPr>
                <w:b/>
                <w:color w:val="auto"/>
              </w:rPr>
              <w:t>Scores between 0 - 30</w:t>
            </w:r>
          </w:p>
        </w:tc>
        <w:tc>
          <w:tcPr>
            <w:tcW w:w="3319" w:type="dxa"/>
          </w:tcPr>
          <w:p w14:paraId="249C3B5F" w14:textId="77777777" w:rsidR="004B6D7B" w:rsidRPr="0004759C" w:rsidRDefault="004B6D7B" w:rsidP="00F224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59C">
              <w:t>Transactional</w:t>
            </w:r>
          </w:p>
          <w:p w14:paraId="189E7611" w14:textId="77777777" w:rsidR="004B6D7B" w:rsidRPr="0004759C" w:rsidRDefault="004B6D7B" w:rsidP="00F224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59C">
              <w:t>(quadrant 1)</w:t>
            </w:r>
          </w:p>
        </w:tc>
        <w:tc>
          <w:tcPr>
            <w:tcW w:w="3319" w:type="dxa"/>
          </w:tcPr>
          <w:p w14:paraId="122439C1" w14:textId="77777777" w:rsidR="004B6D7B" w:rsidRPr="0004759C" w:rsidRDefault="004B6D7B" w:rsidP="00F224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59C">
              <w:t>Focused</w:t>
            </w:r>
          </w:p>
          <w:p w14:paraId="12C850D8" w14:textId="77777777" w:rsidR="004B6D7B" w:rsidRPr="0004759C" w:rsidRDefault="004B6D7B" w:rsidP="00F224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59C">
              <w:t>(quadrant 3)</w:t>
            </w:r>
          </w:p>
        </w:tc>
      </w:tr>
    </w:tbl>
    <w:p w14:paraId="017AC3E7" w14:textId="77777777" w:rsidR="004B6D7B" w:rsidRDefault="004B6D7B" w:rsidP="00236EE1"/>
    <w:p w14:paraId="5DBA3069" w14:textId="77777777" w:rsidR="004B6D7B" w:rsidRDefault="004B6D7B" w:rsidP="00236EE1"/>
    <w:p w14:paraId="4AE00E87" w14:textId="77777777" w:rsidR="008A0802" w:rsidRPr="004C364C" w:rsidRDefault="008A0802" w:rsidP="008A0802">
      <w:pPr>
        <w:pStyle w:val="Heading2"/>
        <w:rPr>
          <w:b w:val="0"/>
          <w:bCs/>
          <w:color w:val="7030A0"/>
          <w:spacing w:val="2"/>
        </w:rPr>
      </w:pPr>
      <w:r>
        <w:br w:type="page"/>
      </w:r>
      <w:r w:rsidRPr="004C364C">
        <w:rPr>
          <w:bCs/>
          <w:color w:val="7030A0"/>
          <w:spacing w:val="2"/>
        </w:rPr>
        <w:lastRenderedPageBreak/>
        <w:t>Using this tool</w:t>
      </w:r>
    </w:p>
    <w:p w14:paraId="109A22F1" w14:textId="544058AD" w:rsidR="008A0802" w:rsidRPr="007A19E6" w:rsidRDefault="008A0802" w:rsidP="008A0802">
      <w:pPr>
        <w:spacing w:before="0" w:after="200"/>
      </w:pPr>
      <w:r w:rsidRPr="00D56617">
        <w:t xml:space="preserve">This </w:t>
      </w:r>
      <w:r>
        <w:t xml:space="preserve">tool </w:t>
      </w:r>
      <w:r w:rsidRPr="00D56617">
        <w:t xml:space="preserve">accompanies </w:t>
      </w:r>
      <w:r>
        <w:t xml:space="preserve">the </w:t>
      </w:r>
      <w:hyperlink r:id="rId12" w:history="1">
        <w:r w:rsidRPr="009C634B">
          <w:rPr>
            <w:rStyle w:val="Hyperlink"/>
          </w:rPr>
          <w:t>Complexity</w:t>
        </w:r>
        <w:r w:rsidR="009E0FEB">
          <w:rPr>
            <w:rStyle w:val="Hyperlink"/>
          </w:rPr>
          <w:t xml:space="preserve">: </w:t>
        </w:r>
        <w:r w:rsidRPr="009C634B">
          <w:rPr>
            <w:rStyle w:val="Hyperlink"/>
          </w:rPr>
          <w:t>Goods and services guide</w:t>
        </w:r>
      </w:hyperlink>
      <w:r>
        <w:t>.</w:t>
      </w:r>
    </w:p>
    <w:p w14:paraId="043B3F7C" w14:textId="77777777" w:rsidR="008A0802" w:rsidRDefault="008A0802">
      <w:pPr>
        <w:spacing w:before="0" w:after="0" w:line="240" w:lineRule="auto"/>
      </w:pPr>
    </w:p>
    <w:p w14:paraId="6FFF39E8" w14:textId="77777777" w:rsidR="004B6D7B" w:rsidRDefault="004B6D7B" w:rsidP="00236EE1"/>
    <w:p w14:paraId="2D5D6C86" w14:textId="77777777" w:rsidR="008A0802" w:rsidRDefault="008A0802" w:rsidP="00236EE1"/>
    <w:p w14:paraId="7419123D" w14:textId="77777777" w:rsidR="008A0802" w:rsidRDefault="008A0802" w:rsidP="00236EE1"/>
    <w:p w14:paraId="00DDABE5" w14:textId="77777777" w:rsidR="008A0802" w:rsidRDefault="008A0802" w:rsidP="00236EE1"/>
    <w:p w14:paraId="53181BE0" w14:textId="77777777" w:rsidR="008A0802" w:rsidRDefault="008A0802" w:rsidP="00236EE1"/>
    <w:p w14:paraId="5EF2363E" w14:textId="77777777" w:rsidR="008A0802" w:rsidRDefault="008A0802" w:rsidP="00236EE1"/>
    <w:p w14:paraId="0D17D3F9" w14:textId="77777777" w:rsidR="008A0802" w:rsidRDefault="008A0802" w:rsidP="00236EE1"/>
    <w:p w14:paraId="662BBD10" w14:textId="77777777" w:rsidR="008A0802" w:rsidRDefault="008A0802" w:rsidP="00236EE1"/>
    <w:p w14:paraId="37010533" w14:textId="77777777" w:rsidR="008A0802" w:rsidRDefault="008A0802" w:rsidP="00236EE1"/>
    <w:p w14:paraId="3D314F11" w14:textId="77777777" w:rsidR="008A0802" w:rsidRDefault="008A0802" w:rsidP="00236EE1"/>
    <w:p w14:paraId="27B31B57" w14:textId="77777777" w:rsidR="004B6D7B" w:rsidRDefault="004B6D7B" w:rsidP="00236EE1"/>
    <w:p w14:paraId="1D2C9C1E" w14:textId="77777777" w:rsidR="004B6D7B" w:rsidRDefault="004B6D7B" w:rsidP="00236EE1"/>
    <w:p w14:paraId="536DF7A0" w14:textId="77777777" w:rsidR="00156382" w:rsidRPr="006828FC" w:rsidRDefault="009D5067" w:rsidP="00156382">
      <w:r>
        <w:t xml:space="preserve">© </w:t>
      </w:r>
      <w:r w:rsidR="00156382" w:rsidRPr="006828FC">
        <w:t>State of Victoria 201</w:t>
      </w:r>
      <w:r>
        <w:t>8 (</w:t>
      </w:r>
      <w:bookmarkStart w:id="0" w:name="_Hlk20209980"/>
      <w:r>
        <w:t>Victorian Government Purchasing Board</w:t>
      </w:r>
      <w:bookmarkEnd w:id="0"/>
      <w:r>
        <w:t>)</w:t>
      </w:r>
    </w:p>
    <w:p w14:paraId="3CC18EF7" w14:textId="77777777" w:rsidR="00156382" w:rsidRPr="006828FC" w:rsidRDefault="00156382" w:rsidP="00156382">
      <w:r w:rsidRPr="006828FC">
        <w:rPr>
          <w:noProof/>
        </w:rPr>
        <w:drawing>
          <wp:inline distT="0" distB="0" distL="0" distR="0" wp14:anchorId="246CB3AD" wp14:editId="7935AE5D">
            <wp:extent cx="1117460" cy="393651"/>
            <wp:effectExtent l="0" t="0" r="6985" b="6985"/>
            <wp:docPr id="3" name="Picture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8FC">
        <w:t xml:space="preserve"> </w:t>
      </w:r>
    </w:p>
    <w:p w14:paraId="68966B66" w14:textId="77777777" w:rsidR="00156382" w:rsidRPr="006828FC" w:rsidRDefault="00156382" w:rsidP="00156382">
      <w:r w:rsidRPr="006828FC">
        <w:t xml:space="preserve">This work is licensed under a </w:t>
      </w:r>
      <w:hyperlink r:id="rId15" w:history="1">
        <w:r w:rsidRPr="006828FC">
          <w:rPr>
            <w:rStyle w:val="Hyperlink"/>
          </w:rPr>
          <w:t xml:space="preserve">Creative Commons Attribution </w:t>
        </w:r>
        <w:r>
          <w:rPr>
            <w:rStyle w:val="Hyperlink"/>
          </w:rPr>
          <w:t>4</w:t>
        </w:r>
        <w:r w:rsidRPr="006828FC">
          <w:rPr>
            <w:rStyle w:val="Hyperlink"/>
          </w:rPr>
          <w:t>.0 Australia licence</w:t>
        </w:r>
      </w:hyperlink>
      <w:r w:rsidRPr="006828FC">
        <w:t xml:space="preserve">. You are free to re-use the work under that licence, on the condition that you credit the State of Victoria as author. The licence does not apply to any images, </w:t>
      </w:r>
      <w:proofErr w:type="gramStart"/>
      <w:r w:rsidRPr="006828FC">
        <w:t>photographs</w:t>
      </w:r>
      <w:proofErr w:type="gramEnd"/>
      <w:r w:rsidRPr="006828FC">
        <w:t xml:space="preserve"> or branding, including the Victorian Coat of Arms, the Victorian Government logo and the Department of Treasury and Finance logo.</w:t>
      </w:r>
    </w:p>
    <w:p w14:paraId="6DA327CE" w14:textId="77777777" w:rsidR="00181C1F" w:rsidRPr="00236EE1" w:rsidRDefault="00156382" w:rsidP="00236EE1">
      <w:r w:rsidRPr="006828FC">
        <w:t xml:space="preserve">Copyright queries may be directed to </w:t>
      </w:r>
      <w:hyperlink r:id="rId16" w:history="1">
        <w:r w:rsidRPr="006828FC">
          <w:rPr>
            <w:rStyle w:val="Hyperlink"/>
          </w:rPr>
          <w:t>IPpolicy@dtf.vic.gov.au</w:t>
        </w:r>
      </w:hyperlink>
    </w:p>
    <w:sectPr w:rsidR="00181C1F" w:rsidRPr="00236EE1" w:rsidSect="001C7553">
      <w:headerReference w:type="default" r:id="rId17"/>
      <w:footerReference w:type="default" r:id="rId18"/>
      <w:headerReference w:type="first" r:id="rId19"/>
      <w:footerReference w:type="first" r:id="rId20"/>
      <w:pgSz w:w="16840" w:h="11901" w:orient="landscape" w:code="9"/>
      <w:pgMar w:top="1560" w:right="907" w:bottom="1418" w:left="1138" w:header="426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97AF" w14:textId="77777777" w:rsidR="00D25A68" w:rsidRDefault="00D25A68">
      <w:r>
        <w:separator/>
      </w:r>
    </w:p>
    <w:p w14:paraId="7DA10723" w14:textId="77777777" w:rsidR="00D25A68" w:rsidRDefault="00D25A68"/>
  </w:endnote>
  <w:endnote w:type="continuationSeparator" w:id="0">
    <w:p w14:paraId="63115FF7" w14:textId="77777777" w:rsidR="00D25A68" w:rsidRDefault="00D25A68">
      <w:r>
        <w:continuationSeparator/>
      </w:r>
    </w:p>
    <w:p w14:paraId="2C9B6059" w14:textId="77777777" w:rsidR="00D25A68" w:rsidRDefault="00D2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4E74" w14:textId="77777777" w:rsidR="009D5067" w:rsidRDefault="009D5067" w:rsidP="001C7553">
    <w:pPr>
      <w:pStyle w:val="Footer"/>
      <w:tabs>
        <w:tab w:val="clear" w:pos="8220"/>
        <w:tab w:val="right" w:pos="14742"/>
      </w:tabs>
      <w:jc w:val="left"/>
    </w:pPr>
    <w:r w:rsidRPr="009D5067">
      <w:t>Victorian Government Purchasing Board</w:t>
    </w:r>
  </w:p>
  <w:p w14:paraId="5102846B" w14:textId="77777777" w:rsidR="00C7437E" w:rsidRPr="009D7183" w:rsidRDefault="004E6BEE" w:rsidP="001C7553">
    <w:pPr>
      <w:pStyle w:val="Footer"/>
      <w:tabs>
        <w:tab w:val="clear" w:pos="8220"/>
        <w:tab w:val="right" w:pos="14742"/>
      </w:tabs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689D58EA" wp14:editId="7768F8DE">
              <wp:simplePos x="0" y="0"/>
              <wp:positionH relativeFrom="page">
                <wp:posOffset>0</wp:posOffset>
              </wp:positionH>
              <wp:positionV relativeFrom="page">
                <wp:posOffset>7099935</wp:posOffset>
              </wp:positionV>
              <wp:extent cx="10693400" cy="266700"/>
              <wp:effectExtent l="0" t="0" r="0" b="0"/>
              <wp:wrapNone/>
              <wp:docPr id="64" name="MSIPCM9813487da99d82274db7e97e" descr="{&quot;HashCode&quot;:-1267603503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46E409" w14:textId="77777777" w:rsidR="004E6BEE" w:rsidRPr="004E6BEE" w:rsidRDefault="004E6BEE" w:rsidP="004E6BEE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4E6BEE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D58EA" id="_x0000_t202" coordsize="21600,21600" o:spt="202" path="m,l,21600r21600,l21600,xe">
              <v:stroke joinstyle="miter"/>
              <v:path gradientshapeok="t" o:connecttype="rect"/>
            </v:shapetype>
            <v:shape id="MSIPCM9813487da99d82274db7e97e" o:spid="_x0000_s1026" type="#_x0000_t202" alt="{&quot;HashCode&quot;:-1267603503,&quot;Height&quot;:595.0,&quot;Width&quot;:842.0,&quot;Placement&quot;:&quot;Footer&quot;,&quot;Index&quot;:&quot;Primary&quot;,&quot;Section&quot;:1,&quot;Top&quot;:0.0,&quot;Left&quot;:0.0}" style="position:absolute;margin-left:0;margin-top:559.05pt;width:84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" o:allowincell="f" filled="f" stroked="f" strokeweight=".5pt">
              <v:textbox inset="20pt,0,,0">
                <w:txbxContent>
                  <w:p w14:paraId="6A46E409" w14:textId="77777777" w:rsidR="004E6BEE" w:rsidRPr="004E6BEE" w:rsidRDefault="004E6BEE" w:rsidP="004E6BEE">
                    <w:pPr>
                      <w:spacing w:before="0" w:after="0"/>
                      <w:rPr>
                        <w:color w:val="000000"/>
                      </w:rPr>
                    </w:pPr>
                    <w:r w:rsidRPr="004E6BEE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39558875"/>
        <w:docPartObj>
          <w:docPartGallery w:val="Page Numbers (Bottom of Page)"/>
          <w:docPartUnique/>
        </w:docPartObj>
      </w:sdtPr>
      <w:sdtContent>
        <w:sdt>
          <w:sdtPr>
            <w:id w:val="-159319070"/>
            <w:docPartObj>
              <w:docPartGallery w:val="Page Numbers (Top of Page)"/>
              <w:docPartUnique/>
            </w:docPartObj>
          </w:sdtPr>
          <w:sdtContent>
            <w:r w:rsidR="009D7183">
              <w:t>Detailed complexity assessment tool – Goods and services</w:t>
            </w:r>
            <w:r w:rsidR="009D7183">
              <w:br/>
            </w:r>
            <w:r w:rsidR="001C7553">
              <w:t>D</w:t>
            </w:r>
            <w:r w:rsidR="009D7183">
              <w:t>ecember 201</w:t>
            </w:r>
            <w:r w:rsidR="009D5067">
              <w:t>8</w:t>
            </w:r>
            <w:r w:rsidR="001C7553">
              <w:tab/>
            </w:r>
            <w:r w:rsidR="009D7183">
              <w:t xml:space="preserve">Page </w:t>
            </w:r>
            <w:r w:rsidR="009D7183">
              <w:rPr>
                <w:b/>
                <w:bCs/>
                <w:sz w:val="24"/>
                <w:szCs w:val="24"/>
              </w:rPr>
              <w:fldChar w:fldCharType="begin"/>
            </w:r>
            <w:r w:rsidR="009D7183">
              <w:rPr>
                <w:b/>
                <w:bCs/>
              </w:rPr>
              <w:instrText xml:space="preserve"> PAGE </w:instrText>
            </w:r>
            <w:r w:rsidR="009D7183">
              <w:rPr>
                <w:b/>
                <w:bCs/>
                <w:sz w:val="24"/>
                <w:szCs w:val="24"/>
              </w:rPr>
              <w:fldChar w:fldCharType="separate"/>
            </w:r>
            <w:r w:rsidR="009D7183">
              <w:rPr>
                <w:b/>
                <w:bCs/>
              </w:rPr>
              <w:t>2</w:t>
            </w:r>
            <w:r w:rsidR="009D7183">
              <w:rPr>
                <w:b/>
                <w:bCs/>
                <w:sz w:val="24"/>
                <w:szCs w:val="24"/>
              </w:rPr>
              <w:fldChar w:fldCharType="end"/>
            </w:r>
            <w:r w:rsidR="009D7183">
              <w:t xml:space="preserve"> of </w:t>
            </w:r>
            <w:r w:rsidR="009D7183">
              <w:rPr>
                <w:b/>
                <w:bCs/>
                <w:sz w:val="24"/>
                <w:szCs w:val="24"/>
              </w:rPr>
              <w:fldChar w:fldCharType="begin"/>
            </w:r>
            <w:r w:rsidR="009D7183">
              <w:rPr>
                <w:b/>
                <w:bCs/>
              </w:rPr>
              <w:instrText xml:space="preserve"> NUMPAGES  </w:instrText>
            </w:r>
            <w:r w:rsidR="009D7183">
              <w:rPr>
                <w:b/>
                <w:bCs/>
                <w:sz w:val="24"/>
                <w:szCs w:val="24"/>
              </w:rPr>
              <w:fldChar w:fldCharType="separate"/>
            </w:r>
            <w:r w:rsidR="009D7183">
              <w:rPr>
                <w:b/>
                <w:bCs/>
              </w:rPr>
              <w:t>2</w:t>
            </w:r>
            <w:r w:rsidR="009D71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33D3" w14:textId="77777777" w:rsidR="00C7437E" w:rsidRDefault="00C7437E" w:rsidP="003C0F49">
    <w:pPr>
      <w:pStyle w:val="Footer"/>
    </w:pPr>
    <w:r>
      <w:drawing>
        <wp:anchor distT="0" distB="0" distL="114300" distR="114300" simplePos="0" relativeHeight="251656704" behindDoc="0" locked="0" layoutInCell="1" allowOverlap="1" wp14:anchorId="05633694" wp14:editId="4A318EFA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952" cy="438912"/>
          <wp:effectExtent l="0" t="0" r="3175" b="0"/>
          <wp:wrapNone/>
          <wp:docPr id="63" name="Picture 63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E7EE" w14:textId="77777777" w:rsidR="00D25A68" w:rsidRDefault="00D25A68">
      <w:r>
        <w:separator/>
      </w:r>
    </w:p>
    <w:p w14:paraId="6B25815B" w14:textId="77777777" w:rsidR="00D25A68" w:rsidRDefault="00D25A68"/>
  </w:footnote>
  <w:footnote w:type="continuationSeparator" w:id="0">
    <w:p w14:paraId="7521790D" w14:textId="77777777" w:rsidR="00D25A68" w:rsidRDefault="00D25A68">
      <w:r>
        <w:continuationSeparator/>
      </w:r>
    </w:p>
    <w:p w14:paraId="202DF0D8" w14:textId="77777777" w:rsidR="00D25A68" w:rsidRDefault="00D25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A002" w14:textId="69F2821D" w:rsidR="00C7437E" w:rsidRPr="009D7183" w:rsidRDefault="009D7183" w:rsidP="009D7183">
    <w:pPr>
      <w:pStyle w:val="Header"/>
      <w:spacing w:before="240"/>
      <w:ind w:right="53"/>
      <w:rPr>
        <w:sz w:val="20"/>
        <w:szCs w:val="20"/>
      </w:rPr>
    </w:pPr>
    <w:r>
      <w:rPr>
        <w:sz w:val="20"/>
        <w:szCs w:val="20"/>
      </w:rPr>
      <w:t xml:space="preserve">Department of </w:t>
    </w:r>
    <w:r w:rsidR="009E0FEB">
      <w:rPr>
        <w:sz w:val="20"/>
        <w:szCs w:val="20"/>
      </w:rPr>
      <w:t>Government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9BBD" w14:textId="77777777" w:rsidR="00C7437E" w:rsidRPr="007602D7" w:rsidRDefault="00C7437E" w:rsidP="00B54F88">
    <w:pPr>
      <w:pStyle w:val="Header"/>
      <w:spacing w:before="240"/>
      <w:ind w:right="-461"/>
    </w:pPr>
    <w:r w:rsidRPr="000E286D">
      <w:drawing>
        <wp:anchor distT="0" distB="0" distL="114300" distR="114300" simplePos="0" relativeHeight="251658752" behindDoc="1" locked="0" layoutInCell="1" allowOverlap="1" wp14:anchorId="11205104" wp14:editId="1FD0BD61">
          <wp:simplePos x="0" y="0"/>
          <wp:positionH relativeFrom="column">
            <wp:posOffset>-731520</wp:posOffset>
          </wp:positionH>
          <wp:positionV relativeFrom="paragraph">
            <wp:posOffset>-200133</wp:posOffset>
          </wp:positionV>
          <wp:extent cx="560717" cy="10717356"/>
          <wp:effectExtent l="0" t="0" r="0" b="825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67559" cy="10848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25FDEB30" wp14:editId="193445B7">
          <wp:extent cx="2162175" cy="133350"/>
          <wp:effectExtent l="0" t="0" r="0" b="0"/>
          <wp:docPr id="6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0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1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2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3" w15:restartNumberingAfterBreak="0">
    <w:nsid w:val="206A30AC"/>
    <w:multiLevelType w:val="hybridMultilevel"/>
    <w:tmpl w:val="081A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5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18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0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1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2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4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27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28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29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0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2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3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4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5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6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7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 w16cid:durableId="1714117001">
    <w:abstractNumId w:val="3"/>
  </w:num>
  <w:num w:numId="2" w16cid:durableId="299116480">
    <w:abstractNumId w:val="0"/>
  </w:num>
  <w:num w:numId="3" w16cid:durableId="1392995638">
    <w:abstractNumId w:val="27"/>
  </w:num>
  <w:num w:numId="4" w16cid:durableId="1736464221">
    <w:abstractNumId w:val="19"/>
  </w:num>
  <w:num w:numId="5" w16cid:durableId="1067142050">
    <w:abstractNumId w:val="6"/>
  </w:num>
  <w:num w:numId="6" w16cid:durableId="256404373">
    <w:abstractNumId w:val="5"/>
  </w:num>
  <w:num w:numId="7" w16cid:durableId="1047687045">
    <w:abstractNumId w:val="4"/>
  </w:num>
  <w:num w:numId="8" w16cid:durableId="107551283">
    <w:abstractNumId w:val="32"/>
  </w:num>
  <w:num w:numId="9" w16cid:durableId="182288013">
    <w:abstractNumId w:val="21"/>
  </w:num>
  <w:num w:numId="10" w16cid:durableId="1828589625">
    <w:abstractNumId w:val="11"/>
  </w:num>
  <w:num w:numId="11" w16cid:durableId="632685323">
    <w:abstractNumId w:val="14"/>
  </w:num>
  <w:num w:numId="12" w16cid:durableId="1666200983">
    <w:abstractNumId w:val="31"/>
  </w:num>
  <w:num w:numId="13" w16cid:durableId="573703949">
    <w:abstractNumId w:val="15"/>
  </w:num>
  <w:num w:numId="14" w16cid:durableId="1817604054">
    <w:abstractNumId w:val="24"/>
  </w:num>
  <w:num w:numId="15" w16cid:durableId="1323661732">
    <w:abstractNumId w:val="22"/>
  </w:num>
  <w:num w:numId="16" w16cid:durableId="17829158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242303">
    <w:abstractNumId w:val="28"/>
  </w:num>
  <w:num w:numId="18" w16cid:durableId="475295789">
    <w:abstractNumId w:val="12"/>
  </w:num>
  <w:num w:numId="19" w16cid:durableId="1503811946">
    <w:abstractNumId w:val="2"/>
  </w:num>
  <w:num w:numId="20" w16cid:durableId="1112549408">
    <w:abstractNumId w:val="1"/>
  </w:num>
  <w:num w:numId="21" w16cid:durableId="2029258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8787104">
    <w:abstractNumId w:val="25"/>
  </w:num>
  <w:num w:numId="23" w16cid:durableId="651521558">
    <w:abstractNumId w:val="25"/>
    <w:lvlOverride w:ilvl="0">
      <w:startOverride w:val="1"/>
    </w:lvlOverride>
  </w:num>
  <w:num w:numId="24" w16cid:durableId="1703823876">
    <w:abstractNumId w:val="25"/>
    <w:lvlOverride w:ilvl="0">
      <w:startOverride w:val="1"/>
    </w:lvlOverride>
  </w:num>
  <w:num w:numId="25" w16cid:durableId="18991693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8571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98056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7026805">
    <w:abstractNumId w:val="8"/>
  </w:num>
  <w:num w:numId="29" w16cid:durableId="194271478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226"/>
    <w:rsid w:val="00006544"/>
    <w:rsid w:val="00010BD3"/>
    <w:rsid w:val="0001144C"/>
    <w:rsid w:val="00016492"/>
    <w:rsid w:val="00026C82"/>
    <w:rsid w:val="0004698A"/>
    <w:rsid w:val="00063BFD"/>
    <w:rsid w:val="00086691"/>
    <w:rsid w:val="00092D35"/>
    <w:rsid w:val="000949CB"/>
    <w:rsid w:val="000C141A"/>
    <w:rsid w:val="000C1C01"/>
    <w:rsid w:val="000C3368"/>
    <w:rsid w:val="000C3814"/>
    <w:rsid w:val="000E35A0"/>
    <w:rsid w:val="000E4881"/>
    <w:rsid w:val="000E5B4E"/>
    <w:rsid w:val="000F54E7"/>
    <w:rsid w:val="00104077"/>
    <w:rsid w:val="001213BE"/>
    <w:rsid w:val="001251C4"/>
    <w:rsid w:val="00126C86"/>
    <w:rsid w:val="00135230"/>
    <w:rsid w:val="00143A23"/>
    <w:rsid w:val="00156382"/>
    <w:rsid w:val="00157448"/>
    <w:rsid w:val="00164424"/>
    <w:rsid w:val="00181844"/>
    <w:rsid w:val="00181C1F"/>
    <w:rsid w:val="00184E1A"/>
    <w:rsid w:val="0018749C"/>
    <w:rsid w:val="001A695C"/>
    <w:rsid w:val="001A7B19"/>
    <w:rsid w:val="001B0B3F"/>
    <w:rsid w:val="001C0319"/>
    <w:rsid w:val="001C351D"/>
    <w:rsid w:val="001C6970"/>
    <w:rsid w:val="001C7553"/>
    <w:rsid w:val="001D0547"/>
    <w:rsid w:val="001D60E6"/>
    <w:rsid w:val="001E0A43"/>
    <w:rsid w:val="001E67A9"/>
    <w:rsid w:val="00205B35"/>
    <w:rsid w:val="002063AC"/>
    <w:rsid w:val="00225175"/>
    <w:rsid w:val="00233407"/>
    <w:rsid w:val="002344F7"/>
    <w:rsid w:val="00236EE1"/>
    <w:rsid w:val="00252F44"/>
    <w:rsid w:val="002578C1"/>
    <w:rsid w:val="00260106"/>
    <w:rsid w:val="00261A42"/>
    <w:rsid w:val="00267317"/>
    <w:rsid w:val="00267638"/>
    <w:rsid w:val="00283A24"/>
    <w:rsid w:val="002A18C2"/>
    <w:rsid w:val="002A4C3E"/>
    <w:rsid w:val="002C4EC9"/>
    <w:rsid w:val="002C6424"/>
    <w:rsid w:val="002E7EFC"/>
    <w:rsid w:val="002F2549"/>
    <w:rsid w:val="002F64DF"/>
    <w:rsid w:val="002F7AEB"/>
    <w:rsid w:val="00307CC0"/>
    <w:rsid w:val="00322500"/>
    <w:rsid w:val="00351035"/>
    <w:rsid w:val="0035331C"/>
    <w:rsid w:val="003738EE"/>
    <w:rsid w:val="00386859"/>
    <w:rsid w:val="00391977"/>
    <w:rsid w:val="00392E0C"/>
    <w:rsid w:val="003940A1"/>
    <w:rsid w:val="00394D1C"/>
    <w:rsid w:val="00394EA9"/>
    <w:rsid w:val="003969A2"/>
    <w:rsid w:val="003A32E0"/>
    <w:rsid w:val="003A4A87"/>
    <w:rsid w:val="003A647C"/>
    <w:rsid w:val="003B0731"/>
    <w:rsid w:val="003B5700"/>
    <w:rsid w:val="003B5EDB"/>
    <w:rsid w:val="003B6A2C"/>
    <w:rsid w:val="003C0F49"/>
    <w:rsid w:val="003D01BD"/>
    <w:rsid w:val="003E230C"/>
    <w:rsid w:val="003E66B9"/>
    <w:rsid w:val="003F016E"/>
    <w:rsid w:val="003F45D9"/>
    <w:rsid w:val="003F4E27"/>
    <w:rsid w:val="004113E1"/>
    <w:rsid w:val="00422FAB"/>
    <w:rsid w:val="00427659"/>
    <w:rsid w:val="00430A03"/>
    <w:rsid w:val="00444C21"/>
    <w:rsid w:val="004455A7"/>
    <w:rsid w:val="004510E9"/>
    <w:rsid w:val="00451758"/>
    <w:rsid w:val="00462DB3"/>
    <w:rsid w:val="00466D77"/>
    <w:rsid w:val="00467979"/>
    <w:rsid w:val="00475FC8"/>
    <w:rsid w:val="00480708"/>
    <w:rsid w:val="00490036"/>
    <w:rsid w:val="004907E5"/>
    <w:rsid w:val="004A2DD7"/>
    <w:rsid w:val="004A460D"/>
    <w:rsid w:val="004B0978"/>
    <w:rsid w:val="004B534D"/>
    <w:rsid w:val="004B6D7B"/>
    <w:rsid w:val="004C7E27"/>
    <w:rsid w:val="004D7D40"/>
    <w:rsid w:val="004E6BEE"/>
    <w:rsid w:val="004F1A9B"/>
    <w:rsid w:val="005013B3"/>
    <w:rsid w:val="00505FD8"/>
    <w:rsid w:val="00506E38"/>
    <w:rsid w:val="0051295C"/>
    <w:rsid w:val="005155EC"/>
    <w:rsid w:val="00535B0C"/>
    <w:rsid w:val="00536699"/>
    <w:rsid w:val="0054032A"/>
    <w:rsid w:val="00542A7C"/>
    <w:rsid w:val="00547BAC"/>
    <w:rsid w:val="005530CD"/>
    <w:rsid w:val="00562809"/>
    <w:rsid w:val="005637F1"/>
    <w:rsid w:val="00564D54"/>
    <w:rsid w:val="005733B2"/>
    <w:rsid w:val="00573DFF"/>
    <w:rsid w:val="00574189"/>
    <w:rsid w:val="00577C5A"/>
    <w:rsid w:val="00582BAC"/>
    <w:rsid w:val="00583851"/>
    <w:rsid w:val="005867F0"/>
    <w:rsid w:val="005A2294"/>
    <w:rsid w:val="005A51DC"/>
    <w:rsid w:val="005B7317"/>
    <w:rsid w:val="005C470A"/>
    <w:rsid w:val="005C69CC"/>
    <w:rsid w:val="005D3801"/>
    <w:rsid w:val="005D502E"/>
    <w:rsid w:val="005E006C"/>
    <w:rsid w:val="005E32AE"/>
    <w:rsid w:val="005F0BBF"/>
    <w:rsid w:val="005F6958"/>
    <w:rsid w:val="00610AFF"/>
    <w:rsid w:val="00645ADA"/>
    <w:rsid w:val="00647E27"/>
    <w:rsid w:val="00662658"/>
    <w:rsid w:val="00662F3F"/>
    <w:rsid w:val="006666E4"/>
    <w:rsid w:val="0066682B"/>
    <w:rsid w:val="00670B66"/>
    <w:rsid w:val="006717AB"/>
    <w:rsid w:val="00677AD1"/>
    <w:rsid w:val="0068495A"/>
    <w:rsid w:val="006866A7"/>
    <w:rsid w:val="006913E2"/>
    <w:rsid w:val="00692CFF"/>
    <w:rsid w:val="00694E47"/>
    <w:rsid w:val="006A2E63"/>
    <w:rsid w:val="006A627F"/>
    <w:rsid w:val="006A7D93"/>
    <w:rsid w:val="006A7ED6"/>
    <w:rsid w:val="006B074A"/>
    <w:rsid w:val="006B11CE"/>
    <w:rsid w:val="006B7B88"/>
    <w:rsid w:val="006C23AC"/>
    <w:rsid w:val="006D5226"/>
    <w:rsid w:val="006D53EF"/>
    <w:rsid w:val="006D5BDC"/>
    <w:rsid w:val="006E376A"/>
    <w:rsid w:val="006E6398"/>
    <w:rsid w:val="006E6C70"/>
    <w:rsid w:val="006F26D4"/>
    <w:rsid w:val="007003BC"/>
    <w:rsid w:val="00704015"/>
    <w:rsid w:val="0070452F"/>
    <w:rsid w:val="00706BFC"/>
    <w:rsid w:val="00715221"/>
    <w:rsid w:val="0071554E"/>
    <w:rsid w:val="00721AE2"/>
    <w:rsid w:val="0072437E"/>
    <w:rsid w:val="00724EA7"/>
    <w:rsid w:val="007254AC"/>
    <w:rsid w:val="00731D56"/>
    <w:rsid w:val="0073778D"/>
    <w:rsid w:val="00745F07"/>
    <w:rsid w:val="00747EAA"/>
    <w:rsid w:val="00752AD5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A6388"/>
    <w:rsid w:val="007B0E7B"/>
    <w:rsid w:val="007B4F5D"/>
    <w:rsid w:val="007B511D"/>
    <w:rsid w:val="007B546A"/>
    <w:rsid w:val="007C0F87"/>
    <w:rsid w:val="007C35C1"/>
    <w:rsid w:val="007C7C80"/>
    <w:rsid w:val="007D6194"/>
    <w:rsid w:val="007D65D4"/>
    <w:rsid w:val="00803B4C"/>
    <w:rsid w:val="00810AB4"/>
    <w:rsid w:val="00813444"/>
    <w:rsid w:val="00813D23"/>
    <w:rsid w:val="00820D82"/>
    <w:rsid w:val="00821B10"/>
    <w:rsid w:val="0082311D"/>
    <w:rsid w:val="00840293"/>
    <w:rsid w:val="008410D5"/>
    <w:rsid w:val="008433CF"/>
    <w:rsid w:val="00846677"/>
    <w:rsid w:val="008645CD"/>
    <w:rsid w:val="0087108A"/>
    <w:rsid w:val="00872CD7"/>
    <w:rsid w:val="00886A1C"/>
    <w:rsid w:val="008A0802"/>
    <w:rsid w:val="008A3BC9"/>
    <w:rsid w:val="008A3BE3"/>
    <w:rsid w:val="008B00A2"/>
    <w:rsid w:val="008B7C35"/>
    <w:rsid w:val="008C5DD9"/>
    <w:rsid w:val="008D2825"/>
    <w:rsid w:val="008D4609"/>
    <w:rsid w:val="008D74B1"/>
    <w:rsid w:val="008E5070"/>
    <w:rsid w:val="008E7403"/>
    <w:rsid w:val="008F1C0C"/>
    <w:rsid w:val="00900A09"/>
    <w:rsid w:val="00900D4F"/>
    <w:rsid w:val="009074D9"/>
    <w:rsid w:val="00915450"/>
    <w:rsid w:val="0091711E"/>
    <w:rsid w:val="00925CAA"/>
    <w:rsid w:val="00933996"/>
    <w:rsid w:val="009342B3"/>
    <w:rsid w:val="00951F3D"/>
    <w:rsid w:val="00954D3D"/>
    <w:rsid w:val="00955A9F"/>
    <w:rsid w:val="00956416"/>
    <w:rsid w:val="009572B6"/>
    <w:rsid w:val="009647C8"/>
    <w:rsid w:val="00967F9A"/>
    <w:rsid w:val="0098017E"/>
    <w:rsid w:val="0098787E"/>
    <w:rsid w:val="00993D1E"/>
    <w:rsid w:val="009A419F"/>
    <w:rsid w:val="009A6A13"/>
    <w:rsid w:val="009C2652"/>
    <w:rsid w:val="009C2923"/>
    <w:rsid w:val="009C3719"/>
    <w:rsid w:val="009C51C5"/>
    <w:rsid w:val="009C634B"/>
    <w:rsid w:val="009C759C"/>
    <w:rsid w:val="009D19FA"/>
    <w:rsid w:val="009D34EB"/>
    <w:rsid w:val="009D5067"/>
    <w:rsid w:val="009D7183"/>
    <w:rsid w:val="009E0FEB"/>
    <w:rsid w:val="009E5467"/>
    <w:rsid w:val="009E5F72"/>
    <w:rsid w:val="00A135CF"/>
    <w:rsid w:val="00A23384"/>
    <w:rsid w:val="00A26015"/>
    <w:rsid w:val="00A37A4F"/>
    <w:rsid w:val="00A40F98"/>
    <w:rsid w:val="00A46E38"/>
    <w:rsid w:val="00A5202A"/>
    <w:rsid w:val="00A6456E"/>
    <w:rsid w:val="00A67EEB"/>
    <w:rsid w:val="00A8571E"/>
    <w:rsid w:val="00A87845"/>
    <w:rsid w:val="00A90F14"/>
    <w:rsid w:val="00AC27DA"/>
    <w:rsid w:val="00AC476E"/>
    <w:rsid w:val="00AD2349"/>
    <w:rsid w:val="00AE6C2E"/>
    <w:rsid w:val="00AE7BC6"/>
    <w:rsid w:val="00AE7ED9"/>
    <w:rsid w:val="00AF3197"/>
    <w:rsid w:val="00AF63CF"/>
    <w:rsid w:val="00AF7E39"/>
    <w:rsid w:val="00B10361"/>
    <w:rsid w:val="00B12BD8"/>
    <w:rsid w:val="00B217D9"/>
    <w:rsid w:val="00B3351E"/>
    <w:rsid w:val="00B44C41"/>
    <w:rsid w:val="00B54F88"/>
    <w:rsid w:val="00B57C72"/>
    <w:rsid w:val="00B60925"/>
    <w:rsid w:val="00B62165"/>
    <w:rsid w:val="00B70AFF"/>
    <w:rsid w:val="00B82136"/>
    <w:rsid w:val="00B96F20"/>
    <w:rsid w:val="00BA277B"/>
    <w:rsid w:val="00BA7830"/>
    <w:rsid w:val="00BC0888"/>
    <w:rsid w:val="00BC60A9"/>
    <w:rsid w:val="00BD45AA"/>
    <w:rsid w:val="00BD7032"/>
    <w:rsid w:val="00BE09D0"/>
    <w:rsid w:val="00BE1393"/>
    <w:rsid w:val="00C01977"/>
    <w:rsid w:val="00C16FF3"/>
    <w:rsid w:val="00C252AE"/>
    <w:rsid w:val="00C3191D"/>
    <w:rsid w:val="00C41C46"/>
    <w:rsid w:val="00C45AB2"/>
    <w:rsid w:val="00C71D9D"/>
    <w:rsid w:val="00C7437E"/>
    <w:rsid w:val="00C81316"/>
    <w:rsid w:val="00C8495B"/>
    <w:rsid w:val="00C850E0"/>
    <w:rsid w:val="00CA1577"/>
    <w:rsid w:val="00CA4310"/>
    <w:rsid w:val="00CB72F7"/>
    <w:rsid w:val="00CB793A"/>
    <w:rsid w:val="00CE2166"/>
    <w:rsid w:val="00D000C1"/>
    <w:rsid w:val="00D06C25"/>
    <w:rsid w:val="00D25A68"/>
    <w:rsid w:val="00D31E02"/>
    <w:rsid w:val="00D355EE"/>
    <w:rsid w:val="00D40B9E"/>
    <w:rsid w:val="00D456E5"/>
    <w:rsid w:val="00D537C6"/>
    <w:rsid w:val="00D57AA5"/>
    <w:rsid w:val="00D75112"/>
    <w:rsid w:val="00D75501"/>
    <w:rsid w:val="00D80AEE"/>
    <w:rsid w:val="00D90B1F"/>
    <w:rsid w:val="00D9495D"/>
    <w:rsid w:val="00D955F9"/>
    <w:rsid w:val="00DA4453"/>
    <w:rsid w:val="00DB464D"/>
    <w:rsid w:val="00DB4C5B"/>
    <w:rsid w:val="00DB5A6E"/>
    <w:rsid w:val="00DB74A7"/>
    <w:rsid w:val="00DC3EAB"/>
    <w:rsid w:val="00DD2C1F"/>
    <w:rsid w:val="00DD4AC6"/>
    <w:rsid w:val="00DD6206"/>
    <w:rsid w:val="00DE3260"/>
    <w:rsid w:val="00DE5983"/>
    <w:rsid w:val="00DE7990"/>
    <w:rsid w:val="00E03C3C"/>
    <w:rsid w:val="00E05F22"/>
    <w:rsid w:val="00E12836"/>
    <w:rsid w:val="00E15C02"/>
    <w:rsid w:val="00E20BB5"/>
    <w:rsid w:val="00E23EC0"/>
    <w:rsid w:val="00E32EDE"/>
    <w:rsid w:val="00E3726E"/>
    <w:rsid w:val="00E46801"/>
    <w:rsid w:val="00E500D1"/>
    <w:rsid w:val="00E5224A"/>
    <w:rsid w:val="00E557E9"/>
    <w:rsid w:val="00E56A9F"/>
    <w:rsid w:val="00E7585E"/>
    <w:rsid w:val="00E97E50"/>
    <w:rsid w:val="00EA07C3"/>
    <w:rsid w:val="00EA33FC"/>
    <w:rsid w:val="00EB2189"/>
    <w:rsid w:val="00EC1C00"/>
    <w:rsid w:val="00EC3714"/>
    <w:rsid w:val="00EC708F"/>
    <w:rsid w:val="00ED03A1"/>
    <w:rsid w:val="00ED45BB"/>
    <w:rsid w:val="00EE7442"/>
    <w:rsid w:val="00EF03B9"/>
    <w:rsid w:val="00EF17FB"/>
    <w:rsid w:val="00EF637C"/>
    <w:rsid w:val="00F006B6"/>
    <w:rsid w:val="00F00827"/>
    <w:rsid w:val="00F031EB"/>
    <w:rsid w:val="00F10298"/>
    <w:rsid w:val="00F15703"/>
    <w:rsid w:val="00F23661"/>
    <w:rsid w:val="00F2435D"/>
    <w:rsid w:val="00F2502B"/>
    <w:rsid w:val="00F25823"/>
    <w:rsid w:val="00F2617F"/>
    <w:rsid w:val="00F26F35"/>
    <w:rsid w:val="00F31235"/>
    <w:rsid w:val="00F355BA"/>
    <w:rsid w:val="00F42424"/>
    <w:rsid w:val="00F42854"/>
    <w:rsid w:val="00F52F0F"/>
    <w:rsid w:val="00F556D2"/>
    <w:rsid w:val="00F57633"/>
    <w:rsid w:val="00F67E0A"/>
    <w:rsid w:val="00F74802"/>
    <w:rsid w:val="00F75426"/>
    <w:rsid w:val="00F85551"/>
    <w:rsid w:val="00FA0273"/>
    <w:rsid w:val="00FA5DF4"/>
    <w:rsid w:val="00FB6B27"/>
    <w:rsid w:val="00FC023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1896EC2A"/>
  <w15:docId w15:val="{53ECE5F7-8850-47CD-97C3-561B7EC8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1E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4B0978"/>
    <w:pPr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4B0978"/>
    <w:pPr>
      <w:spacing w:before="12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4B0978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564D54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803B4C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E23EC0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9E5F72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E23EC0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F2502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62658"/>
    <w:pPr>
      <w:spacing w:after="120"/>
    </w:pPr>
  </w:style>
  <w:style w:type="paragraph" w:customStyle="1" w:styleId="Bullet1">
    <w:name w:val="Bullet 1"/>
    <w:basedOn w:val="Normal"/>
    <w:uiPriority w:val="11"/>
    <w:qFormat/>
    <w:rsid w:val="00D57AA5"/>
    <w:pPr>
      <w:numPr>
        <w:numId w:val="4"/>
      </w:numPr>
      <w:spacing w:before="0" w:after="0"/>
    </w:pPr>
  </w:style>
  <w:style w:type="character" w:styleId="CommentReference">
    <w:name w:val="annotation reference"/>
    <w:uiPriority w:val="99"/>
    <w:semiHidden/>
    <w:rsid w:val="00F2502B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F2502B"/>
  </w:style>
  <w:style w:type="character" w:styleId="EndnoteReference">
    <w:name w:val="endnote reference"/>
    <w:uiPriority w:val="49"/>
    <w:semiHidden/>
    <w:rsid w:val="00F2502B"/>
    <w:rPr>
      <w:vertAlign w:val="superscript"/>
    </w:rPr>
  </w:style>
  <w:style w:type="paragraph" w:styleId="EndnoteText">
    <w:name w:val="endnote text"/>
    <w:basedOn w:val="Normal"/>
    <w:uiPriority w:val="49"/>
    <w:semiHidden/>
    <w:rsid w:val="00F2502B"/>
  </w:style>
  <w:style w:type="paragraph" w:styleId="Footer">
    <w:name w:val="footer"/>
    <w:link w:val="FooterChar"/>
    <w:uiPriority w:val="99"/>
    <w:rsid w:val="00B54F88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F2502B"/>
    <w:rPr>
      <w:vertAlign w:val="superscript"/>
    </w:rPr>
  </w:style>
  <w:style w:type="paragraph" w:styleId="FootnoteText">
    <w:name w:val="footnote text"/>
    <w:basedOn w:val="Normal"/>
    <w:uiPriority w:val="49"/>
    <w:semiHidden/>
    <w:rsid w:val="00F2502B"/>
  </w:style>
  <w:style w:type="character" w:styleId="Hyperlink">
    <w:name w:val="Hyperlink"/>
    <w:uiPriority w:val="99"/>
    <w:semiHidden/>
    <w:rsid w:val="005867F0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F2502B"/>
  </w:style>
  <w:style w:type="paragraph" w:styleId="MacroText">
    <w:name w:val="macro"/>
    <w:uiPriority w:val="49"/>
    <w:semiHidden/>
    <w:rsid w:val="00F2502B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E12836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ED45BB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F2502B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B12BD8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9074D9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1D0547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1D0547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D57AA5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A8571E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F2502B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1C0319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F2502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F2502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F2502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F2502B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3F45D9"/>
    <w:pPr>
      <w:numPr>
        <w:numId w:val="13"/>
      </w:numPr>
    </w:pPr>
  </w:style>
  <w:style w:type="paragraph" w:styleId="BodyText2">
    <w:name w:val="Body Text 2"/>
    <w:basedOn w:val="Normal"/>
    <w:semiHidden/>
    <w:rsid w:val="00662658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3F45D9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F2502B"/>
    <w:rPr>
      <w:b/>
    </w:rPr>
  </w:style>
  <w:style w:type="paragraph" w:styleId="BalloonText">
    <w:name w:val="Balloon Text"/>
    <w:basedOn w:val="Normal"/>
    <w:uiPriority w:val="49"/>
    <w:semiHidden/>
    <w:rsid w:val="00F2502B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F2502B"/>
    <w:pPr>
      <w:spacing w:after="120"/>
      <w:ind w:left="1440" w:right="1440"/>
    </w:pPr>
  </w:style>
  <w:style w:type="paragraph" w:styleId="BodyText3">
    <w:name w:val="Body Text 3"/>
    <w:basedOn w:val="Normal"/>
    <w:semiHidden/>
    <w:rsid w:val="0066265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62658"/>
    <w:pPr>
      <w:ind w:firstLine="210"/>
    </w:pPr>
  </w:style>
  <w:style w:type="paragraph" w:styleId="BodyTextIndent">
    <w:name w:val="Body Text Indent"/>
    <w:basedOn w:val="Normal"/>
    <w:semiHidden/>
    <w:rsid w:val="0066265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62658"/>
    <w:pPr>
      <w:ind w:firstLine="210"/>
    </w:pPr>
  </w:style>
  <w:style w:type="paragraph" w:styleId="BodyTextIndent2">
    <w:name w:val="Body Text Indent 2"/>
    <w:basedOn w:val="Normal"/>
    <w:semiHidden/>
    <w:rsid w:val="0066265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62658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662658"/>
  </w:style>
  <w:style w:type="paragraph" w:styleId="Closing">
    <w:name w:val="Closing"/>
    <w:basedOn w:val="Normal"/>
    <w:uiPriority w:val="49"/>
    <w:semiHidden/>
    <w:rsid w:val="00F2502B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F2502B"/>
    <w:rPr>
      <w:b/>
      <w:bCs/>
    </w:rPr>
  </w:style>
  <w:style w:type="paragraph" w:styleId="DocumentMap">
    <w:name w:val="Document Map"/>
    <w:basedOn w:val="Normal"/>
    <w:uiPriority w:val="49"/>
    <w:semiHidden/>
    <w:rsid w:val="00F2502B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F2502B"/>
  </w:style>
  <w:style w:type="paragraph" w:styleId="EnvelopeAddress">
    <w:name w:val="envelope address"/>
    <w:basedOn w:val="Normal"/>
    <w:uiPriority w:val="49"/>
    <w:semiHidden/>
    <w:rsid w:val="00F2502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F2502B"/>
  </w:style>
  <w:style w:type="paragraph" w:styleId="HTMLAddress">
    <w:name w:val="HTML Address"/>
    <w:basedOn w:val="Normal"/>
    <w:uiPriority w:val="49"/>
    <w:semiHidden/>
    <w:rsid w:val="00F2502B"/>
    <w:rPr>
      <w:i/>
      <w:iCs/>
    </w:rPr>
  </w:style>
  <w:style w:type="paragraph" w:styleId="HTMLPreformatted">
    <w:name w:val="HTML Preformatted"/>
    <w:basedOn w:val="Normal"/>
    <w:uiPriority w:val="49"/>
    <w:semiHidden/>
    <w:rsid w:val="00F2502B"/>
  </w:style>
  <w:style w:type="paragraph" w:styleId="Index1">
    <w:name w:val="index 1"/>
    <w:basedOn w:val="Normal"/>
    <w:next w:val="Normal"/>
    <w:autoRedefine/>
    <w:uiPriority w:val="49"/>
    <w:semiHidden/>
    <w:rsid w:val="00F2502B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2502B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2502B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2502B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2502B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2502B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2502B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2502B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2502B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F2502B"/>
    <w:rPr>
      <w:b/>
      <w:bCs/>
    </w:rPr>
  </w:style>
  <w:style w:type="paragraph" w:styleId="List">
    <w:name w:val="List"/>
    <w:basedOn w:val="Normal"/>
    <w:uiPriority w:val="49"/>
    <w:semiHidden/>
    <w:rsid w:val="00F2502B"/>
    <w:pPr>
      <w:ind w:left="283" w:hanging="283"/>
    </w:pPr>
  </w:style>
  <w:style w:type="paragraph" w:styleId="List2">
    <w:name w:val="List 2"/>
    <w:basedOn w:val="Normal"/>
    <w:uiPriority w:val="49"/>
    <w:semiHidden/>
    <w:rsid w:val="00F2502B"/>
    <w:pPr>
      <w:ind w:left="566" w:hanging="283"/>
    </w:pPr>
  </w:style>
  <w:style w:type="paragraph" w:styleId="List3">
    <w:name w:val="List 3"/>
    <w:basedOn w:val="Normal"/>
    <w:uiPriority w:val="49"/>
    <w:semiHidden/>
    <w:rsid w:val="00F2502B"/>
    <w:pPr>
      <w:ind w:left="849" w:hanging="283"/>
    </w:pPr>
  </w:style>
  <w:style w:type="paragraph" w:styleId="List4">
    <w:name w:val="List 4"/>
    <w:basedOn w:val="Normal"/>
    <w:uiPriority w:val="49"/>
    <w:semiHidden/>
    <w:rsid w:val="00F2502B"/>
    <w:pPr>
      <w:ind w:left="1132" w:hanging="283"/>
    </w:pPr>
  </w:style>
  <w:style w:type="paragraph" w:styleId="List5">
    <w:name w:val="List 5"/>
    <w:basedOn w:val="Normal"/>
    <w:uiPriority w:val="49"/>
    <w:semiHidden/>
    <w:rsid w:val="00F2502B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F2502B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F2502B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F25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F2502B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F2502B"/>
  </w:style>
  <w:style w:type="paragraph" w:styleId="Salutation">
    <w:name w:val="Salutation"/>
    <w:basedOn w:val="Normal"/>
    <w:next w:val="Normal"/>
    <w:uiPriority w:val="49"/>
    <w:semiHidden/>
    <w:rsid w:val="00F2502B"/>
  </w:style>
  <w:style w:type="paragraph" w:styleId="Signature">
    <w:name w:val="Signature"/>
    <w:basedOn w:val="Normal"/>
    <w:uiPriority w:val="49"/>
    <w:semiHidden/>
    <w:rsid w:val="00F2502B"/>
    <w:pPr>
      <w:ind w:left="4252"/>
    </w:pPr>
  </w:style>
  <w:style w:type="paragraph" w:styleId="Subtitle">
    <w:name w:val="Subtitle"/>
    <w:basedOn w:val="Normal"/>
    <w:uiPriority w:val="29"/>
    <w:qFormat/>
    <w:rsid w:val="009C2652"/>
    <w:pPr>
      <w:spacing w:before="0" w:line="240" w:lineRule="auto"/>
      <w:ind w:right="4536"/>
    </w:pPr>
    <w:rPr>
      <w:color w:val="4C4C4C"/>
      <w:sz w:val="40"/>
      <w:szCs w:val="24"/>
    </w:rPr>
  </w:style>
  <w:style w:type="paragraph" w:styleId="TOAHeading">
    <w:name w:val="toa heading"/>
    <w:basedOn w:val="Normal"/>
    <w:next w:val="Normal"/>
    <w:uiPriority w:val="39"/>
    <w:semiHidden/>
    <w:rsid w:val="00F2502B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70452F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1D60E6"/>
    <w:pPr>
      <w:numPr>
        <w:numId w:val="17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F2502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7602D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577C5A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F006B6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7003B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7003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1D60E6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1D60E6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E12836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1D60E6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7AA5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1D60E6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7003BC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F25823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3F45D9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7003BC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B12BD8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7003BC"/>
    <w:rPr>
      <w:b/>
    </w:rPr>
  </w:style>
  <w:style w:type="paragraph" w:styleId="ListNumber2">
    <w:name w:val="List Number 2"/>
    <w:basedOn w:val="Normal"/>
    <w:uiPriority w:val="7"/>
    <w:semiHidden/>
    <w:rsid w:val="007003BC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F2502B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0F8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E5224A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E5224A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715221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7003BC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9A419F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D45BB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51295C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010BD3"/>
    <w:pPr>
      <w:ind w:left="720"/>
      <w:contextualSpacing/>
    </w:pPr>
  </w:style>
  <w:style w:type="paragraph" w:styleId="NormalIndent">
    <w:name w:val="Normal Indent"/>
    <w:basedOn w:val="Normal"/>
    <w:semiHidden/>
    <w:rsid w:val="00ED45BB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AE6C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670B66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670B66"/>
    <w:rPr>
      <w:i/>
      <w:iCs/>
    </w:rPr>
  </w:style>
  <w:style w:type="character" w:styleId="FollowedHyperlink">
    <w:name w:val="FollowedHyperlink"/>
    <w:uiPriority w:val="99"/>
    <w:semiHidden/>
    <w:unhideWhenUsed/>
    <w:rsid w:val="00670B66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670B66"/>
  </w:style>
  <w:style w:type="character" w:styleId="HTMLCite">
    <w:name w:val="HTML Cite"/>
    <w:uiPriority w:val="99"/>
    <w:semiHidden/>
    <w:rsid w:val="00670B66"/>
    <w:rPr>
      <w:i/>
      <w:iCs/>
    </w:rPr>
  </w:style>
  <w:style w:type="character" w:styleId="HTMLCode">
    <w:name w:val="HTML Code"/>
    <w:uiPriority w:val="99"/>
    <w:semiHidden/>
    <w:rsid w:val="00670B66"/>
    <w:rPr>
      <w:sz w:val="20"/>
      <w:szCs w:val="20"/>
    </w:rPr>
  </w:style>
  <w:style w:type="character" w:styleId="HTMLDefinition">
    <w:name w:val="HTML Definition"/>
    <w:uiPriority w:val="99"/>
    <w:semiHidden/>
    <w:rsid w:val="00670B66"/>
    <w:rPr>
      <w:i/>
      <w:iCs/>
    </w:rPr>
  </w:style>
  <w:style w:type="character" w:styleId="HTMLKeyboard">
    <w:name w:val="HTML Keyboard"/>
    <w:uiPriority w:val="99"/>
    <w:semiHidden/>
    <w:rsid w:val="00670B66"/>
    <w:rPr>
      <w:sz w:val="20"/>
      <w:szCs w:val="20"/>
    </w:rPr>
  </w:style>
  <w:style w:type="character" w:styleId="HTMLSample">
    <w:name w:val="HTML Sample"/>
    <w:uiPriority w:val="99"/>
    <w:semiHidden/>
    <w:rsid w:val="00670B66"/>
    <w:rPr>
      <w:sz w:val="24"/>
      <w:szCs w:val="24"/>
    </w:rPr>
  </w:style>
  <w:style w:type="character" w:styleId="HTMLTypewriter">
    <w:name w:val="HTML Typewriter"/>
    <w:uiPriority w:val="99"/>
    <w:semiHidden/>
    <w:rsid w:val="00670B66"/>
    <w:rPr>
      <w:sz w:val="20"/>
      <w:szCs w:val="20"/>
    </w:rPr>
  </w:style>
  <w:style w:type="character" w:styleId="HTMLVariable">
    <w:name w:val="HTML Variable"/>
    <w:uiPriority w:val="99"/>
    <w:semiHidden/>
    <w:rsid w:val="00670B66"/>
    <w:rPr>
      <w:i/>
      <w:iCs/>
    </w:rPr>
  </w:style>
  <w:style w:type="character" w:styleId="PlaceholderText">
    <w:name w:val="Placeholder Text"/>
    <w:uiPriority w:val="99"/>
    <w:semiHidden/>
    <w:rsid w:val="00670B66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3F45D9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5E006C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77512D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F74802"/>
    <w:pPr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3F45D9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3F45D9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3F45D9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3F45D9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3F45D9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6C23AC"/>
    <w:pPr>
      <w:numPr>
        <w:ilvl w:val="0"/>
      </w:numPr>
    </w:pPr>
  </w:style>
  <w:style w:type="paragraph" w:customStyle="1" w:styleId="Num1">
    <w:name w:val="Num1"/>
    <w:basedOn w:val="Normal"/>
    <w:rsid w:val="00026C82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B0978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026C82"/>
    <w:pPr>
      <w:numPr>
        <w:ilvl w:val="1"/>
        <w:numId w:val="28"/>
      </w:numPr>
    </w:pPr>
  </w:style>
  <w:style w:type="paragraph" w:customStyle="1" w:styleId="Num3">
    <w:name w:val="Num3"/>
    <w:basedOn w:val="Normal"/>
    <w:rsid w:val="00026C82"/>
    <w:pPr>
      <w:numPr>
        <w:ilvl w:val="2"/>
        <w:numId w:val="28"/>
      </w:numPr>
    </w:pPr>
  </w:style>
  <w:style w:type="paragraph" w:customStyle="1" w:styleId="CharCharCharChar">
    <w:name w:val="Char Char Char Char"/>
    <w:basedOn w:val="Normal"/>
    <w:semiHidden/>
    <w:rsid w:val="00236EE1"/>
    <w:pPr>
      <w:spacing w:before="0"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802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reativecommons.org/licenses/by/3.0/a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uyingfor.vic.gov.au/complexity-goods-and-services-procurement-gui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Ppolicy@dtf.vi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/3.0/au/" TargetMode="Externa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6C07DB-7BED-4EC6-95EB-5B10D77FB3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Deidre Steain</dc:creator>
  <dc:description>TRIM Record Number: in TRIM database:PT</dc:description>
  <cp:lastModifiedBy>Vanessa Coles</cp:lastModifiedBy>
  <cp:revision>2</cp:revision>
  <cp:lastPrinted>2014-10-30T03:52:00Z</cp:lastPrinted>
  <dcterms:created xsi:type="dcterms:W3CDTF">2024-07-22T03:22:00Z</dcterms:created>
  <dcterms:modified xsi:type="dcterms:W3CDTF">2024-07-22T03:22:00Z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c56d6c8b-4273-448a-944d-93734c494870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Owner">
    <vt:lpwstr>athena.rozenberg@dtf.vic.gov.au</vt:lpwstr>
  </property>
  <property fmtid="{D5CDD505-2E9C-101B-9397-08002B2CF9AE}" pid="12" name="MSIP_Label_7158ebbd-6c5e-441f-bfc9-4eb8c11e3978_SetDate">
    <vt:lpwstr>2019-08-31T06:20:37.7574457Z</vt:lpwstr>
  </property>
  <property fmtid="{D5CDD505-2E9C-101B-9397-08002B2CF9AE}" pid="13" name="MSIP_Label_7158ebbd-6c5e-441f-bfc9-4eb8c11e3978_Name">
    <vt:lpwstr>OFFICIAL</vt:lpwstr>
  </property>
  <property fmtid="{D5CDD505-2E9C-101B-9397-08002B2CF9AE}" pid="14" name="MSIP_Label_7158ebbd-6c5e-441f-bfc9-4eb8c11e3978_Application">
    <vt:lpwstr>Microsoft Azure Information Protection</vt:lpwstr>
  </property>
  <property fmtid="{D5CDD505-2E9C-101B-9397-08002B2CF9AE}" pid="15" name="MSIP_Label_7158ebbd-6c5e-441f-bfc9-4eb8c11e3978_Extended_MSFT_Method">
    <vt:lpwstr>Manual</vt:lpwstr>
  </property>
  <property fmtid="{D5CDD505-2E9C-101B-9397-08002B2CF9AE}" pid="16" name="Sensitivity">
    <vt:lpwstr>OFFICIAL</vt:lpwstr>
  </property>
</Properties>
</file>