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3FD1" w14:textId="4C45039D" w:rsidR="00E500D1" w:rsidRPr="00E074C6" w:rsidRDefault="00365045" w:rsidP="00E074C6">
      <w:pPr>
        <w:pStyle w:val="Heading1"/>
        <w:rPr>
          <w:b/>
          <w:color w:val="7030A0"/>
          <w:sz w:val="36"/>
          <w:szCs w:val="36"/>
        </w:rPr>
      </w:pPr>
      <w:r w:rsidRPr="00E074C6">
        <w:rPr>
          <w:b/>
          <w:color w:val="7030A0"/>
          <w:sz w:val="36"/>
          <w:szCs w:val="36"/>
        </w:rPr>
        <w:t>Improv</w:t>
      </w:r>
      <w:r w:rsidR="00582F00">
        <w:rPr>
          <w:b/>
          <w:color w:val="7030A0"/>
          <w:sz w:val="36"/>
          <w:szCs w:val="36"/>
        </w:rPr>
        <w:t>e</w:t>
      </w:r>
      <w:r w:rsidRPr="00E074C6">
        <w:rPr>
          <w:b/>
          <w:color w:val="7030A0"/>
          <w:sz w:val="36"/>
          <w:szCs w:val="36"/>
        </w:rPr>
        <w:t xml:space="preserve"> access to government business for SMEs</w:t>
      </w:r>
      <w:r w:rsidR="00582F00">
        <w:rPr>
          <w:b/>
          <w:color w:val="7030A0"/>
          <w:sz w:val="36"/>
          <w:szCs w:val="36"/>
        </w:rPr>
        <w:t>:</w:t>
      </w:r>
      <w:r w:rsidR="00E074C6">
        <w:rPr>
          <w:b/>
          <w:color w:val="7030A0"/>
          <w:sz w:val="36"/>
          <w:szCs w:val="36"/>
        </w:rPr>
        <w:br/>
        <w:t xml:space="preserve">Goods and services </w:t>
      </w:r>
      <w:proofErr w:type="gramStart"/>
      <w:r w:rsidRPr="00E074C6">
        <w:rPr>
          <w:b/>
          <w:color w:val="7030A0"/>
          <w:sz w:val="36"/>
          <w:szCs w:val="36"/>
        </w:rPr>
        <w:t>guide</w:t>
      </w:r>
      <w:proofErr w:type="gramEnd"/>
    </w:p>
    <w:p w14:paraId="675410C9" w14:textId="77777777" w:rsidR="004F6237" w:rsidRPr="00E074C6" w:rsidRDefault="004F6237" w:rsidP="00E074C6">
      <w:pPr>
        <w:pStyle w:val="Heading2"/>
        <w:rPr>
          <w:color w:val="7030A0"/>
        </w:rPr>
      </w:pPr>
      <w:r w:rsidRPr="00E074C6">
        <w:rPr>
          <w:color w:val="7030A0"/>
        </w:rPr>
        <w:t>Why engage with SMEs?</w:t>
      </w:r>
    </w:p>
    <w:p w14:paraId="1F14E363" w14:textId="77777777" w:rsidR="00801190" w:rsidRDefault="004F6237" w:rsidP="00E074C6">
      <w:r>
        <w:t xml:space="preserve">The Victorian Government is committed to improving access to government business opportunities for small to medium </w:t>
      </w:r>
      <w:r w:rsidR="00DC4436">
        <w:t xml:space="preserve">size </w:t>
      </w:r>
      <w:r>
        <w:t>enterprises (SMEs). Small businesses provide 47</w:t>
      </w:r>
      <w:r w:rsidR="009047F0">
        <w:t> per cent</w:t>
      </w:r>
      <w:r>
        <w:t xml:space="preserve"> of the State’s private sector jobs and contribute to almost 30</w:t>
      </w:r>
      <w:r w:rsidR="009047F0">
        <w:t> per cent</w:t>
      </w:r>
      <w:r>
        <w:t xml:space="preserve"> of the State’s sales and output with a diverse range of products and services. The SME market is also a large player in delivering innovative solutions.</w:t>
      </w:r>
    </w:p>
    <w:p w14:paraId="7F6403CF" w14:textId="77777777" w:rsidR="004F6237" w:rsidRDefault="004F6237" w:rsidP="00E074C6">
      <w:r>
        <w:t>Other benefits of engaging SMEs are</w:t>
      </w:r>
      <w:r w:rsidR="00E074C6">
        <w:t>:</w:t>
      </w:r>
    </w:p>
    <w:p w14:paraId="3AF31AE7" w14:textId="77777777" w:rsidR="00E074C6" w:rsidRDefault="00E074C6" w:rsidP="00801190">
      <w:pPr>
        <w:pStyle w:val="ListParagraph"/>
        <w:numPr>
          <w:ilvl w:val="0"/>
          <w:numId w:val="31"/>
        </w:numPr>
        <w:ind w:left="714" w:hanging="357"/>
        <w:contextualSpacing w:val="0"/>
      </w:pPr>
      <w:r w:rsidRPr="004F6237">
        <w:t>Lower costs</w:t>
      </w:r>
      <w:r>
        <w:t xml:space="preserve"> - </w:t>
      </w:r>
      <w:r w:rsidRPr="00C465B9">
        <w:rPr>
          <w:lang w:eastAsia="en-US"/>
        </w:rPr>
        <w:t>Lower administrative overheads and management costs than larger firms. Potential for lower prices, depending on the nature of the procurement.</w:t>
      </w:r>
    </w:p>
    <w:p w14:paraId="1B5BEFC1" w14:textId="77777777" w:rsidR="00E074C6" w:rsidRDefault="00E074C6" w:rsidP="00E074C6">
      <w:pPr>
        <w:pStyle w:val="ListParagraph"/>
        <w:numPr>
          <w:ilvl w:val="0"/>
          <w:numId w:val="31"/>
        </w:numPr>
      </w:pPr>
      <w:r w:rsidRPr="004F6237">
        <w:t>Innovation</w:t>
      </w:r>
      <w:r>
        <w:t xml:space="preserve"> - </w:t>
      </w:r>
      <w:r w:rsidRPr="00C465B9">
        <w:rPr>
          <w:lang w:eastAsia="en-US"/>
        </w:rPr>
        <w:t>SMEs can deliver innovative solutions. For example</w:t>
      </w:r>
      <w:r>
        <w:rPr>
          <w:lang w:eastAsia="en-US"/>
        </w:rPr>
        <w:t>:</w:t>
      </w:r>
    </w:p>
    <w:p w14:paraId="31097ECE" w14:textId="77777777" w:rsidR="00E074C6" w:rsidRDefault="00E074C6" w:rsidP="00E074C6">
      <w:pPr>
        <w:pStyle w:val="ListParagraph"/>
        <w:numPr>
          <w:ilvl w:val="1"/>
          <w:numId w:val="31"/>
        </w:numPr>
      </w:pPr>
      <w:r w:rsidRPr="004F6237">
        <w:t>early exploitation of new technology</w:t>
      </w:r>
      <w:r>
        <w:t>;</w:t>
      </w:r>
    </w:p>
    <w:p w14:paraId="54526772" w14:textId="77777777" w:rsidR="00E074C6" w:rsidRDefault="00E074C6" w:rsidP="00E074C6">
      <w:pPr>
        <w:pStyle w:val="ListParagraph"/>
        <w:numPr>
          <w:ilvl w:val="1"/>
          <w:numId w:val="31"/>
        </w:numPr>
      </w:pPr>
      <w:r w:rsidRPr="004F6237">
        <w:t>providing products or services in new or underdeveloped markets;</w:t>
      </w:r>
    </w:p>
    <w:p w14:paraId="78576C9B" w14:textId="77777777" w:rsidR="00E074C6" w:rsidRDefault="00E074C6" w:rsidP="00801190">
      <w:pPr>
        <w:pStyle w:val="ListParagraph"/>
        <w:numPr>
          <w:ilvl w:val="1"/>
          <w:numId w:val="31"/>
        </w:numPr>
        <w:ind w:left="1434" w:hanging="357"/>
        <w:contextualSpacing w:val="0"/>
      </w:pPr>
      <w:r w:rsidRPr="004F6237">
        <w:t>using</w:t>
      </w:r>
      <w:r w:rsidRPr="00C465B9">
        <w:rPr>
          <w:lang w:eastAsia="en-US"/>
        </w:rPr>
        <w:t xml:space="preserve"> innovation to differentiate themselves from established</w:t>
      </w:r>
      <w:r>
        <w:rPr>
          <w:lang w:eastAsia="en-US"/>
        </w:rPr>
        <w:t xml:space="preserve"> </w:t>
      </w:r>
      <w:r w:rsidRPr="00C465B9">
        <w:rPr>
          <w:lang w:eastAsia="en-US"/>
        </w:rPr>
        <w:t>market players</w:t>
      </w:r>
      <w:r>
        <w:rPr>
          <w:lang w:eastAsia="en-US"/>
        </w:rPr>
        <w:t>.</w:t>
      </w:r>
    </w:p>
    <w:p w14:paraId="4CEE819A" w14:textId="77777777" w:rsidR="00E074C6" w:rsidRDefault="00E074C6" w:rsidP="00E074C6">
      <w:pPr>
        <w:pStyle w:val="ListParagraph"/>
        <w:numPr>
          <w:ilvl w:val="0"/>
          <w:numId w:val="31"/>
        </w:numPr>
      </w:pPr>
      <w:r w:rsidRPr="004F6237">
        <w:t>Responsiveness</w:t>
      </w:r>
      <w:r>
        <w:t>:</w:t>
      </w:r>
    </w:p>
    <w:p w14:paraId="74EEBE32" w14:textId="77777777" w:rsidR="00E074C6" w:rsidRPr="00C465B9" w:rsidRDefault="00E074C6" w:rsidP="00E074C6">
      <w:pPr>
        <w:pStyle w:val="ListParagraph"/>
        <w:numPr>
          <w:ilvl w:val="1"/>
          <w:numId w:val="31"/>
        </w:numPr>
        <w:rPr>
          <w:lang w:eastAsia="en-US"/>
        </w:rPr>
      </w:pPr>
      <w:r w:rsidRPr="00C465B9">
        <w:rPr>
          <w:lang w:eastAsia="en-US"/>
        </w:rPr>
        <w:t xml:space="preserve">Shorter </w:t>
      </w:r>
      <w:r w:rsidRPr="00C465B9">
        <w:t>management</w:t>
      </w:r>
      <w:r w:rsidRPr="00C465B9">
        <w:rPr>
          <w:lang w:eastAsia="en-US"/>
        </w:rPr>
        <w:t xml:space="preserve"> chains and approval routes-quicker response to changing requirements. </w:t>
      </w:r>
    </w:p>
    <w:p w14:paraId="0603686C" w14:textId="77777777" w:rsidR="00E074C6" w:rsidRDefault="00E074C6" w:rsidP="00801190">
      <w:pPr>
        <w:pStyle w:val="ListParagraph"/>
        <w:numPr>
          <w:ilvl w:val="1"/>
          <w:numId w:val="31"/>
        </w:numPr>
        <w:ind w:left="1434" w:hanging="357"/>
        <w:contextualSpacing w:val="0"/>
      </w:pPr>
      <w:r w:rsidRPr="00C465B9">
        <w:rPr>
          <w:lang w:eastAsia="en-US"/>
        </w:rPr>
        <w:t>Focus on niche market sectors-more responsive to changes in those markets.</w:t>
      </w:r>
    </w:p>
    <w:p w14:paraId="4BC9AC35" w14:textId="77777777" w:rsidR="00E074C6" w:rsidRDefault="00E074C6" w:rsidP="00801190">
      <w:pPr>
        <w:pStyle w:val="ListParagraph"/>
        <w:numPr>
          <w:ilvl w:val="0"/>
          <w:numId w:val="31"/>
        </w:numPr>
        <w:ind w:left="714" w:hanging="357"/>
        <w:contextualSpacing w:val="0"/>
      </w:pPr>
      <w:r w:rsidRPr="004F6237">
        <w:t>Flexibility</w:t>
      </w:r>
      <w:r>
        <w:t xml:space="preserve"> - </w:t>
      </w:r>
      <w:r w:rsidRPr="00C465B9">
        <w:rPr>
          <w:lang w:eastAsia="en-US"/>
        </w:rPr>
        <w:t>Government contracts can be more important to SMEs due to the associated financial stability. They may be more willing to tailor a product or service to meet specific customer needs than a large firm selling established offerings</w:t>
      </w:r>
      <w:r>
        <w:rPr>
          <w:lang w:eastAsia="en-US"/>
        </w:rPr>
        <w:t>.</w:t>
      </w:r>
    </w:p>
    <w:p w14:paraId="12E05735" w14:textId="77777777" w:rsidR="00E074C6" w:rsidRDefault="00E074C6" w:rsidP="00801190">
      <w:pPr>
        <w:pStyle w:val="ListParagraph"/>
        <w:numPr>
          <w:ilvl w:val="0"/>
          <w:numId w:val="31"/>
        </w:numPr>
        <w:ind w:left="714" w:hanging="357"/>
        <w:contextualSpacing w:val="0"/>
      </w:pPr>
      <w:r w:rsidRPr="004F6237">
        <w:t>Quality service</w:t>
      </w:r>
      <w:r>
        <w:t xml:space="preserve"> - </w:t>
      </w:r>
      <w:r w:rsidRPr="00C465B9">
        <w:rPr>
          <w:lang w:eastAsia="en-US"/>
        </w:rPr>
        <w:t>Being a large customer of a small business can result in more personal levels of service and a better relationship with the supplier</w:t>
      </w:r>
      <w:r>
        <w:rPr>
          <w:lang w:eastAsia="en-US"/>
        </w:rPr>
        <w:t>.</w:t>
      </w:r>
    </w:p>
    <w:p w14:paraId="437E3996" w14:textId="77777777" w:rsidR="00E074C6" w:rsidRDefault="00E074C6" w:rsidP="00801190">
      <w:pPr>
        <w:pStyle w:val="ListParagraph"/>
        <w:numPr>
          <w:ilvl w:val="0"/>
          <w:numId w:val="31"/>
        </w:numPr>
        <w:ind w:left="714" w:hanging="357"/>
        <w:contextualSpacing w:val="0"/>
      </w:pPr>
      <w:r w:rsidRPr="004F6237">
        <w:t>Specialist services</w:t>
      </w:r>
      <w:r>
        <w:t xml:space="preserve"> - </w:t>
      </w:r>
      <w:r w:rsidRPr="00C465B9">
        <w:rPr>
          <w:lang w:eastAsia="en-US"/>
        </w:rPr>
        <w:t>Many SMEs supply higher quality specialist products or services than large suppliers, either because large suppliers are discouraged by the limited demand, or because the SME has greater skills, originality and commitment in that field than their large company competitors</w:t>
      </w:r>
      <w:r>
        <w:rPr>
          <w:lang w:eastAsia="en-US"/>
        </w:rPr>
        <w:t>.</w:t>
      </w:r>
    </w:p>
    <w:p w14:paraId="5C740535" w14:textId="77777777" w:rsidR="004F6237" w:rsidRDefault="004F6237" w:rsidP="004F6237">
      <w:r>
        <w:t>Access to the government procurement opportunities can provide stability and encourage growth of businesses. This can increase market competition which helps to drive better value-for-money outcomes and cost savings for government.</w:t>
      </w:r>
    </w:p>
    <w:p w14:paraId="69F8BAA9" w14:textId="77777777" w:rsidR="004F6237" w:rsidRDefault="004F6237" w:rsidP="004F6237">
      <w:r>
        <w:t>Procurement also provides a lever for achieving broader government objectives, such as improving small business development.</w:t>
      </w:r>
    </w:p>
    <w:p w14:paraId="061DE1A1" w14:textId="77777777" w:rsidR="005F0BE7" w:rsidRDefault="00E074C6" w:rsidP="00E074C6">
      <w:r w:rsidRPr="00801190">
        <w:t>What is value for money?</w:t>
      </w:r>
      <w:r w:rsidR="00801190">
        <w:t xml:space="preserve">  </w:t>
      </w:r>
      <w:r w:rsidRPr="00E074C6">
        <w:t>Value for money involves a balanced judgement of financial and non-financial factors. Typical factors include fitness for purpose, quality, whole-of-life costs, risk, environmental and sustainability issues, as well as price.</w:t>
      </w:r>
    </w:p>
    <w:p w14:paraId="4365971C" w14:textId="4387E71F" w:rsidR="005F0BE7" w:rsidRDefault="00E074C6" w:rsidP="00E074C6">
      <w:r w:rsidRPr="00E074C6">
        <w:t>Did you know?</w:t>
      </w:r>
      <w:r>
        <w:t xml:space="preserve">  </w:t>
      </w:r>
      <w:r w:rsidRPr="00E074C6">
        <w:t>Small businesses provide around 1.2 </w:t>
      </w:r>
      <w:r w:rsidR="0049402F" w:rsidRPr="00E074C6">
        <w:t>million</w:t>
      </w:r>
      <w:r w:rsidRPr="00E074C6">
        <w:t xml:space="preserve"> private sector jobs, including owner-operators.</w:t>
      </w:r>
      <w:r>
        <w:t xml:space="preserve">  </w:t>
      </w:r>
      <w:r w:rsidRPr="00E074C6">
        <w:t>They are a vital element of regional economy with 28 per cent of all small businesses based in regional Victoria.</w:t>
      </w:r>
    </w:p>
    <w:p w14:paraId="2B62DACD" w14:textId="77777777" w:rsidR="004F6237" w:rsidRPr="00801190" w:rsidRDefault="004F6237" w:rsidP="00801190">
      <w:pPr>
        <w:pStyle w:val="Heading2"/>
        <w:rPr>
          <w:color w:val="7030A0"/>
        </w:rPr>
      </w:pPr>
      <w:r w:rsidRPr="00801190">
        <w:rPr>
          <w:color w:val="7030A0"/>
        </w:rPr>
        <w:t>What is a small to medium enterprise?</w:t>
      </w:r>
    </w:p>
    <w:p w14:paraId="0A70A4D8" w14:textId="77777777" w:rsidR="004F6237" w:rsidRDefault="004F6237" w:rsidP="004F6237">
      <w:r>
        <w:t>The Australian Bureau of Statistics (ABS) defines a small business as an actively trading business with 0–19 employees and a medium-sized business as an actively trading business with 20–199 employees. Employment size ranges are based on headcount rather than a measure of full-time equivalent people.</w:t>
      </w:r>
    </w:p>
    <w:p w14:paraId="1E70B90E" w14:textId="77777777" w:rsidR="004F6237" w:rsidRDefault="004F6237" w:rsidP="004F6237">
      <w:r>
        <w:lastRenderedPageBreak/>
        <w:t>Small businesses</w:t>
      </w:r>
      <w:r w:rsidR="000F048A">
        <w:t xml:space="preserve"> </w:t>
      </w:r>
      <w:r>
        <w:t xml:space="preserve">include SMEs and other types of organisations such as not-for-profits and social benefit suppliers (including </w:t>
      </w:r>
      <w:r w:rsidR="000F048A">
        <w:t xml:space="preserve">Aboriginal </w:t>
      </w:r>
      <w:r>
        <w:t>business</w:t>
      </w:r>
      <w:r w:rsidR="000F048A">
        <w:t>es</w:t>
      </w:r>
      <w:r>
        <w:t xml:space="preserve">). Research shows that </w:t>
      </w:r>
      <w:r w:rsidR="00DC4436">
        <w:t xml:space="preserve">small business </w:t>
      </w:r>
      <w:r>
        <w:t>suppliers share similar business operation issues and face similar barriers when dealing with government procurement.</w:t>
      </w:r>
    </w:p>
    <w:p w14:paraId="6578059B" w14:textId="77777777" w:rsidR="004F6237" w:rsidRDefault="004F6237" w:rsidP="00801190">
      <w:r>
        <w:t xml:space="preserve">Social benefit suppliers are organisations and businesses whose mission is centred on a social purpose, and/or owned by groups or people who are considered disadvantages. By virtue of their ownership structure, social benefit suppliers channel economics and social resources into marginalised communities. Social benefit suppliers may include </w:t>
      </w:r>
      <w:r w:rsidR="000F048A">
        <w:t xml:space="preserve">Aboriginal </w:t>
      </w:r>
      <w:r>
        <w:t xml:space="preserve">businesses, social enterprises, such as disability </w:t>
      </w:r>
      <w:r w:rsidR="000F048A">
        <w:t>and</w:t>
      </w:r>
      <w:r>
        <w:t xml:space="preserve"> social </w:t>
      </w:r>
      <w:r w:rsidR="006438F6">
        <w:t>enterprises that</w:t>
      </w:r>
      <w:r>
        <w:t xml:space="preserve"> generate employment and deliver other social </w:t>
      </w:r>
      <w:r w:rsidR="000F048A">
        <w:t>outcomes</w:t>
      </w:r>
      <w:r>
        <w:t xml:space="preserve">. </w:t>
      </w:r>
    </w:p>
    <w:p w14:paraId="487BFC00" w14:textId="77777777" w:rsidR="00AC748E" w:rsidRDefault="004F6237" w:rsidP="00801190">
      <w:r>
        <w:t>A not-for-profit (NFP) organisation does not operate for the profit or gain of its individual members, whether these gains would have been direct or indirect. A non-profit organisation can make a profit, but this profit must be used to carry out its purposes and must not be distributed to owners, members or other private people.</w:t>
      </w:r>
    </w:p>
    <w:p w14:paraId="577F6D08" w14:textId="77777777" w:rsidR="004F6237" w:rsidRPr="00801190" w:rsidRDefault="004F6237" w:rsidP="00801190">
      <w:pPr>
        <w:pStyle w:val="Heading2"/>
        <w:rPr>
          <w:color w:val="7030A0"/>
        </w:rPr>
      </w:pPr>
      <w:r w:rsidRPr="00801190">
        <w:rPr>
          <w:color w:val="7030A0"/>
        </w:rPr>
        <w:t>When to engage with SMEs</w:t>
      </w:r>
    </w:p>
    <w:p w14:paraId="4E86AE5D" w14:textId="77777777" w:rsidR="004F6237" w:rsidRDefault="004F6237" w:rsidP="004F6237">
      <w:r>
        <w:t>Early engagement with suppliers—directly and through notification of procurement activity—is central to enhancing SME participation in the government marketplace.</w:t>
      </w:r>
    </w:p>
    <w:p w14:paraId="1FDBF330" w14:textId="77777777" w:rsidR="004F6237" w:rsidRDefault="004F6237" w:rsidP="004F6237">
      <w:r>
        <w:t>When you approach the market, you should consider how to adapt your procurement processes to facilitate SME participation.</w:t>
      </w:r>
    </w:p>
    <w:p w14:paraId="540D4444" w14:textId="77777777" w:rsidR="004F6237" w:rsidRDefault="004F6237" w:rsidP="004F6237">
      <w:r>
        <w:t>SME engagement should be an element of the organisation’s supplier engagement plan.</w:t>
      </w:r>
    </w:p>
    <w:p w14:paraId="1C00B7A7" w14:textId="77777777" w:rsidR="004F4904" w:rsidRDefault="004F4904" w:rsidP="004F4904">
      <w:r w:rsidRPr="0088037D">
        <w:t>When to engage with SME</w:t>
      </w:r>
      <w:r>
        <w:t>s in the procurement life</w:t>
      </w:r>
      <w:r w:rsidRPr="0088037D">
        <w:t>cycle</w:t>
      </w:r>
    </w:p>
    <w:p w14:paraId="62923810" w14:textId="77777777" w:rsidR="004F4904" w:rsidRDefault="004F4904" w:rsidP="004F4904">
      <w:pPr>
        <w:spacing w:after="120" w:line="240" w:lineRule="auto"/>
        <w:rPr>
          <w:rFonts w:cstheme="minorHAnsi"/>
        </w:rPr>
      </w:pPr>
      <w:r>
        <w:rPr>
          <w:rFonts w:cstheme="minorHAnsi"/>
        </w:rPr>
        <w:t>When to engage with SMEs in the procurement lifecycle:</w:t>
      </w:r>
    </w:p>
    <w:p w14:paraId="1E7DB912" w14:textId="77777777" w:rsidR="004F4904" w:rsidRDefault="004F4904" w:rsidP="004F4904">
      <w:pPr>
        <w:pStyle w:val="ListParagraph"/>
        <w:numPr>
          <w:ilvl w:val="0"/>
          <w:numId w:val="33"/>
        </w:numPr>
        <w:spacing w:before="0" w:after="120" w:line="240" w:lineRule="auto"/>
        <w:rPr>
          <w:rFonts w:cstheme="minorHAnsi"/>
        </w:rPr>
      </w:pPr>
      <w:r w:rsidRPr="003F1BD3">
        <w:rPr>
          <w:rFonts w:cstheme="minorHAnsi"/>
        </w:rPr>
        <w:t xml:space="preserve">As part of annual planning, </w:t>
      </w:r>
      <w:r>
        <w:rPr>
          <w:rFonts w:cstheme="minorHAnsi"/>
        </w:rPr>
        <w:t>consider SMEs when:</w:t>
      </w:r>
    </w:p>
    <w:p w14:paraId="5831B9A9" w14:textId="77777777" w:rsidR="004F4904" w:rsidRDefault="004F4904" w:rsidP="004F4904">
      <w:pPr>
        <w:pStyle w:val="ListParagraph"/>
        <w:numPr>
          <w:ilvl w:val="1"/>
          <w:numId w:val="33"/>
        </w:numPr>
        <w:spacing w:before="0" w:after="120" w:line="240" w:lineRule="auto"/>
        <w:rPr>
          <w:rFonts w:cstheme="minorHAnsi"/>
        </w:rPr>
      </w:pPr>
      <w:r>
        <w:rPr>
          <w:rFonts w:cstheme="minorHAnsi"/>
        </w:rPr>
        <w:t>Create procurement activity plan</w:t>
      </w:r>
    </w:p>
    <w:p w14:paraId="06AC653C" w14:textId="77777777" w:rsidR="004F4904" w:rsidRDefault="004F4904" w:rsidP="004F4904">
      <w:pPr>
        <w:pStyle w:val="ListParagraph"/>
        <w:numPr>
          <w:ilvl w:val="1"/>
          <w:numId w:val="33"/>
        </w:numPr>
        <w:spacing w:before="0" w:after="120" w:line="240" w:lineRule="auto"/>
        <w:rPr>
          <w:rFonts w:cstheme="minorHAnsi"/>
        </w:rPr>
      </w:pPr>
      <w:r>
        <w:rPr>
          <w:rFonts w:cstheme="minorHAnsi"/>
        </w:rPr>
        <w:t>Identify category</w:t>
      </w:r>
    </w:p>
    <w:p w14:paraId="1EB4644C" w14:textId="77777777" w:rsidR="004F4904" w:rsidRPr="003F1BD3" w:rsidRDefault="004F4904" w:rsidP="00E32254">
      <w:pPr>
        <w:pStyle w:val="ListParagraph"/>
        <w:numPr>
          <w:ilvl w:val="1"/>
          <w:numId w:val="33"/>
        </w:numPr>
        <w:spacing w:before="0" w:after="120" w:line="240" w:lineRule="auto"/>
        <w:ind w:left="1434" w:hanging="357"/>
        <w:contextualSpacing w:val="0"/>
        <w:rPr>
          <w:rFonts w:cstheme="minorHAnsi"/>
        </w:rPr>
      </w:pPr>
      <w:r>
        <w:rPr>
          <w:rFonts w:cstheme="minorHAnsi"/>
        </w:rPr>
        <w:t>Gather market intelligence</w:t>
      </w:r>
    </w:p>
    <w:p w14:paraId="0978859D" w14:textId="77777777" w:rsidR="004F4904" w:rsidRDefault="004F4904" w:rsidP="004F4904">
      <w:pPr>
        <w:pStyle w:val="ListParagraph"/>
        <w:numPr>
          <w:ilvl w:val="0"/>
          <w:numId w:val="33"/>
        </w:numPr>
        <w:spacing w:before="0" w:after="120" w:line="240" w:lineRule="auto"/>
        <w:rPr>
          <w:rFonts w:cstheme="minorHAnsi"/>
        </w:rPr>
      </w:pPr>
      <w:r>
        <w:rPr>
          <w:rFonts w:cstheme="minorHAnsi"/>
        </w:rPr>
        <w:t>As part of annual planning, investigate scope for SME market when:</w:t>
      </w:r>
    </w:p>
    <w:p w14:paraId="6FAA8EE1" w14:textId="77777777" w:rsidR="004F4904" w:rsidRDefault="004F4904" w:rsidP="004F4904">
      <w:pPr>
        <w:pStyle w:val="ListParagraph"/>
        <w:numPr>
          <w:ilvl w:val="1"/>
          <w:numId w:val="33"/>
        </w:numPr>
        <w:spacing w:before="0" w:after="120" w:line="240" w:lineRule="auto"/>
        <w:rPr>
          <w:rFonts w:cstheme="minorHAnsi"/>
        </w:rPr>
      </w:pPr>
      <w:r>
        <w:rPr>
          <w:rFonts w:cstheme="minorHAnsi"/>
        </w:rPr>
        <w:t>Conduct complexity assessment per category</w:t>
      </w:r>
    </w:p>
    <w:p w14:paraId="7D384C70" w14:textId="77777777" w:rsidR="004F4904" w:rsidRDefault="004F4904" w:rsidP="004F4904">
      <w:pPr>
        <w:pStyle w:val="ListParagraph"/>
        <w:numPr>
          <w:ilvl w:val="1"/>
          <w:numId w:val="33"/>
        </w:numPr>
        <w:spacing w:before="0" w:after="120" w:line="240" w:lineRule="auto"/>
        <w:rPr>
          <w:rFonts w:cstheme="minorHAnsi"/>
        </w:rPr>
      </w:pPr>
      <w:r>
        <w:rPr>
          <w:rFonts w:cstheme="minorHAnsi"/>
        </w:rPr>
        <w:t>Conduct capability assessment to match complexity</w:t>
      </w:r>
    </w:p>
    <w:p w14:paraId="73D96AE2" w14:textId="77777777" w:rsidR="004F4904" w:rsidRDefault="004F4904" w:rsidP="00E32254">
      <w:pPr>
        <w:pStyle w:val="ListParagraph"/>
        <w:numPr>
          <w:ilvl w:val="1"/>
          <w:numId w:val="33"/>
        </w:numPr>
        <w:spacing w:before="0" w:after="120" w:line="240" w:lineRule="auto"/>
        <w:ind w:left="1434" w:hanging="357"/>
        <w:contextualSpacing w:val="0"/>
        <w:rPr>
          <w:rFonts w:cstheme="minorHAnsi"/>
        </w:rPr>
      </w:pPr>
      <w:r>
        <w:rPr>
          <w:rFonts w:cstheme="minorHAnsi"/>
        </w:rPr>
        <w:t>Develop category contract management strategy</w:t>
      </w:r>
    </w:p>
    <w:p w14:paraId="76E6463A" w14:textId="77777777" w:rsidR="004F4904" w:rsidRDefault="004F4904" w:rsidP="004F4904">
      <w:pPr>
        <w:pStyle w:val="ListParagraph"/>
        <w:numPr>
          <w:ilvl w:val="0"/>
          <w:numId w:val="33"/>
        </w:numPr>
        <w:spacing w:before="0" w:after="120" w:line="240" w:lineRule="auto"/>
        <w:rPr>
          <w:rFonts w:cstheme="minorHAnsi"/>
        </w:rPr>
      </w:pPr>
      <w:r>
        <w:rPr>
          <w:rFonts w:cstheme="minorHAnsi"/>
        </w:rPr>
        <w:t>As part of an individual procurement activity, during the sourcing phase, think about engaging SMEs when:</w:t>
      </w:r>
    </w:p>
    <w:p w14:paraId="7B210F16" w14:textId="77777777" w:rsidR="004F4904" w:rsidRDefault="004F4904" w:rsidP="004F4904">
      <w:pPr>
        <w:pStyle w:val="ListParagraph"/>
        <w:numPr>
          <w:ilvl w:val="1"/>
          <w:numId w:val="33"/>
        </w:numPr>
        <w:spacing w:before="0" w:after="120" w:line="240" w:lineRule="auto"/>
        <w:rPr>
          <w:rFonts w:cstheme="minorHAnsi"/>
        </w:rPr>
      </w:pPr>
      <w:r>
        <w:rPr>
          <w:rFonts w:cstheme="minorHAnsi"/>
        </w:rPr>
        <w:t>Review procurement requirement</w:t>
      </w:r>
    </w:p>
    <w:p w14:paraId="3E4CAE1C" w14:textId="77777777" w:rsidR="004F4904" w:rsidRDefault="004F4904" w:rsidP="004F4904">
      <w:pPr>
        <w:pStyle w:val="ListParagraph"/>
        <w:numPr>
          <w:ilvl w:val="1"/>
          <w:numId w:val="33"/>
        </w:numPr>
        <w:spacing w:before="0" w:after="120" w:line="240" w:lineRule="auto"/>
        <w:rPr>
          <w:rFonts w:cstheme="minorHAnsi"/>
        </w:rPr>
      </w:pPr>
      <w:r>
        <w:rPr>
          <w:rFonts w:cstheme="minorHAnsi"/>
        </w:rPr>
        <w:t>Conduct market analysis</w:t>
      </w:r>
    </w:p>
    <w:p w14:paraId="1EC05066" w14:textId="77777777" w:rsidR="004F4904" w:rsidRDefault="004F4904" w:rsidP="004F4904">
      <w:pPr>
        <w:pStyle w:val="ListParagraph"/>
        <w:numPr>
          <w:ilvl w:val="1"/>
          <w:numId w:val="33"/>
        </w:numPr>
        <w:spacing w:before="0" w:after="120" w:line="240" w:lineRule="auto"/>
        <w:rPr>
          <w:rFonts w:cstheme="minorHAnsi"/>
        </w:rPr>
      </w:pPr>
      <w:r>
        <w:rPr>
          <w:rFonts w:cstheme="minorHAnsi"/>
        </w:rPr>
        <w:t>Develop plan for market approach</w:t>
      </w:r>
    </w:p>
    <w:p w14:paraId="52D925EE" w14:textId="77777777" w:rsidR="004F4904" w:rsidRDefault="004F4904" w:rsidP="00E32254">
      <w:pPr>
        <w:pStyle w:val="ListParagraph"/>
        <w:numPr>
          <w:ilvl w:val="1"/>
          <w:numId w:val="33"/>
        </w:numPr>
        <w:spacing w:before="0" w:after="120" w:line="240" w:lineRule="auto"/>
        <w:ind w:left="1434" w:hanging="357"/>
        <w:contextualSpacing w:val="0"/>
        <w:rPr>
          <w:rFonts w:cstheme="minorHAnsi"/>
        </w:rPr>
      </w:pPr>
      <w:r>
        <w:rPr>
          <w:rFonts w:cstheme="minorHAnsi"/>
        </w:rPr>
        <w:t>Evaluate negotiate and select supplier</w:t>
      </w:r>
    </w:p>
    <w:p w14:paraId="6F91033C" w14:textId="3368FD6E" w:rsidR="004F4904" w:rsidRPr="00E32254" w:rsidRDefault="004F4904" w:rsidP="004F4904">
      <w:pPr>
        <w:pStyle w:val="ListParagraph"/>
        <w:numPr>
          <w:ilvl w:val="0"/>
          <w:numId w:val="33"/>
        </w:numPr>
        <w:spacing w:before="0" w:after="120" w:line="240" w:lineRule="auto"/>
        <w:rPr>
          <w:rFonts w:cstheme="minorHAnsi"/>
        </w:rPr>
      </w:pPr>
      <w:r w:rsidRPr="00E32254">
        <w:rPr>
          <w:rFonts w:cstheme="minorHAnsi"/>
        </w:rPr>
        <w:t xml:space="preserve">As part of an individual procurement activity, during the </w:t>
      </w:r>
      <w:r w:rsidR="00E32254" w:rsidRPr="00E32254">
        <w:rPr>
          <w:rFonts w:cstheme="minorHAnsi"/>
        </w:rPr>
        <w:t>contract management</w:t>
      </w:r>
      <w:r w:rsidRPr="00E32254">
        <w:rPr>
          <w:rFonts w:cstheme="minorHAnsi"/>
        </w:rPr>
        <w:t xml:space="preserve"> phase, think about engaging SMEs when:</w:t>
      </w:r>
    </w:p>
    <w:p w14:paraId="29360497" w14:textId="77777777" w:rsidR="004F4904" w:rsidRPr="00E32254" w:rsidRDefault="004F4904" w:rsidP="004F4904">
      <w:pPr>
        <w:pStyle w:val="ListParagraph"/>
        <w:numPr>
          <w:ilvl w:val="1"/>
          <w:numId w:val="33"/>
        </w:numPr>
        <w:spacing w:before="0" w:after="120" w:line="240" w:lineRule="auto"/>
        <w:rPr>
          <w:rFonts w:cstheme="minorHAnsi"/>
        </w:rPr>
      </w:pPr>
      <w:r w:rsidRPr="00E32254">
        <w:rPr>
          <w:rFonts w:cstheme="minorHAnsi"/>
        </w:rPr>
        <w:t>Create a contract</w:t>
      </w:r>
    </w:p>
    <w:p w14:paraId="185AEEFF" w14:textId="77777777" w:rsidR="004F4904" w:rsidRPr="00E32254" w:rsidRDefault="004F4904" w:rsidP="004F4904">
      <w:pPr>
        <w:pStyle w:val="ListParagraph"/>
        <w:numPr>
          <w:ilvl w:val="1"/>
          <w:numId w:val="33"/>
        </w:numPr>
        <w:spacing w:before="0" w:after="120" w:line="240" w:lineRule="auto"/>
        <w:rPr>
          <w:rFonts w:cstheme="minorHAnsi"/>
        </w:rPr>
      </w:pPr>
      <w:r w:rsidRPr="00E32254">
        <w:rPr>
          <w:rFonts w:cstheme="minorHAnsi"/>
        </w:rPr>
        <w:t>Commit to a contract</w:t>
      </w:r>
    </w:p>
    <w:p w14:paraId="738F73D1" w14:textId="77777777" w:rsidR="004F4904" w:rsidRPr="00E32254" w:rsidRDefault="004F4904" w:rsidP="004F4904">
      <w:pPr>
        <w:pStyle w:val="ListParagraph"/>
        <w:numPr>
          <w:ilvl w:val="1"/>
          <w:numId w:val="33"/>
        </w:numPr>
        <w:spacing w:before="0" w:after="120" w:line="240" w:lineRule="auto"/>
        <w:rPr>
          <w:rFonts w:cstheme="minorHAnsi"/>
        </w:rPr>
      </w:pPr>
      <w:r w:rsidRPr="00E32254">
        <w:rPr>
          <w:rFonts w:cstheme="minorHAnsi"/>
        </w:rPr>
        <w:t>Manage contract</w:t>
      </w:r>
    </w:p>
    <w:p w14:paraId="615B0831" w14:textId="77777777" w:rsidR="004F4904" w:rsidRPr="004B2644" w:rsidRDefault="004F4904" w:rsidP="004F4904">
      <w:pPr>
        <w:pStyle w:val="ListParagraph"/>
        <w:numPr>
          <w:ilvl w:val="1"/>
          <w:numId w:val="33"/>
        </w:numPr>
        <w:spacing w:before="0" w:after="120" w:line="240" w:lineRule="auto"/>
        <w:rPr>
          <w:rFonts w:cstheme="minorHAnsi"/>
        </w:rPr>
      </w:pPr>
      <w:r w:rsidRPr="004B2644">
        <w:rPr>
          <w:rFonts w:cstheme="minorHAnsi"/>
        </w:rPr>
        <w:t>Contract review or closure</w:t>
      </w:r>
    </w:p>
    <w:p w14:paraId="7C5635F6" w14:textId="77777777" w:rsidR="004F4904" w:rsidRPr="004F4904" w:rsidRDefault="004F4904" w:rsidP="004F4904">
      <w:pPr>
        <w:pStyle w:val="Heading2"/>
        <w:rPr>
          <w:color w:val="7030A0"/>
        </w:rPr>
      </w:pPr>
      <w:r w:rsidRPr="004F4904">
        <w:rPr>
          <w:color w:val="7030A0"/>
        </w:rPr>
        <w:t>How to engage with SMEs</w:t>
      </w:r>
    </w:p>
    <w:p w14:paraId="1261095E" w14:textId="77777777" w:rsidR="004F4904" w:rsidRDefault="004F4904" w:rsidP="004F4904">
      <w:r>
        <w:t xml:space="preserve">There is no easy way to engage with the SME sector. Many small businesses do not belong to industry associations. However, there are </w:t>
      </w:r>
      <w:proofErr w:type="gramStart"/>
      <w:r>
        <w:t>a number of</w:t>
      </w:r>
      <w:proofErr w:type="gramEnd"/>
      <w:r>
        <w:t xml:space="preserve"> resources that organisations can use to increase knowledge sharing and inform the sector about organisational processes and upcoming opportunities.</w:t>
      </w:r>
    </w:p>
    <w:p w14:paraId="2FB11D50" w14:textId="77777777" w:rsidR="004F4904" w:rsidRDefault="004F4904" w:rsidP="004F4904">
      <w:r>
        <w:lastRenderedPageBreak/>
        <w:t>The following table provides general advice on good practice in supplier engagement. Tasks that are particularly relevant to SMEs are marked with an asterisk (*).</w:t>
      </w:r>
    </w:p>
    <w:tbl>
      <w:tblPr>
        <w:tblStyle w:val="TableGrid"/>
        <w:tblW w:w="0" w:type="auto"/>
        <w:tblCellMar>
          <w:left w:w="58" w:type="dxa"/>
          <w:right w:w="58" w:type="dxa"/>
        </w:tblCellMar>
        <w:tblLook w:val="04A0" w:firstRow="1" w:lastRow="0" w:firstColumn="1" w:lastColumn="0" w:noHBand="0" w:noVBand="1"/>
      </w:tblPr>
      <w:tblGrid>
        <w:gridCol w:w="2624"/>
        <w:gridCol w:w="7174"/>
      </w:tblGrid>
      <w:tr w:rsidR="004F6237" w:rsidRPr="006A353F" w14:paraId="2C5CEC78" w14:textId="77777777" w:rsidTr="004F623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24" w:type="dxa"/>
          </w:tcPr>
          <w:p w14:paraId="38BE4873" w14:textId="77777777" w:rsidR="004F6237" w:rsidRPr="004F6237" w:rsidRDefault="004F6237" w:rsidP="004F6237">
            <w:pPr>
              <w:pStyle w:val="TableHeader"/>
              <w:rPr>
                <w:noProof/>
                <w:color w:val="auto"/>
              </w:rPr>
            </w:pPr>
            <w:r w:rsidRPr="004F6237">
              <w:rPr>
                <w:noProof/>
                <w:color w:val="auto"/>
              </w:rPr>
              <w:t>Action</w:t>
            </w:r>
          </w:p>
        </w:tc>
        <w:tc>
          <w:tcPr>
            <w:tcW w:w="7174" w:type="dxa"/>
          </w:tcPr>
          <w:p w14:paraId="76EE3B11" w14:textId="77777777" w:rsidR="004F6237" w:rsidRPr="006A353F" w:rsidRDefault="004F6237" w:rsidP="004F6237">
            <w:pPr>
              <w:pStyle w:val="TableHeader"/>
              <w:cnfStyle w:val="100000000000" w:firstRow="1" w:lastRow="0" w:firstColumn="0" w:lastColumn="0" w:oddVBand="0" w:evenVBand="0" w:oddHBand="0" w:evenHBand="0" w:firstRowFirstColumn="0" w:firstRowLastColumn="0" w:lastRowFirstColumn="0" w:lastRowLastColumn="0"/>
              <w:rPr>
                <w:noProof/>
              </w:rPr>
            </w:pPr>
            <w:r w:rsidRPr="006A353F">
              <w:rPr>
                <w:noProof/>
              </w:rPr>
              <w:t>Detail</w:t>
            </w:r>
          </w:p>
        </w:tc>
      </w:tr>
      <w:tr w:rsidR="004F6237" w:rsidRPr="00597F44" w14:paraId="6D7BE76C" w14:textId="77777777" w:rsidTr="004F6237">
        <w:trPr>
          <w:trHeight w:val="368"/>
        </w:trPr>
        <w:tc>
          <w:tcPr>
            <w:cnfStyle w:val="001000000000" w:firstRow="0" w:lastRow="0" w:firstColumn="1" w:lastColumn="0" w:oddVBand="0" w:evenVBand="0" w:oddHBand="0" w:evenHBand="0" w:firstRowFirstColumn="0" w:firstRowLastColumn="0" w:lastRowFirstColumn="0" w:lastRowLastColumn="0"/>
            <w:tcW w:w="2624" w:type="dxa"/>
          </w:tcPr>
          <w:p w14:paraId="03E883A6" w14:textId="77777777" w:rsidR="004F6237" w:rsidRPr="004F6237" w:rsidRDefault="004F6237" w:rsidP="004F6237">
            <w:pPr>
              <w:pStyle w:val="TableText"/>
              <w:rPr>
                <w:noProof/>
                <w:color w:val="auto"/>
              </w:rPr>
            </w:pPr>
            <w:r w:rsidRPr="004F6237">
              <w:rPr>
                <w:noProof/>
                <w:color w:val="auto"/>
              </w:rPr>
              <w:t>Procurement process</w:t>
            </w:r>
          </w:p>
        </w:tc>
        <w:tc>
          <w:tcPr>
            <w:tcW w:w="7174" w:type="dxa"/>
          </w:tcPr>
          <w:p w14:paraId="0A0F38CC"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597F44">
              <w:rPr>
                <w:lang w:eastAsia="en-US"/>
              </w:rPr>
              <w:t>Explain the process, and what will be required from suppliers at the outset. Early and broad market engagement is a key activity in investigating options for innovation.</w:t>
            </w:r>
          </w:p>
          <w:p w14:paraId="05029426"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lang w:eastAsia="en-US"/>
              </w:rPr>
            </w:pPr>
            <w:r w:rsidRPr="00597F44">
              <w:rPr>
                <w:lang w:eastAsia="en-US"/>
              </w:rPr>
              <w:t>Ensure the process is appropriate to the size and complexity of the procurement (simplify electronic tools/transparency/shorter documentation).</w:t>
            </w:r>
          </w:p>
          <w:p w14:paraId="4EFA2575"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rFonts w:cs="FoundryFormSans Book"/>
                <w:b/>
                <w:bCs/>
                <w:noProof/>
              </w:rPr>
            </w:pPr>
            <w:r w:rsidRPr="00597F44">
              <w:rPr>
                <w:lang w:eastAsia="en-US"/>
              </w:rPr>
              <w:t>Set a realistic and transparent response timetable. Keep suppliers informed of any changes to timeframe (consider that suppliers new to government business need time to respond).</w:t>
            </w:r>
          </w:p>
        </w:tc>
      </w:tr>
      <w:tr w:rsidR="004F6237" w:rsidRPr="00597F44" w14:paraId="4C57E3EB" w14:textId="77777777" w:rsidTr="004F6237">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24" w:type="dxa"/>
          </w:tcPr>
          <w:p w14:paraId="456A05FB" w14:textId="77777777" w:rsidR="004F6237" w:rsidRPr="004F6237" w:rsidRDefault="004F6237" w:rsidP="004F6237">
            <w:pPr>
              <w:pStyle w:val="TableText"/>
              <w:rPr>
                <w:noProof/>
                <w:color w:val="auto"/>
              </w:rPr>
            </w:pPr>
            <w:r w:rsidRPr="004F6237">
              <w:rPr>
                <w:noProof/>
                <w:color w:val="auto"/>
              </w:rPr>
              <w:t>Visibility of opportunities/ risks and</w:t>
            </w:r>
            <w:r>
              <w:rPr>
                <w:noProof/>
                <w:color w:val="auto"/>
              </w:rPr>
              <w:t xml:space="preserve"> </w:t>
            </w:r>
            <w:r w:rsidRPr="004F6237">
              <w:rPr>
                <w:noProof/>
                <w:color w:val="auto"/>
              </w:rPr>
              <w:t>transparency</w:t>
            </w:r>
          </w:p>
        </w:tc>
        <w:tc>
          <w:tcPr>
            <w:tcW w:w="7174" w:type="dxa"/>
          </w:tcPr>
          <w:p w14:paraId="0F744FD2"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Use your departmental website to provide information for suppliers. Consider including a document on how procurement works in your department.</w:t>
            </w:r>
          </w:p>
          <w:p w14:paraId="7C26D266"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Publish contact details for both general procurement questions and specific opportunities.</w:t>
            </w:r>
          </w:p>
          <w:p w14:paraId="78628C36" w14:textId="77777777" w:rsidR="004F6237"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Know your target market. Through market analysis, understand the suppliers that are capable of bidding for your contract, whether there are SMEs in the marketplace and how to best inform/engage with them.*</w:t>
            </w:r>
          </w:p>
          <w:p w14:paraId="77A9E8E0"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Pr>
                <w:noProof/>
              </w:rPr>
              <w:t xml:space="preserve">When engaging SMEs, consider all associated risks including financial, capability and resource stability. </w:t>
            </w:r>
          </w:p>
        </w:tc>
      </w:tr>
      <w:tr w:rsidR="004F6237" w:rsidRPr="00597F44" w14:paraId="12D1FBA2" w14:textId="77777777" w:rsidTr="004F6237">
        <w:trPr>
          <w:trHeight w:val="346"/>
        </w:trPr>
        <w:tc>
          <w:tcPr>
            <w:cnfStyle w:val="001000000000" w:firstRow="0" w:lastRow="0" w:firstColumn="1" w:lastColumn="0" w:oddVBand="0" w:evenVBand="0" w:oddHBand="0" w:evenHBand="0" w:firstRowFirstColumn="0" w:firstRowLastColumn="0" w:lastRowFirstColumn="0" w:lastRowLastColumn="0"/>
            <w:tcW w:w="2624" w:type="dxa"/>
          </w:tcPr>
          <w:p w14:paraId="62CF82AA" w14:textId="77777777" w:rsidR="004F6237" w:rsidRPr="004F6237" w:rsidRDefault="004F6237" w:rsidP="004F6237">
            <w:pPr>
              <w:pStyle w:val="TableText"/>
              <w:rPr>
                <w:noProof/>
                <w:color w:val="auto"/>
              </w:rPr>
            </w:pPr>
            <w:r w:rsidRPr="004F6237">
              <w:rPr>
                <w:noProof/>
                <w:color w:val="auto"/>
              </w:rPr>
              <w:t>Large contracts</w:t>
            </w:r>
          </w:p>
        </w:tc>
        <w:tc>
          <w:tcPr>
            <w:tcW w:w="7174" w:type="dxa"/>
          </w:tcPr>
          <w:p w14:paraId="4DD49ADC"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Consider </w:t>
            </w:r>
            <w:r>
              <w:rPr>
                <w:noProof/>
              </w:rPr>
              <w:t>defining the</w:t>
            </w:r>
            <w:r w:rsidRPr="00597F44">
              <w:rPr>
                <w:noProof/>
              </w:rPr>
              <w:t xml:space="preserve"> procurement need into smaller</w:t>
            </w:r>
            <w:r>
              <w:rPr>
                <w:noProof/>
              </w:rPr>
              <w:t xml:space="preserve"> parcels manageable by SMEs as there are still opportunities through aggregated purchasing or large contracts to involve SMEs as part of the primary supply chain </w:t>
            </w:r>
            <w:r w:rsidRPr="00597F44">
              <w:rPr>
                <w:noProof/>
              </w:rPr>
              <w:t>*</w:t>
            </w:r>
          </w:p>
          <w:p w14:paraId="7045C15C"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Reduce the administrative burden on SMEs by simpliflying pre-qualification forms when running a competitive procurement for low-</w:t>
            </w:r>
            <w:r>
              <w:rPr>
                <w:noProof/>
              </w:rPr>
              <w:t>value procurement activities.</w:t>
            </w:r>
            <w:r w:rsidRPr="00597F44">
              <w:rPr>
                <w:noProof/>
              </w:rPr>
              <w:t>*</w:t>
            </w:r>
          </w:p>
          <w:p w14:paraId="3F17E5A7"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It is important to select suppliers that are financially sound and capable of delivering solutions. However, this does not necessarily mean selecting the largest suppliers with the most extensive track record.*</w:t>
            </w:r>
          </w:p>
        </w:tc>
      </w:tr>
      <w:tr w:rsidR="004F6237" w:rsidRPr="00597F44" w14:paraId="626951AC" w14:textId="77777777" w:rsidTr="004F6237">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24" w:type="dxa"/>
          </w:tcPr>
          <w:p w14:paraId="1CAF1FAA" w14:textId="77777777" w:rsidR="004F6237" w:rsidRPr="004F6237" w:rsidRDefault="004F6237" w:rsidP="004F6237">
            <w:pPr>
              <w:pStyle w:val="TableText"/>
              <w:rPr>
                <w:noProof/>
                <w:color w:val="auto"/>
              </w:rPr>
            </w:pPr>
            <w:r w:rsidRPr="004F6237">
              <w:rPr>
                <w:noProof/>
                <w:color w:val="auto"/>
              </w:rPr>
              <w:t>Managing the supply chain</w:t>
            </w:r>
          </w:p>
        </w:tc>
        <w:tc>
          <w:tcPr>
            <w:tcW w:w="7174" w:type="dxa"/>
          </w:tcPr>
          <w:p w14:paraId="055E7DE0"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Where appropriate</w:t>
            </w:r>
            <w:r>
              <w:rPr>
                <w:noProof/>
              </w:rPr>
              <w:t>,</w:t>
            </w:r>
            <w:r w:rsidRPr="00597F44">
              <w:rPr>
                <w:noProof/>
              </w:rPr>
              <w:t xml:space="preserve"> ask your principal suppliers to </w:t>
            </w:r>
            <w:r>
              <w:rPr>
                <w:noProof/>
              </w:rPr>
              <w:t xml:space="preserve">indicate how SMES gain access to </w:t>
            </w:r>
            <w:r w:rsidRPr="00597F44">
              <w:rPr>
                <w:noProof/>
              </w:rPr>
              <w:t xml:space="preserve">their </w:t>
            </w:r>
            <w:r>
              <w:rPr>
                <w:noProof/>
              </w:rPr>
              <w:t>subcontracting</w:t>
            </w:r>
            <w:r w:rsidRPr="00597F44">
              <w:rPr>
                <w:noProof/>
              </w:rPr>
              <w:t xml:space="preserve"> opportunities.*</w:t>
            </w:r>
          </w:p>
          <w:p w14:paraId="150FA7EF"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Be open to consortia bids from SMEs as this is one way in which small businesses</w:t>
            </w:r>
            <w:r>
              <w:rPr>
                <w:noProof/>
              </w:rPr>
              <w:t xml:space="preserve"> can tackle large procurements.</w:t>
            </w:r>
            <w:r w:rsidRPr="00597F44">
              <w:rPr>
                <w:noProof/>
              </w:rPr>
              <w:t>*</w:t>
            </w:r>
          </w:p>
          <w:p w14:paraId="14AA4016"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 xml:space="preserve">Ensure visibility of types of suppliers involved in the supply </w:t>
            </w:r>
            <w:r>
              <w:rPr>
                <w:noProof/>
              </w:rPr>
              <w:t>chain.</w:t>
            </w:r>
            <w:r w:rsidRPr="00597F44">
              <w:rPr>
                <w:noProof/>
              </w:rPr>
              <w:t>*</w:t>
            </w:r>
          </w:p>
        </w:tc>
      </w:tr>
      <w:tr w:rsidR="004F6237" w:rsidRPr="00597F44" w14:paraId="39B62080" w14:textId="77777777" w:rsidTr="004F6237">
        <w:trPr>
          <w:trHeight w:val="368"/>
        </w:trPr>
        <w:tc>
          <w:tcPr>
            <w:cnfStyle w:val="001000000000" w:firstRow="0" w:lastRow="0" w:firstColumn="1" w:lastColumn="0" w:oddVBand="0" w:evenVBand="0" w:oddHBand="0" w:evenHBand="0" w:firstRowFirstColumn="0" w:firstRowLastColumn="0" w:lastRowFirstColumn="0" w:lastRowLastColumn="0"/>
            <w:tcW w:w="2624" w:type="dxa"/>
          </w:tcPr>
          <w:p w14:paraId="7D6F30D6" w14:textId="77777777" w:rsidR="004F6237" w:rsidRPr="004F6237" w:rsidRDefault="004F6237" w:rsidP="004F6237">
            <w:pPr>
              <w:pStyle w:val="TableText"/>
              <w:rPr>
                <w:noProof/>
                <w:color w:val="auto"/>
              </w:rPr>
            </w:pPr>
            <w:r w:rsidRPr="004F6237">
              <w:rPr>
                <w:noProof/>
                <w:color w:val="auto"/>
              </w:rPr>
              <w:t>Specifications</w:t>
            </w:r>
          </w:p>
        </w:tc>
        <w:tc>
          <w:tcPr>
            <w:tcW w:w="7174" w:type="dxa"/>
          </w:tcPr>
          <w:p w14:paraId="2DB17D86"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Make requirements clear and unambiguous, and avoid jargon. </w:t>
            </w:r>
          </w:p>
          <w:p w14:paraId="0D295A38"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Avoid over-specifying the requirement. (i.e.,insurance/indemnity requirements do not inadvertently exclude SMEs from the process).</w:t>
            </w:r>
          </w:p>
          <w:p w14:paraId="0676D656"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Only specify industry standards where necessary. </w:t>
            </w:r>
          </w:p>
          <w:p w14:paraId="1809595E"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Ensure suppliers are aware of the evaluation criteria, weighting methodology and selection process and keep them informed of any changes. </w:t>
            </w:r>
          </w:p>
        </w:tc>
      </w:tr>
      <w:tr w:rsidR="004F6237" w:rsidRPr="00597F44" w14:paraId="0C3057CB" w14:textId="77777777" w:rsidTr="004F6237">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624" w:type="dxa"/>
          </w:tcPr>
          <w:p w14:paraId="1B098E91" w14:textId="77777777" w:rsidR="004F6237" w:rsidRPr="004F6237" w:rsidRDefault="004F6237" w:rsidP="004F6237">
            <w:pPr>
              <w:pStyle w:val="TableText"/>
              <w:rPr>
                <w:noProof/>
                <w:color w:val="auto"/>
              </w:rPr>
            </w:pPr>
            <w:r w:rsidRPr="004F6237">
              <w:rPr>
                <w:noProof/>
                <w:color w:val="auto"/>
              </w:rPr>
              <w:t>Public tenders</w:t>
            </w:r>
          </w:p>
        </w:tc>
        <w:tc>
          <w:tcPr>
            <w:tcW w:w="7174" w:type="dxa"/>
          </w:tcPr>
          <w:p w14:paraId="58AF0FC4"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 xml:space="preserve">Public tendering is </w:t>
            </w:r>
            <w:r>
              <w:rPr>
                <w:noProof/>
              </w:rPr>
              <w:t>cons</w:t>
            </w:r>
            <w:r w:rsidR="000F048A">
              <w:rPr>
                <w:noProof/>
              </w:rPr>
              <w:t>idered</w:t>
            </w:r>
            <w:r>
              <w:rPr>
                <w:noProof/>
              </w:rPr>
              <w:t xml:space="preserve"> to be </w:t>
            </w:r>
            <w:r w:rsidRPr="00597F44">
              <w:rPr>
                <w:noProof/>
              </w:rPr>
              <w:t xml:space="preserve">an onerous process </w:t>
            </w:r>
            <w:r>
              <w:rPr>
                <w:noProof/>
              </w:rPr>
              <w:t>by SME</w:t>
            </w:r>
            <w:r w:rsidR="000F048A">
              <w:rPr>
                <w:noProof/>
              </w:rPr>
              <w:t>s</w:t>
            </w:r>
            <w:r>
              <w:rPr>
                <w:noProof/>
              </w:rPr>
              <w:t>. This</w:t>
            </w:r>
            <w:r w:rsidRPr="00597F44">
              <w:rPr>
                <w:noProof/>
              </w:rPr>
              <w:t xml:space="preserve"> must be </w:t>
            </w:r>
            <w:r>
              <w:rPr>
                <w:noProof/>
              </w:rPr>
              <w:t>taken into consideration when approaching the market</w:t>
            </w:r>
            <w:r w:rsidRPr="00597F44">
              <w:rPr>
                <w:noProof/>
              </w:rPr>
              <w:t>.</w:t>
            </w:r>
          </w:p>
          <w:p w14:paraId="4EFCA9CB"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Avoid unnecessary financial, legal and/or administrative requirements that might exclude SME participation.*</w:t>
            </w:r>
          </w:p>
          <w:p w14:paraId="4E0AB78C" w14:textId="77777777" w:rsidR="004F6237" w:rsidRPr="00597F44" w:rsidRDefault="004F6237" w:rsidP="00230BF1">
            <w:pPr>
              <w:pStyle w:val="TableBullet"/>
              <w:cnfStyle w:val="000000010000" w:firstRow="0" w:lastRow="0" w:firstColumn="0" w:lastColumn="0" w:oddVBand="0" w:evenVBand="0" w:oddHBand="0" w:evenHBand="1" w:firstRowFirstColumn="0" w:firstRowLastColumn="0" w:lastRowFirstColumn="0" w:lastRowLastColumn="0"/>
              <w:rPr>
                <w:noProof/>
              </w:rPr>
            </w:pPr>
            <w:r w:rsidRPr="00597F44">
              <w:rPr>
                <w:noProof/>
              </w:rPr>
              <w:t>Make all tender requirements and instructions clear including indication of anticipated timeframes for completing various tender process stages.</w:t>
            </w:r>
          </w:p>
        </w:tc>
      </w:tr>
      <w:tr w:rsidR="004F6237" w:rsidRPr="00597F44" w14:paraId="4A1D77FF" w14:textId="77777777" w:rsidTr="004F6237">
        <w:trPr>
          <w:trHeight w:val="368"/>
        </w:trPr>
        <w:tc>
          <w:tcPr>
            <w:cnfStyle w:val="001000000000" w:firstRow="0" w:lastRow="0" w:firstColumn="1" w:lastColumn="0" w:oddVBand="0" w:evenVBand="0" w:oddHBand="0" w:evenHBand="0" w:firstRowFirstColumn="0" w:firstRowLastColumn="0" w:lastRowFirstColumn="0" w:lastRowLastColumn="0"/>
            <w:tcW w:w="2624" w:type="dxa"/>
          </w:tcPr>
          <w:p w14:paraId="35A4C9BC" w14:textId="77777777" w:rsidR="004F6237" w:rsidRPr="004F6237" w:rsidRDefault="004F6237" w:rsidP="004F6237">
            <w:pPr>
              <w:pStyle w:val="TableText"/>
              <w:rPr>
                <w:noProof/>
                <w:color w:val="auto"/>
              </w:rPr>
            </w:pPr>
            <w:r w:rsidRPr="004F6237">
              <w:rPr>
                <w:noProof/>
                <w:color w:val="auto"/>
              </w:rPr>
              <w:t>Performance management</w:t>
            </w:r>
          </w:p>
        </w:tc>
        <w:tc>
          <w:tcPr>
            <w:tcW w:w="7174" w:type="dxa"/>
          </w:tcPr>
          <w:p w14:paraId="0DDBF39D" w14:textId="77777777" w:rsidR="004F6237" w:rsidRPr="00597F44" w:rsidRDefault="004F6237" w:rsidP="00230BF1">
            <w:pPr>
              <w:pStyle w:val="TableBulle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Monitor and report on the department’s </w:t>
            </w:r>
            <w:r>
              <w:rPr>
                <w:noProof/>
              </w:rPr>
              <w:t>actions</w:t>
            </w:r>
            <w:r w:rsidRPr="00597F44">
              <w:rPr>
                <w:noProof/>
              </w:rPr>
              <w:t xml:space="preserve"> in engaging with the SME sector.</w:t>
            </w:r>
            <w:r>
              <w:rPr>
                <w:noProof/>
              </w:rPr>
              <w:t>*</w:t>
            </w:r>
          </w:p>
        </w:tc>
      </w:tr>
    </w:tbl>
    <w:p w14:paraId="679140AF" w14:textId="77777777" w:rsidR="004F6237" w:rsidRPr="004F4904" w:rsidRDefault="004F6237" w:rsidP="004F4904">
      <w:pPr>
        <w:pStyle w:val="Heading2"/>
        <w:rPr>
          <w:color w:val="7030A0"/>
        </w:rPr>
      </w:pPr>
      <w:r w:rsidRPr="004F4904">
        <w:rPr>
          <w:color w:val="7030A0"/>
        </w:rPr>
        <w:t>Current government initiatives</w:t>
      </w:r>
    </w:p>
    <w:p w14:paraId="4A6B6B9D" w14:textId="77777777" w:rsidR="004F6237" w:rsidRDefault="004F6237" w:rsidP="004F6237">
      <w:r>
        <w:t xml:space="preserve">Government procurement policies provide the framework to achieve value for money from public sector procurement while being fair, ethical and transparent. There are </w:t>
      </w:r>
      <w:proofErr w:type="gramStart"/>
      <w:r>
        <w:t>a number of</w:t>
      </w:r>
      <w:proofErr w:type="gramEnd"/>
      <w:r>
        <w:t xml:space="preserve"> commonwealth and state policies that government entities must consider during procurement planning. T</w:t>
      </w:r>
      <w:r w:rsidR="004F4904">
        <w:t>he following t</w:t>
      </w:r>
      <w:r>
        <w:t>able lists some of these initiatives, which may help you improve your organisation’s supplier engagement plan.</w:t>
      </w:r>
    </w:p>
    <w:tbl>
      <w:tblPr>
        <w:tblStyle w:val="TableGrid"/>
        <w:tblW w:w="0" w:type="auto"/>
        <w:tblLook w:val="04A0" w:firstRow="1" w:lastRow="0" w:firstColumn="1" w:lastColumn="0" w:noHBand="0" w:noVBand="1"/>
      </w:tblPr>
      <w:tblGrid>
        <w:gridCol w:w="2894"/>
        <w:gridCol w:w="6904"/>
      </w:tblGrid>
      <w:tr w:rsidR="004F6237" w:rsidRPr="00B52D3A" w14:paraId="0517DE2B" w14:textId="77777777" w:rsidTr="004F6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tcPr>
          <w:p w14:paraId="160C5169" w14:textId="77777777" w:rsidR="004F6237" w:rsidRPr="00B52D3A" w:rsidRDefault="004F6237" w:rsidP="00230BF1">
            <w:pPr>
              <w:pStyle w:val="TableHeader"/>
              <w:rPr>
                <w:noProof/>
              </w:rPr>
            </w:pPr>
            <w:r w:rsidRPr="00B52D3A">
              <w:rPr>
                <w:noProof/>
              </w:rPr>
              <w:lastRenderedPageBreak/>
              <w:t>Policy</w:t>
            </w:r>
          </w:p>
        </w:tc>
        <w:tc>
          <w:tcPr>
            <w:tcW w:w="6904" w:type="dxa"/>
          </w:tcPr>
          <w:p w14:paraId="719BE7C8" w14:textId="77777777" w:rsidR="004F6237" w:rsidRPr="00B52D3A" w:rsidRDefault="004F6237" w:rsidP="00230BF1">
            <w:pPr>
              <w:pStyle w:val="TableHeader"/>
              <w:cnfStyle w:val="100000000000" w:firstRow="1" w:lastRow="0" w:firstColumn="0" w:lastColumn="0" w:oddVBand="0" w:evenVBand="0" w:oddHBand="0" w:evenHBand="0" w:firstRowFirstColumn="0" w:firstRowLastColumn="0" w:lastRowFirstColumn="0" w:lastRowLastColumn="0"/>
              <w:rPr>
                <w:noProof/>
              </w:rPr>
            </w:pPr>
            <w:r w:rsidRPr="00B52D3A">
              <w:rPr>
                <w:noProof/>
              </w:rPr>
              <w:t>Description</w:t>
            </w:r>
          </w:p>
        </w:tc>
      </w:tr>
      <w:tr w:rsidR="004F6237" w:rsidRPr="00B52D3A" w14:paraId="7A94F934" w14:textId="77777777" w:rsidTr="004F6237">
        <w:tc>
          <w:tcPr>
            <w:cnfStyle w:val="001000000000" w:firstRow="0" w:lastRow="0" w:firstColumn="1" w:lastColumn="0" w:oddVBand="0" w:evenVBand="0" w:oddHBand="0" w:evenHBand="0" w:firstRowFirstColumn="0" w:firstRowLastColumn="0" w:lastRowFirstColumn="0" w:lastRowLastColumn="0"/>
            <w:tcW w:w="2894" w:type="dxa"/>
          </w:tcPr>
          <w:p w14:paraId="7FB2CA7E" w14:textId="77777777" w:rsidR="004F6237" w:rsidRPr="004F4904" w:rsidRDefault="004F6237" w:rsidP="004F6237">
            <w:pPr>
              <w:pStyle w:val="TableText"/>
              <w:rPr>
                <w:color w:val="auto"/>
              </w:rPr>
            </w:pPr>
            <w:r w:rsidRPr="004F4904">
              <w:rPr>
                <w:color w:val="auto"/>
              </w:rPr>
              <w:t xml:space="preserve">Victorian Government </w:t>
            </w:r>
            <w:r w:rsidRPr="004F4904">
              <w:rPr>
                <w:color w:val="auto"/>
              </w:rPr>
              <w:br/>
              <w:t xml:space="preserve">Purchasing Board (VGPB) Policy </w:t>
            </w:r>
          </w:p>
        </w:tc>
        <w:tc>
          <w:tcPr>
            <w:tcW w:w="6904" w:type="dxa"/>
          </w:tcPr>
          <w:p w14:paraId="090F50CB" w14:textId="77777777" w:rsidR="004F6237" w:rsidRPr="00597F44" w:rsidRDefault="004F6237" w:rsidP="004F6237">
            <w:pPr>
              <w:pStyle w:val="TableText"/>
              <w:cnfStyle w:val="000000000000" w:firstRow="0" w:lastRow="0" w:firstColumn="0" w:lastColumn="0" w:oddVBand="0" w:evenVBand="0" w:oddHBand="0" w:evenHBand="0" w:firstRowFirstColumn="0" w:firstRowLastColumn="0" w:lastRowFirstColumn="0" w:lastRowLastColumn="0"/>
              <w:rPr>
                <w:noProof/>
              </w:rPr>
            </w:pPr>
            <w:r w:rsidRPr="00597F44">
              <w:rPr>
                <w:noProof/>
              </w:rPr>
              <w:t>The VGPB’s procurement reform framework is focused on early market analysis and supplier engagement.</w:t>
            </w:r>
          </w:p>
          <w:p w14:paraId="2B9B2987" w14:textId="77777777" w:rsidR="004F6237" w:rsidRPr="00597F44" w:rsidRDefault="004F6237" w:rsidP="004F6237">
            <w:pPr>
              <w:pStyle w:val="TableText"/>
              <w:cnfStyle w:val="000000000000" w:firstRow="0" w:lastRow="0" w:firstColumn="0" w:lastColumn="0" w:oddVBand="0" w:evenVBand="0" w:oddHBand="0" w:evenHBand="0" w:firstRowFirstColumn="0" w:firstRowLastColumn="0" w:lastRowFirstColumn="0" w:lastRowLastColumn="0"/>
              <w:rPr>
                <w:noProof/>
              </w:rPr>
            </w:pPr>
            <w:r w:rsidRPr="00597F44">
              <w:rPr>
                <w:noProof/>
              </w:rPr>
              <w:t>Consider SME engagement at the planning stage and improve trasparency of procurement opportunities</w:t>
            </w:r>
            <w:r w:rsidR="009047F0">
              <w:rPr>
                <w:noProof/>
              </w:rPr>
              <w:t xml:space="preserve">. </w:t>
            </w:r>
          </w:p>
        </w:tc>
      </w:tr>
      <w:tr w:rsidR="004F6237" w:rsidRPr="00B52D3A" w14:paraId="0DE8BB10" w14:textId="77777777" w:rsidTr="004F62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tcPr>
          <w:p w14:paraId="402945F0" w14:textId="77777777" w:rsidR="004F6237" w:rsidRPr="004F4904" w:rsidRDefault="000F048A" w:rsidP="004F6237">
            <w:pPr>
              <w:pStyle w:val="TableText"/>
              <w:rPr>
                <w:rStyle w:val="Hyperlink"/>
                <w:color w:val="auto"/>
              </w:rPr>
            </w:pPr>
            <w:r w:rsidRPr="004F4904">
              <w:rPr>
                <w:color w:val="auto"/>
              </w:rPr>
              <w:t>Local Jobs First</w:t>
            </w:r>
            <w:r w:rsidR="00870531" w:rsidRPr="004F4904">
              <w:rPr>
                <w:color w:val="auto"/>
              </w:rPr>
              <w:t xml:space="preserve"> Policy</w:t>
            </w:r>
            <w:r w:rsidRPr="004F4904">
              <w:rPr>
                <w:color w:val="auto"/>
              </w:rPr>
              <w:t xml:space="preserve"> </w:t>
            </w:r>
            <w:r w:rsidR="008A0907" w:rsidRPr="004F4904">
              <w:rPr>
                <w:color w:val="auto"/>
              </w:rPr>
              <w:t>(LJF)</w:t>
            </w:r>
          </w:p>
        </w:tc>
        <w:tc>
          <w:tcPr>
            <w:tcW w:w="6904" w:type="dxa"/>
          </w:tcPr>
          <w:p w14:paraId="0A6CE062" w14:textId="77777777" w:rsidR="004F6237" w:rsidRPr="00597F44" w:rsidRDefault="0060373E" w:rsidP="004F6237">
            <w:pPr>
              <w:pStyle w:val="TableText"/>
              <w:cnfStyle w:val="000000010000" w:firstRow="0" w:lastRow="0" w:firstColumn="0" w:lastColumn="0" w:oddVBand="0" w:evenVBand="0" w:oddHBand="0" w:evenHBand="1" w:firstRowFirstColumn="0" w:firstRowLastColumn="0" w:lastRowFirstColumn="0" w:lastRowLastColumn="0"/>
              <w:rPr>
                <w:noProof/>
              </w:rPr>
            </w:pPr>
            <w:r>
              <w:rPr>
                <w:noProof/>
              </w:rPr>
              <w:t xml:space="preserve">Local Jobs First </w:t>
            </w:r>
            <w:r w:rsidR="00240DCA">
              <w:rPr>
                <w:noProof/>
              </w:rPr>
              <w:t xml:space="preserve"> </w:t>
            </w:r>
            <w:r w:rsidR="008A0907">
              <w:rPr>
                <w:noProof/>
              </w:rPr>
              <w:t>comprises the Victorian Industry Participation Policy (</w:t>
            </w:r>
            <w:r w:rsidR="004F6237" w:rsidRPr="00597F44">
              <w:rPr>
                <w:noProof/>
              </w:rPr>
              <w:t>VIPP</w:t>
            </w:r>
            <w:r w:rsidR="008A0907">
              <w:rPr>
                <w:noProof/>
              </w:rPr>
              <w:t>) and the Major Projects Skills Guarantee (MPSG). LJF</w:t>
            </w:r>
            <w:r w:rsidR="004F6237" w:rsidRPr="00597F44">
              <w:rPr>
                <w:noProof/>
              </w:rPr>
              <w:t xml:space="preserve"> is a Victorian Government </w:t>
            </w:r>
            <w:r w:rsidR="000F048A">
              <w:rPr>
                <w:noProof/>
              </w:rPr>
              <w:t>policy</w:t>
            </w:r>
            <w:r w:rsidR="00750B16">
              <w:rPr>
                <w:noProof/>
              </w:rPr>
              <w:t xml:space="preserve">, under the </w:t>
            </w:r>
            <w:r w:rsidR="00750B16" w:rsidRPr="00ED26A1">
              <w:rPr>
                <w:i/>
                <w:noProof/>
              </w:rPr>
              <w:t>Local Jobs First Act 2003</w:t>
            </w:r>
            <w:r w:rsidR="00750B16">
              <w:rPr>
                <w:noProof/>
              </w:rPr>
              <w:t>,</w:t>
            </w:r>
            <w:r w:rsidR="000F048A" w:rsidRPr="00597F44">
              <w:rPr>
                <w:noProof/>
              </w:rPr>
              <w:t xml:space="preserve"> </w:t>
            </w:r>
            <w:r w:rsidR="004F6237" w:rsidRPr="00597F44">
              <w:rPr>
                <w:noProof/>
              </w:rPr>
              <w:t xml:space="preserve">designed to </w:t>
            </w:r>
            <w:r w:rsidR="000F048A">
              <w:rPr>
                <w:noProof/>
              </w:rPr>
              <w:t>ensure</w:t>
            </w:r>
            <w:r w:rsidR="000D0E2E">
              <w:rPr>
                <w:noProof/>
              </w:rPr>
              <w:t xml:space="preserve"> that </w:t>
            </w:r>
            <w:r w:rsidR="00AF07AF">
              <w:rPr>
                <w:noProof/>
              </w:rPr>
              <w:t xml:space="preserve">local </w:t>
            </w:r>
            <w:r w:rsidR="000F048A">
              <w:rPr>
                <w:noProof/>
              </w:rPr>
              <w:t>small and medium size enterprises are given full and fair opportunity to compete for government contracts</w:t>
            </w:r>
            <w:r w:rsidR="008A0907">
              <w:rPr>
                <w:noProof/>
              </w:rPr>
              <w:t>, helping to create job opportunities, including for apprentices trainees and cadets</w:t>
            </w:r>
            <w:r w:rsidR="004F6237" w:rsidRPr="00597F44">
              <w:rPr>
                <w:noProof/>
              </w:rPr>
              <w:t xml:space="preserve">. </w:t>
            </w:r>
          </w:p>
        </w:tc>
      </w:tr>
      <w:tr w:rsidR="004F6237" w:rsidRPr="00B52D3A" w14:paraId="4CB7254B" w14:textId="77777777" w:rsidTr="004F6237">
        <w:tc>
          <w:tcPr>
            <w:cnfStyle w:val="001000000000" w:firstRow="0" w:lastRow="0" w:firstColumn="1" w:lastColumn="0" w:oddVBand="0" w:evenVBand="0" w:oddHBand="0" w:evenHBand="0" w:firstRowFirstColumn="0" w:firstRowLastColumn="0" w:lastRowFirstColumn="0" w:lastRowLastColumn="0"/>
            <w:tcW w:w="2894" w:type="dxa"/>
          </w:tcPr>
          <w:p w14:paraId="345D15C7" w14:textId="77777777" w:rsidR="004F6237" w:rsidRPr="004F4904" w:rsidRDefault="004F6237" w:rsidP="004F6237">
            <w:pPr>
              <w:pStyle w:val="TableText"/>
              <w:rPr>
                <w:rStyle w:val="Hyperlink"/>
                <w:color w:val="auto"/>
              </w:rPr>
            </w:pPr>
            <w:r w:rsidRPr="004F4904">
              <w:rPr>
                <w:color w:val="auto"/>
              </w:rPr>
              <w:t>Regional Growth Fund (RGF) Policy</w:t>
            </w:r>
          </w:p>
        </w:tc>
        <w:tc>
          <w:tcPr>
            <w:tcW w:w="6904" w:type="dxa"/>
          </w:tcPr>
          <w:p w14:paraId="72193946" w14:textId="77777777" w:rsidR="004F6237" w:rsidRPr="00597F44" w:rsidRDefault="004F6237" w:rsidP="004F6237">
            <w:pPr>
              <w:pStyle w:val="TableText"/>
              <w:cnfStyle w:val="000000000000" w:firstRow="0" w:lastRow="0" w:firstColumn="0" w:lastColumn="0" w:oddVBand="0" w:evenVBand="0" w:oddHBand="0" w:evenHBand="0" w:firstRowFirstColumn="0" w:firstRowLastColumn="0" w:lastRowFirstColumn="0" w:lastRowLastColumn="0"/>
              <w:rPr>
                <w:noProof/>
              </w:rPr>
            </w:pPr>
            <w:r w:rsidRPr="00597F44">
              <w:rPr>
                <w:noProof/>
              </w:rPr>
              <w:t>The RGF policy is the Victorian Coalition Government’s $1 billion commitment over eight years to drive regional development across the State. It will support regional cities and country communities to create new prosperity, more opportunities and a better quality of life.</w:t>
            </w:r>
          </w:p>
        </w:tc>
      </w:tr>
      <w:tr w:rsidR="004F6237" w:rsidRPr="00B52D3A" w14:paraId="6C0C6E8F" w14:textId="77777777" w:rsidTr="004F62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4" w:type="dxa"/>
          </w:tcPr>
          <w:p w14:paraId="291E999F" w14:textId="77777777" w:rsidR="004F6237" w:rsidRPr="004F4904" w:rsidRDefault="004F6237" w:rsidP="004F6237">
            <w:pPr>
              <w:pStyle w:val="TableText"/>
              <w:rPr>
                <w:rStyle w:val="Hyperlink"/>
                <w:color w:val="auto"/>
              </w:rPr>
            </w:pPr>
            <w:r w:rsidRPr="004F4904">
              <w:rPr>
                <w:color w:val="auto"/>
              </w:rPr>
              <w:t>Fair Payments Policy</w:t>
            </w:r>
          </w:p>
        </w:tc>
        <w:tc>
          <w:tcPr>
            <w:tcW w:w="6904" w:type="dxa"/>
          </w:tcPr>
          <w:p w14:paraId="15F82768" w14:textId="77777777" w:rsidR="004F6237" w:rsidRPr="00597F44" w:rsidRDefault="004F6237" w:rsidP="004F6237">
            <w:pPr>
              <w:pStyle w:val="TableText"/>
              <w:cnfStyle w:val="000000010000" w:firstRow="0" w:lastRow="0" w:firstColumn="0" w:lastColumn="0" w:oddVBand="0" w:evenVBand="0" w:oddHBand="0" w:evenHBand="1" w:firstRowFirstColumn="0" w:firstRowLastColumn="0" w:lastRowFirstColumn="0" w:lastRowLastColumn="0"/>
              <w:rPr>
                <w:noProof/>
              </w:rPr>
            </w:pPr>
            <w:r w:rsidRPr="00597F44">
              <w:rPr>
                <w:noProof/>
              </w:rPr>
              <w:t>The Victorian Government is committed to including a fair payments clause into Government contracts, to improve cash flow certainty for SMEs.</w:t>
            </w:r>
          </w:p>
        </w:tc>
      </w:tr>
      <w:tr w:rsidR="004F6237" w:rsidRPr="00B52D3A" w14:paraId="1D030139" w14:textId="77777777" w:rsidTr="004F6237">
        <w:tc>
          <w:tcPr>
            <w:cnfStyle w:val="001000000000" w:firstRow="0" w:lastRow="0" w:firstColumn="1" w:lastColumn="0" w:oddVBand="0" w:evenVBand="0" w:oddHBand="0" w:evenHBand="0" w:firstRowFirstColumn="0" w:firstRowLastColumn="0" w:lastRowFirstColumn="0" w:lastRowLastColumn="0"/>
            <w:tcW w:w="2894" w:type="dxa"/>
          </w:tcPr>
          <w:p w14:paraId="33FA637A" w14:textId="77777777" w:rsidR="004F6237" w:rsidRPr="004F4904" w:rsidRDefault="004F6237" w:rsidP="004F6237">
            <w:pPr>
              <w:pStyle w:val="TableText"/>
              <w:rPr>
                <w:rStyle w:val="Hyperlink"/>
                <w:color w:val="auto"/>
              </w:rPr>
            </w:pPr>
            <w:r w:rsidRPr="004F4904">
              <w:rPr>
                <w:color w:val="auto"/>
              </w:rPr>
              <w:t>Free Trade Agreements (FTA)</w:t>
            </w:r>
          </w:p>
        </w:tc>
        <w:tc>
          <w:tcPr>
            <w:tcW w:w="6904" w:type="dxa"/>
          </w:tcPr>
          <w:p w14:paraId="27C71F28" w14:textId="76AE49A1" w:rsidR="004F6237" w:rsidRPr="00597F44" w:rsidRDefault="004F6237" w:rsidP="004F6237">
            <w:pPr>
              <w:pStyle w:val="TableText"/>
              <w:cnfStyle w:val="000000000000" w:firstRow="0" w:lastRow="0" w:firstColumn="0" w:lastColumn="0" w:oddVBand="0" w:evenVBand="0" w:oddHBand="0" w:evenHBand="0" w:firstRowFirstColumn="0" w:firstRowLastColumn="0" w:lastRowFirstColumn="0" w:lastRowLastColumn="0"/>
              <w:rPr>
                <w:noProof/>
              </w:rPr>
            </w:pPr>
            <w:r w:rsidRPr="00597F44">
              <w:rPr>
                <w:noProof/>
              </w:rPr>
              <w:t xml:space="preserve">Australia is required to meet certain legal obligations in relation to FTAs. Australia has </w:t>
            </w:r>
            <w:r w:rsidR="00BD58B2">
              <w:rPr>
                <w:noProof/>
              </w:rPr>
              <w:t>a number of</w:t>
            </w:r>
            <w:r w:rsidR="000F048A" w:rsidRPr="00597F44">
              <w:rPr>
                <w:noProof/>
              </w:rPr>
              <w:t xml:space="preserve"> </w:t>
            </w:r>
            <w:r w:rsidRPr="00597F44">
              <w:rPr>
                <w:noProof/>
              </w:rPr>
              <w:t xml:space="preserve">FTAs currently in force </w:t>
            </w:r>
            <w:r w:rsidR="000F048A">
              <w:rPr>
                <w:noProof/>
              </w:rPr>
              <w:t xml:space="preserve">that contain government procurement provisions </w:t>
            </w:r>
            <w:r w:rsidR="00BD58B2">
              <w:rPr>
                <w:noProof/>
              </w:rPr>
              <w:t xml:space="preserve">including </w:t>
            </w:r>
            <w:r w:rsidRPr="00597F44">
              <w:rPr>
                <w:noProof/>
              </w:rPr>
              <w:t>with New Zealand, Singapore, Thailand, US, Chile</w:t>
            </w:r>
            <w:r w:rsidR="000F048A">
              <w:rPr>
                <w:noProof/>
              </w:rPr>
              <w:t xml:space="preserve">, Japan </w:t>
            </w:r>
            <w:r w:rsidRPr="00597F44">
              <w:rPr>
                <w:noProof/>
              </w:rPr>
              <w:t xml:space="preserve">and </w:t>
            </w:r>
            <w:r w:rsidR="000F048A">
              <w:rPr>
                <w:noProof/>
              </w:rPr>
              <w:t>Korea</w:t>
            </w:r>
            <w:r w:rsidRPr="00597F44">
              <w:rPr>
                <w:noProof/>
              </w:rPr>
              <w:t>.</w:t>
            </w:r>
            <w:r w:rsidR="00CE3DDF">
              <w:rPr>
                <w:noProof/>
              </w:rPr>
              <w:t>This list is current at the time of writing however for full details r</w:t>
            </w:r>
            <w:r w:rsidR="00BD58B2">
              <w:rPr>
                <w:noProof/>
              </w:rPr>
              <w:t xml:space="preserve">efer to </w:t>
            </w:r>
            <w:r w:rsidR="00E35100">
              <w:rPr>
                <w:noProof/>
              </w:rPr>
              <w:t xml:space="preserve">the </w:t>
            </w:r>
            <w:hyperlink r:id="rId9" w:history="1">
              <w:r w:rsidR="00E35100" w:rsidRPr="00E91A78">
                <w:rPr>
                  <w:rStyle w:val="Hyperlink"/>
                  <w:noProof/>
                </w:rPr>
                <w:t>Department of Foreign Affairs and Trade</w:t>
              </w:r>
            </w:hyperlink>
            <w:r w:rsidR="00E35100">
              <w:rPr>
                <w:noProof/>
              </w:rPr>
              <w:t xml:space="preserve"> </w:t>
            </w:r>
          </w:p>
        </w:tc>
      </w:tr>
    </w:tbl>
    <w:p w14:paraId="1752AA52" w14:textId="77777777" w:rsidR="004F6237" w:rsidRPr="004F4904" w:rsidRDefault="004F6237" w:rsidP="004F4904">
      <w:pPr>
        <w:pStyle w:val="Heading2"/>
        <w:rPr>
          <w:color w:val="7030A0"/>
        </w:rPr>
      </w:pPr>
      <w:r w:rsidRPr="004F4904">
        <w:rPr>
          <w:color w:val="7030A0"/>
        </w:rPr>
        <w:t>Resources</w:t>
      </w:r>
    </w:p>
    <w:p w14:paraId="595CD19F" w14:textId="77777777" w:rsidR="004F6237" w:rsidRPr="0096064E" w:rsidRDefault="004F6237" w:rsidP="00E14C9A">
      <w:pPr>
        <w:pStyle w:val="NoteNormalshaded"/>
        <w:keepNext w:val="0"/>
        <w:keepLines w:val="0"/>
        <w:shd w:val="clear" w:color="auto" w:fill="auto"/>
        <w:spacing w:before="100" w:after="100" w:line="260" w:lineRule="atLeast"/>
        <w:outlineLvl w:val="2"/>
        <w:rPr>
          <w:sz w:val="22"/>
        </w:rPr>
      </w:pPr>
      <w:r w:rsidRPr="0096064E">
        <w:rPr>
          <w:sz w:val="22"/>
        </w:rPr>
        <w:t xml:space="preserve">There are </w:t>
      </w:r>
      <w:proofErr w:type="gramStart"/>
      <w:r w:rsidRPr="0096064E">
        <w:rPr>
          <w:sz w:val="22"/>
        </w:rPr>
        <w:t>a number of</w:t>
      </w:r>
      <w:proofErr w:type="gramEnd"/>
      <w:r w:rsidRPr="0096064E">
        <w:rPr>
          <w:sz w:val="22"/>
        </w:rPr>
        <w:t xml:space="preserve"> resources available to help departments understand and/or engage with the SME market:</w:t>
      </w:r>
    </w:p>
    <w:p w14:paraId="58E2A5B0"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Business Victoria (BV):</w:t>
      </w:r>
      <w:r w:rsidRPr="0096064E">
        <w:rPr>
          <w:sz w:val="22"/>
        </w:rPr>
        <w:t xml:space="preserve"> Runs a Winning government business seminar which is popular with SMEs. Departments may liaise with BV to use these seminars as an opportunity to inform SMEs on how and when they can get involved in the depa</w:t>
      </w:r>
      <w:r w:rsidR="006438F6">
        <w:rPr>
          <w:sz w:val="22"/>
        </w:rPr>
        <w:t>rtment’s procurement activities</w:t>
      </w:r>
      <w:r w:rsidRPr="0096064E">
        <w:rPr>
          <w:sz w:val="22"/>
        </w:rPr>
        <w:t>.</w:t>
      </w:r>
    </w:p>
    <w:p w14:paraId="09FB447B"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Industry Capability Network (ICN):</w:t>
      </w:r>
      <w:r w:rsidRPr="0096064E">
        <w:rPr>
          <w:sz w:val="22"/>
        </w:rPr>
        <w:t xml:space="preserve"> </w:t>
      </w:r>
      <w:r w:rsidR="008A0907">
        <w:rPr>
          <w:sz w:val="22"/>
        </w:rPr>
        <w:t>Is a not-for-profit organisation funded by the Victorian Government to support the delivery of Local Jobs First.</w:t>
      </w:r>
      <w:r w:rsidRPr="0096064E">
        <w:rPr>
          <w:sz w:val="22"/>
        </w:rPr>
        <w:t xml:space="preserve"> They offer personal advice and expertise on the supplier landscape in Victoria and are a good resource for departments to identify competitive local </w:t>
      </w:r>
      <w:r w:rsidR="008A0907">
        <w:rPr>
          <w:sz w:val="22"/>
        </w:rPr>
        <w:t xml:space="preserve">industry capability and </w:t>
      </w:r>
      <w:r w:rsidRPr="0096064E">
        <w:rPr>
          <w:sz w:val="22"/>
        </w:rPr>
        <w:t>providers</w:t>
      </w:r>
      <w:r w:rsidR="008A0907">
        <w:rPr>
          <w:sz w:val="22"/>
        </w:rPr>
        <w:t>. The ICN also provides support to Australia and New</w:t>
      </w:r>
      <w:r w:rsidR="002C23A0">
        <w:rPr>
          <w:sz w:val="22"/>
        </w:rPr>
        <w:t xml:space="preserve"> Zealand SMEs seeking opportunities to participate in Victorian Government procurement.</w:t>
      </w:r>
    </w:p>
    <w:p w14:paraId="077ED99C"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Office of the Victorian Small Business Commissioner (VSBC):</w:t>
      </w:r>
      <w:r w:rsidRPr="0096064E">
        <w:rPr>
          <w:sz w:val="22"/>
        </w:rPr>
        <w:t xml:space="preserve"> Departments could leverage the VSBC functions in dispute resolution and small business service charter to improve relationships with SMEs.</w:t>
      </w:r>
    </w:p>
    <w:p w14:paraId="286EEE9F"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 xml:space="preserve">Supply Nation (formerly the Australian Indigenous Minority Supplier Council): </w:t>
      </w:r>
      <w:r w:rsidRPr="0096064E">
        <w:rPr>
          <w:sz w:val="22"/>
        </w:rPr>
        <w:t>The Victorian Government is a member of Supply Nation (SN). Departments must consider Indigenous suppliers on the SN database as part of market analysis.</w:t>
      </w:r>
    </w:p>
    <w:p w14:paraId="42C4FF09" w14:textId="77777777" w:rsidR="004F6237" w:rsidRPr="0096064E" w:rsidRDefault="004F6237" w:rsidP="00E14C9A">
      <w:pPr>
        <w:pStyle w:val="NoteNormalshadedbullet"/>
        <w:keepNext w:val="0"/>
        <w:keepLines w:val="0"/>
        <w:shd w:val="clear" w:color="auto" w:fill="auto"/>
        <w:spacing w:before="100" w:after="100" w:line="260" w:lineRule="atLeast"/>
        <w:ind w:left="720" w:hanging="720"/>
        <w:outlineLvl w:val="2"/>
        <w:rPr>
          <w:sz w:val="22"/>
        </w:rPr>
      </w:pPr>
      <w:r w:rsidRPr="00AC748E">
        <w:rPr>
          <w:b/>
          <w:sz w:val="22"/>
        </w:rPr>
        <w:t>Social Traders:</w:t>
      </w:r>
      <w:r w:rsidRPr="0096064E">
        <w:rPr>
          <w:sz w:val="22"/>
        </w:rPr>
        <w:t xml:space="preserve"> Host events and carry out a range of activities to raise awareness about social enterprises and their benefits. Procurement practitioners could attend these events and investigate opportunities to engage with these suppliers.</w:t>
      </w:r>
    </w:p>
    <w:p w14:paraId="1A78DBBB" w14:textId="77777777" w:rsidR="004F6237" w:rsidRDefault="009A488C" w:rsidP="00E14C9A">
      <w:pPr>
        <w:pStyle w:val="NoteNormalshadedbullet"/>
        <w:keepNext w:val="0"/>
        <w:keepLines w:val="0"/>
        <w:shd w:val="clear" w:color="auto" w:fill="auto"/>
        <w:spacing w:before="100" w:after="100" w:line="260" w:lineRule="atLeast"/>
        <w:ind w:left="720" w:hanging="720"/>
        <w:outlineLvl w:val="2"/>
        <w:rPr>
          <w:sz w:val="22"/>
        </w:rPr>
      </w:pPr>
      <w:r>
        <w:rPr>
          <w:b/>
          <w:sz w:val="22"/>
        </w:rPr>
        <w:t>Victorian Council of Social Services (</w:t>
      </w:r>
      <w:r w:rsidR="004F6237" w:rsidRPr="00AC748E">
        <w:rPr>
          <w:b/>
          <w:sz w:val="22"/>
        </w:rPr>
        <w:t>VCOSS</w:t>
      </w:r>
      <w:r>
        <w:rPr>
          <w:b/>
          <w:sz w:val="22"/>
        </w:rPr>
        <w:t>)</w:t>
      </w:r>
      <w:r w:rsidR="004F6237" w:rsidRPr="00AC748E">
        <w:rPr>
          <w:b/>
          <w:sz w:val="22"/>
        </w:rPr>
        <w:t>:</w:t>
      </w:r>
      <w:r w:rsidR="004F6237" w:rsidRPr="0096064E">
        <w:rPr>
          <w:sz w:val="22"/>
        </w:rPr>
        <w:t xml:space="preserve"> Helps raise awareness on social disadvantages. They can help government by providing evidence-based research and reports on policy issues.</w:t>
      </w:r>
    </w:p>
    <w:p w14:paraId="29925825" w14:textId="77777777" w:rsidR="007F1BA7" w:rsidRDefault="00EB0A46" w:rsidP="00E14C9A">
      <w:pPr>
        <w:pStyle w:val="NoteNormalshadedbullet"/>
        <w:keepNext w:val="0"/>
        <w:keepLines w:val="0"/>
        <w:shd w:val="clear" w:color="auto" w:fill="auto"/>
        <w:spacing w:before="100" w:after="100" w:line="260" w:lineRule="atLeast"/>
        <w:ind w:left="720" w:hanging="720"/>
        <w:outlineLvl w:val="2"/>
        <w:rPr>
          <w:sz w:val="22"/>
        </w:rPr>
      </w:pPr>
      <w:r>
        <w:rPr>
          <w:b/>
          <w:sz w:val="22"/>
        </w:rPr>
        <w:lastRenderedPageBreak/>
        <w:t>Social Procurement Framework (SPF):</w:t>
      </w:r>
      <w:r>
        <w:rPr>
          <w:sz w:val="22"/>
        </w:rPr>
        <w:t xml:space="preserve"> Victoria’s Social Procurement Framework puts social and sustainable outcomes at the centre of the Government’s procurement activity.</w:t>
      </w:r>
    </w:p>
    <w:p w14:paraId="6E4C5AA8" w14:textId="77777777" w:rsidR="004F4904" w:rsidRPr="004F4904" w:rsidRDefault="004F4904" w:rsidP="004F4904">
      <w:pPr>
        <w:pStyle w:val="Heading2"/>
        <w:rPr>
          <w:color w:val="7030A0"/>
        </w:rPr>
      </w:pPr>
      <w:r w:rsidRPr="004F4904">
        <w:rPr>
          <w:color w:val="7030A0"/>
        </w:rPr>
        <w:t>Using this guide</w:t>
      </w:r>
    </w:p>
    <w:p w14:paraId="023EC95C" w14:textId="3E738CC8" w:rsidR="004F4904" w:rsidRPr="001206E6" w:rsidRDefault="004F4904" w:rsidP="00E14C9A">
      <w:r w:rsidRPr="001206E6">
        <w:t xml:space="preserve">This guide accompanies the </w:t>
      </w:r>
      <w:hyperlink r:id="rId10" w:history="1">
        <w:r w:rsidRPr="00E91A78">
          <w:rPr>
            <w:rStyle w:val="Hyperlink"/>
          </w:rPr>
          <w:t>goods and services supply policies</w:t>
        </w:r>
      </w:hyperlink>
      <w:r w:rsidRPr="001206E6">
        <w:t xml:space="preserve">. There are 5 </w:t>
      </w:r>
      <w:r>
        <w:t xml:space="preserve">supply </w:t>
      </w:r>
      <w:r w:rsidRPr="001206E6">
        <w:t>policies:</w:t>
      </w:r>
    </w:p>
    <w:p w14:paraId="3DBF784F" w14:textId="77777777" w:rsidR="004F4904" w:rsidRDefault="004F4904" w:rsidP="00E14C9A">
      <w:pPr>
        <w:pStyle w:val="ListParagraph"/>
        <w:numPr>
          <w:ilvl w:val="0"/>
          <w:numId w:val="34"/>
        </w:numPr>
        <w:ind w:left="0" w:firstLine="0"/>
        <w:rPr>
          <w:rFonts w:cstheme="minorHAnsi"/>
        </w:rPr>
      </w:pPr>
      <w:r>
        <w:rPr>
          <w:rFonts w:cstheme="minorHAnsi"/>
        </w:rPr>
        <w:t>Governance policy</w:t>
      </w:r>
    </w:p>
    <w:p w14:paraId="1A1400AA" w14:textId="77777777" w:rsidR="00E307C9" w:rsidRPr="00D879F1" w:rsidRDefault="00E307C9" w:rsidP="005C60BE">
      <w:pPr>
        <w:pStyle w:val="ListParagraph"/>
        <w:numPr>
          <w:ilvl w:val="0"/>
          <w:numId w:val="34"/>
        </w:numPr>
        <w:ind w:left="0" w:firstLine="0"/>
      </w:pPr>
      <w:r w:rsidRPr="005C60BE">
        <w:rPr>
          <w:rFonts w:cstheme="minorHAnsi"/>
        </w:rPr>
        <w:t>Complexity</w:t>
      </w:r>
      <w:r w:rsidRPr="00D879F1">
        <w:t xml:space="preserve"> and capability </w:t>
      </w:r>
      <w:r>
        <w:t xml:space="preserve">assessment </w:t>
      </w:r>
      <w:r w:rsidRPr="00D879F1">
        <w:t>policy</w:t>
      </w:r>
    </w:p>
    <w:p w14:paraId="797D7D74" w14:textId="77777777" w:rsidR="004F4904" w:rsidRDefault="004F4904" w:rsidP="00E14C9A">
      <w:pPr>
        <w:pStyle w:val="ListParagraph"/>
        <w:numPr>
          <w:ilvl w:val="0"/>
          <w:numId w:val="34"/>
        </w:numPr>
        <w:ind w:left="0" w:firstLine="0"/>
        <w:rPr>
          <w:rFonts w:cstheme="minorHAnsi"/>
        </w:rPr>
      </w:pPr>
      <w:r>
        <w:rPr>
          <w:rFonts w:cstheme="minorHAnsi"/>
        </w:rPr>
        <w:t>Market analysis and review policy</w:t>
      </w:r>
    </w:p>
    <w:p w14:paraId="5E42D36F" w14:textId="77777777" w:rsidR="004F4904" w:rsidRDefault="004F4904" w:rsidP="00E14C9A">
      <w:pPr>
        <w:pStyle w:val="ListParagraph"/>
        <w:numPr>
          <w:ilvl w:val="0"/>
          <w:numId w:val="34"/>
        </w:numPr>
        <w:ind w:left="0" w:firstLine="0"/>
        <w:rPr>
          <w:rFonts w:cstheme="minorHAnsi"/>
        </w:rPr>
      </w:pPr>
      <w:r>
        <w:rPr>
          <w:rFonts w:cstheme="minorHAnsi"/>
        </w:rPr>
        <w:t>Market approach policy</w:t>
      </w:r>
    </w:p>
    <w:p w14:paraId="44B632C0" w14:textId="77777777" w:rsidR="004F4904" w:rsidRDefault="004F4904" w:rsidP="00E14C9A">
      <w:pPr>
        <w:pStyle w:val="ListParagraph"/>
        <w:numPr>
          <w:ilvl w:val="0"/>
          <w:numId w:val="34"/>
        </w:numPr>
        <w:ind w:left="0" w:firstLine="0"/>
        <w:contextualSpacing w:val="0"/>
        <w:rPr>
          <w:rFonts w:cstheme="minorHAnsi"/>
        </w:rPr>
      </w:pPr>
      <w:r>
        <w:rPr>
          <w:rFonts w:cstheme="minorHAnsi"/>
        </w:rPr>
        <w:t>Contract management and disclosure policy</w:t>
      </w:r>
    </w:p>
    <w:p w14:paraId="1CC5B908" w14:textId="7C8CB722" w:rsidR="004F4904" w:rsidRDefault="004F4904" w:rsidP="004F4904">
      <w:pPr>
        <w:spacing w:after="120" w:line="240" w:lineRule="auto"/>
        <w:rPr>
          <w:rFonts w:cstheme="minorHAnsi"/>
        </w:rPr>
      </w:pPr>
      <w:r>
        <w:rPr>
          <w:rFonts w:cstheme="minorHAnsi"/>
        </w:rPr>
        <w:t xml:space="preserve">This guide supports the </w:t>
      </w:r>
      <w:hyperlink r:id="rId11" w:history="1">
        <w:r w:rsidRPr="00E91A78">
          <w:rPr>
            <w:rStyle w:val="Hyperlink"/>
            <w:rFonts w:cstheme="minorHAnsi"/>
          </w:rPr>
          <w:t>Governance policy</w:t>
        </w:r>
      </w:hyperlink>
      <w:r>
        <w:rPr>
          <w:rFonts w:cstheme="minorHAnsi"/>
        </w:rPr>
        <w:t>.</w:t>
      </w:r>
    </w:p>
    <w:p w14:paraId="6858341B" w14:textId="77777777" w:rsidR="00801190" w:rsidRPr="00E14C9A" w:rsidRDefault="00801190" w:rsidP="00E14C9A">
      <w:proofErr w:type="gramStart"/>
      <w:r w:rsidRPr="00E14C9A">
        <w:t>A number of</w:t>
      </w:r>
      <w:proofErr w:type="gramEnd"/>
      <w:r w:rsidRPr="00E14C9A">
        <w:t xml:space="preserve"> VGPB policies and guides refer to engaging with SMEs early in the planning process:</w:t>
      </w:r>
    </w:p>
    <w:p w14:paraId="1AD3E599" w14:textId="4073F25D" w:rsidR="00801190" w:rsidRPr="00E14C9A" w:rsidRDefault="00000000" w:rsidP="00E14C9A">
      <w:pPr>
        <w:pStyle w:val="TableBullet"/>
        <w:spacing w:before="100" w:after="100" w:line="260" w:lineRule="atLeast"/>
        <w:ind w:left="0" w:firstLine="0"/>
        <w:contextualSpacing/>
        <w:rPr>
          <w:sz w:val="22"/>
        </w:rPr>
      </w:pPr>
      <w:hyperlink r:id="rId12" w:history="1">
        <w:r w:rsidR="00E14C9A" w:rsidRPr="00E91A78">
          <w:rPr>
            <w:rStyle w:val="Hyperlink"/>
            <w:sz w:val="22"/>
          </w:rPr>
          <w:t>G</w:t>
        </w:r>
        <w:r w:rsidR="00801190" w:rsidRPr="00E91A78">
          <w:rPr>
            <w:rStyle w:val="Hyperlink"/>
            <w:sz w:val="22"/>
          </w:rPr>
          <w:t xml:space="preserve">overnance </w:t>
        </w:r>
        <w:r w:rsidR="00E14C9A" w:rsidRPr="00E91A78">
          <w:rPr>
            <w:rStyle w:val="Hyperlink"/>
            <w:sz w:val="22"/>
          </w:rPr>
          <w:t xml:space="preserve">– Goods and services </w:t>
        </w:r>
        <w:r w:rsidR="00801190" w:rsidRPr="00E91A78">
          <w:rPr>
            <w:rStyle w:val="Hyperlink"/>
            <w:sz w:val="22"/>
          </w:rPr>
          <w:t>policy</w:t>
        </w:r>
      </w:hyperlink>
      <w:r w:rsidR="00801190" w:rsidRPr="00E14C9A">
        <w:rPr>
          <w:sz w:val="22"/>
        </w:rPr>
        <w:t xml:space="preserve"> (procurement strategy)</w:t>
      </w:r>
    </w:p>
    <w:p w14:paraId="4E1BE6BD" w14:textId="4F689BD9" w:rsidR="00801190" w:rsidRPr="00E14C9A" w:rsidRDefault="00000000" w:rsidP="00E14C9A">
      <w:pPr>
        <w:pStyle w:val="TableBullet"/>
        <w:spacing w:before="100" w:after="100" w:line="260" w:lineRule="atLeast"/>
        <w:ind w:left="0" w:firstLine="0"/>
        <w:contextualSpacing/>
        <w:rPr>
          <w:sz w:val="22"/>
        </w:rPr>
      </w:pPr>
      <w:hyperlink r:id="rId13" w:history="1">
        <w:r w:rsidR="00E14C9A" w:rsidRPr="00E91A78">
          <w:rPr>
            <w:rStyle w:val="Hyperlink"/>
            <w:sz w:val="22"/>
          </w:rPr>
          <w:t>C</w:t>
        </w:r>
        <w:r w:rsidR="00801190" w:rsidRPr="00E91A78">
          <w:rPr>
            <w:rStyle w:val="Hyperlink"/>
            <w:sz w:val="22"/>
          </w:rPr>
          <w:t xml:space="preserve">omplexity and capability </w:t>
        </w:r>
        <w:r w:rsidR="00E14C9A" w:rsidRPr="00E91A78">
          <w:rPr>
            <w:rStyle w:val="Hyperlink"/>
            <w:sz w:val="22"/>
          </w:rPr>
          <w:t xml:space="preserve">– Goods and services </w:t>
        </w:r>
        <w:r w:rsidR="00801190" w:rsidRPr="00E91A78">
          <w:rPr>
            <w:rStyle w:val="Hyperlink"/>
            <w:sz w:val="22"/>
          </w:rPr>
          <w:t>policy</w:t>
        </w:r>
      </w:hyperlink>
      <w:r w:rsidR="00801190" w:rsidRPr="00E14C9A">
        <w:rPr>
          <w:sz w:val="22"/>
        </w:rPr>
        <w:t xml:space="preserve"> (spend and market analysis)</w:t>
      </w:r>
    </w:p>
    <w:p w14:paraId="1F6FB76E" w14:textId="045A8E27" w:rsidR="00801190" w:rsidRPr="00E14C9A" w:rsidRDefault="00000000" w:rsidP="00E14C9A">
      <w:pPr>
        <w:pStyle w:val="TableBullet"/>
        <w:spacing w:before="100" w:after="100" w:line="260" w:lineRule="atLeast"/>
        <w:ind w:left="0" w:firstLine="0"/>
        <w:contextualSpacing/>
        <w:rPr>
          <w:sz w:val="22"/>
        </w:rPr>
      </w:pPr>
      <w:hyperlink r:id="rId14" w:history="1">
        <w:r w:rsidR="00E14C9A" w:rsidRPr="00E91A78">
          <w:rPr>
            <w:rStyle w:val="Hyperlink"/>
            <w:sz w:val="22"/>
          </w:rPr>
          <w:t>Id</w:t>
        </w:r>
        <w:r w:rsidR="00801190" w:rsidRPr="00E91A78">
          <w:rPr>
            <w:rStyle w:val="Hyperlink"/>
            <w:sz w:val="22"/>
          </w:rPr>
          <w:t>entifying procurement categorie</w:t>
        </w:r>
        <w:r w:rsidR="00E14C9A" w:rsidRPr="00E91A78">
          <w:rPr>
            <w:rStyle w:val="Hyperlink"/>
            <w:sz w:val="22"/>
          </w:rPr>
          <w:t>s – Goods and services procurement guide</w:t>
        </w:r>
      </w:hyperlink>
    </w:p>
    <w:p w14:paraId="1BDCB77A" w14:textId="4AAB51E3" w:rsidR="007F1BA7" w:rsidRPr="00E14C9A" w:rsidRDefault="00000000" w:rsidP="00E14C9A">
      <w:pPr>
        <w:pStyle w:val="TableBullet"/>
        <w:spacing w:before="100" w:after="100" w:line="260" w:lineRule="atLeast"/>
        <w:ind w:left="0" w:firstLine="0"/>
        <w:rPr>
          <w:sz w:val="22"/>
          <w:lang w:eastAsia="en-US"/>
        </w:rPr>
      </w:pPr>
      <w:hyperlink r:id="rId15" w:history="1">
        <w:r w:rsidR="00E14C9A" w:rsidRPr="00E91A78">
          <w:rPr>
            <w:rStyle w:val="Hyperlink"/>
            <w:sz w:val="22"/>
          </w:rPr>
          <w:t>I</w:t>
        </w:r>
        <w:r w:rsidR="00801190" w:rsidRPr="00E91A78">
          <w:rPr>
            <w:rStyle w:val="Hyperlink"/>
            <w:sz w:val="22"/>
          </w:rPr>
          <w:t xml:space="preserve">nnovation </w:t>
        </w:r>
        <w:r w:rsidR="0049402F" w:rsidRPr="00E91A78">
          <w:rPr>
            <w:rStyle w:val="Hyperlink"/>
            <w:sz w:val="22"/>
          </w:rPr>
          <w:t>and the</w:t>
        </w:r>
        <w:r w:rsidR="00801190" w:rsidRPr="00E91A78">
          <w:rPr>
            <w:rStyle w:val="Hyperlink"/>
            <w:sz w:val="22"/>
          </w:rPr>
          <w:t xml:space="preserve"> procurement process</w:t>
        </w:r>
        <w:r w:rsidR="00E14C9A" w:rsidRPr="00E91A78">
          <w:rPr>
            <w:rStyle w:val="Hyperlink"/>
            <w:sz w:val="22"/>
          </w:rPr>
          <w:t xml:space="preserve"> – Goods and services procurement guide</w:t>
        </w:r>
      </w:hyperlink>
    </w:p>
    <w:p w14:paraId="7D7785DA" w14:textId="77777777" w:rsidR="007F1BA7" w:rsidRPr="007F1BA7" w:rsidRDefault="007F1BA7" w:rsidP="007F1BA7">
      <w:pPr>
        <w:rPr>
          <w:lang w:eastAsia="en-US"/>
        </w:rPr>
      </w:pPr>
    </w:p>
    <w:p w14:paraId="6D5707C9" w14:textId="77777777" w:rsidR="007F1BA7" w:rsidRDefault="007F1BA7" w:rsidP="007F1BA7">
      <w:pPr>
        <w:rPr>
          <w:lang w:eastAsia="en-US"/>
        </w:rPr>
      </w:pPr>
    </w:p>
    <w:p w14:paraId="3ED29325" w14:textId="77777777" w:rsidR="00E14C9A" w:rsidRDefault="00E14C9A" w:rsidP="007F1BA7">
      <w:pPr>
        <w:rPr>
          <w:lang w:eastAsia="en-US"/>
        </w:rPr>
      </w:pPr>
    </w:p>
    <w:p w14:paraId="2F63C64A" w14:textId="77777777" w:rsidR="00E14C9A" w:rsidRDefault="00E14C9A" w:rsidP="007F1BA7">
      <w:pPr>
        <w:rPr>
          <w:lang w:eastAsia="en-US"/>
        </w:rPr>
      </w:pPr>
    </w:p>
    <w:p w14:paraId="21BAC22D" w14:textId="77777777" w:rsidR="00E14C9A" w:rsidRDefault="00E14C9A" w:rsidP="007F1BA7">
      <w:pPr>
        <w:rPr>
          <w:lang w:eastAsia="en-US"/>
        </w:rPr>
      </w:pPr>
    </w:p>
    <w:p w14:paraId="14B80228" w14:textId="77777777" w:rsidR="00E14C9A" w:rsidRDefault="00E14C9A" w:rsidP="007F1BA7">
      <w:pPr>
        <w:rPr>
          <w:lang w:eastAsia="en-US"/>
        </w:rPr>
      </w:pPr>
    </w:p>
    <w:p w14:paraId="723768C8" w14:textId="77777777" w:rsidR="00E14C9A" w:rsidRDefault="00E14C9A" w:rsidP="007F1BA7">
      <w:pPr>
        <w:rPr>
          <w:lang w:eastAsia="en-US"/>
        </w:rPr>
      </w:pPr>
    </w:p>
    <w:p w14:paraId="52BBBFF5" w14:textId="77777777" w:rsidR="00E14C9A" w:rsidRDefault="00E14C9A" w:rsidP="007F1BA7">
      <w:pPr>
        <w:rPr>
          <w:lang w:eastAsia="en-US"/>
        </w:rPr>
      </w:pPr>
    </w:p>
    <w:p w14:paraId="07C00B39" w14:textId="77777777" w:rsidR="00E14C9A" w:rsidRDefault="00E14C9A" w:rsidP="007F1BA7">
      <w:pPr>
        <w:rPr>
          <w:lang w:eastAsia="en-US"/>
        </w:rPr>
      </w:pPr>
    </w:p>
    <w:p w14:paraId="6D7B4ECA" w14:textId="77777777" w:rsidR="00E14C9A" w:rsidRDefault="00E14C9A" w:rsidP="007F1BA7">
      <w:pPr>
        <w:rPr>
          <w:lang w:eastAsia="en-US"/>
        </w:rPr>
      </w:pPr>
    </w:p>
    <w:p w14:paraId="2E8A875B" w14:textId="77777777" w:rsidR="00E14C9A" w:rsidRDefault="00E14C9A" w:rsidP="007F1BA7">
      <w:pPr>
        <w:rPr>
          <w:lang w:eastAsia="en-US"/>
        </w:rPr>
      </w:pPr>
    </w:p>
    <w:p w14:paraId="13777E29" w14:textId="77777777" w:rsidR="00E14C9A" w:rsidRDefault="00E14C9A" w:rsidP="007F1BA7">
      <w:pPr>
        <w:rPr>
          <w:lang w:eastAsia="en-US"/>
        </w:rPr>
      </w:pPr>
    </w:p>
    <w:p w14:paraId="6A2FA509" w14:textId="77777777" w:rsidR="00E14C9A" w:rsidRDefault="00E14C9A" w:rsidP="007F1BA7">
      <w:pPr>
        <w:rPr>
          <w:lang w:eastAsia="en-US"/>
        </w:rPr>
      </w:pPr>
    </w:p>
    <w:p w14:paraId="40DB48AD" w14:textId="77777777" w:rsidR="00E14C9A" w:rsidRPr="007F1BA7" w:rsidRDefault="00E14C9A" w:rsidP="007F1BA7">
      <w:pPr>
        <w:rPr>
          <w:lang w:eastAsia="en-US"/>
        </w:rPr>
      </w:pPr>
    </w:p>
    <w:p w14:paraId="377FD8BC" w14:textId="77777777" w:rsidR="007F1BA7" w:rsidRDefault="007F1BA7" w:rsidP="007F1BA7">
      <w:pPr>
        <w:rPr>
          <w:lang w:eastAsia="en-US"/>
        </w:rPr>
      </w:pPr>
    </w:p>
    <w:p w14:paraId="3EAA6D81" w14:textId="356300B0" w:rsidR="007F1BA7" w:rsidRPr="00843160" w:rsidRDefault="00655AEA" w:rsidP="007F1BA7">
      <w:r>
        <w:t xml:space="preserve">© </w:t>
      </w:r>
      <w:r w:rsidR="007F1BA7" w:rsidRPr="00843160">
        <w:t>State of Victoria 201</w:t>
      </w:r>
      <w:r>
        <w:t>9 (Victorian Government Purchasing Board)</w:t>
      </w:r>
    </w:p>
    <w:p w14:paraId="2B37B319" w14:textId="77777777" w:rsidR="007F1BA7" w:rsidRPr="00843160" w:rsidRDefault="007F1BA7" w:rsidP="007F1BA7">
      <w:r w:rsidRPr="00843160">
        <w:rPr>
          <w:noProof/>
        </w:rPr>
        <w:drawing>
          <wp:inline distT="0" distB="0" distL="0" distR="0" wp14:anchorId="6BF06A2D" wp14:editId="012632D8">
            <wp:extent cx="1117460" cy="393651"/>
            <wp:effectExtent l="0" t="0" r="6985" b="6985"/>
            <wp:docPr id="2"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7">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12DE99A1" w14:textId="77777777" w:rsidR="007F1BA7" w:rsidRPr="00843160" w:rsidRDefault="007F1BA7" w:rsidP="007F1BA7">
      <w:r w:rsidRPr="00843160">
        <w:t xml:space="preserve">This work is licensed under a </w:t>
      </w:r>
      <w:hyperlink r:id="rId18"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0B87D46" w14:textId="77777777" w:rsidR="007F1BA7" w:rsidRDefault="007F1BA7" w:rsidP="007F1BA7">
      <w:pPr>
        <w:rPr>
          <w:color w:val="660B68"/>
        </w:rPr>
      </w:pPr>
      <w:r w:rsidRPr="00843160">
        <w:t xml:space="preserve">Copyright queries may be directed to </w:t>
      </w:r>
      <w:hyperlink r:id="rId19" w:history="1">
        <w:r w:rsidRPr="00843160">
          <w:rPr>
            <w:color w:val="660B68"/>
          </w:rPr>
          <w:t>IPpolicy@dtf.vic.gov.au</w:t>
        </w:r>
      </w:hyperlink>
    </w:p>
    <w:p w14:paraId="40AA9A5B" w14:textId="77777777" w:rsidR="00EB0A46" w:rsidRPr="007F1BA7" w:rsidRDefault="00EB0A46" w:rsidP="007F1BA7">
      <w:pPr>
        <w:tabs>
          <w:tab w:val="left" w:pos="8430"/>
        </w:tabs>
        <w:rPr>
          <w:lang w:eastAsia="en-US"/>
        </w:rPr>
      </w:pPr>
    </w:p>
    <w:sectPr w:rsidR="00EB0A46" w:rsidRPr="007F1BA7" w:rsidSect="00E074C6">
      <w:headerReference w:type="default" r:id="rId20"/>
      <w:footerReference w:type="default" r:id="rId21"/>
      <w:headerReference w:type="first" r:id="rId22"/>
      <w:footerReference w:type="first" r:id="rId23"/>
      <w:pgSz w:w="11901" w:h="16840" w:code="9"/>
      <w:pgMar w:top="1560" w:right="1008" w:bottom="1560" w:left="1152" w:header="426" w:footer="8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67F94" w14:textId="77777777" w:rsidR="005D3319" w:rsidRDefault="005D3319">
      <w:r>
        <w:separator/>
      </w:r>
    </w:p>
    <w:p w14:paraId="69094C05" w14:textId="77777777" w:rsidR="005D3319" w:rsidRDefault="005D3319"/>
  </w:endnote>
  <w:endnote w:type="continuationSeparator" w:id="0">
    <w:p w14:paraId="01CFCAAF" w14:textId="77777777" w:rsidR="005D3319" w:rsidRDefault="005D3319">
      <w:r>
        <w:continuationSeparator/>
      </w:r>
    </w:p>
    <w:p w14:paraId="1B9F4CF4" w14:textId="77777777" w:rsidR="005D3319" w:rsidRDefault="005D3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undryFormSans 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1B19" w14:textId="016D7162" w:rsidR="00655AEA" w:rsidRDefault="00655AEA" w:rsidP="00E074C6">
    <w:pPr>
      <w:pStyle w:val="Footer"/>
      <w:tabs>
        <w:tab w:val="clear" w:pos="8220"/>
        <w:tab w:val="right" w:pos="9741"/>
      </w:tabs>
      <w:jc w:val="left"/>
    </w:pPr>
    <w:r>
      <w:t>Victorian Government Purchasing Board</w:t>
    </w:r>
  </w:p>
  <w:p w14:paraId="79C6C6D0" w14:textId="34F122D5" w:rsidR="00E074C6" w:rsidRDefault="00A62523" w:rsidP="00E074C6">
    <w:pPr>
      <w:pStyle w:val="Footer"/>
      <w:tabs>
        <w:tab w:val="clear" w:pos="8220"/>
        <w:tab w:val="right" w:pos="9741"/>
      </w:tabs>
      <w:jc w:val="left"/>
    </w:pPr>
    <w:r>
      <mc:AlternateContent>
        <mc:Choice Requires="wps">
          <w:drawing>
            <wp:anchor distT="0" distB="0" distL="114300" distR="114300" simplePos="0" relativeHeight="251687936" behindDoc="0" locked="0" layoutInCell="0" allowOverlap="1" wp14:anchorId="2B9C20AE" wp14:editId="47E71663">
              <wp:simplePos x="0" y="0"/>
              <wp:positionH relativeFrom="page">
                <wp:posOffset>0</wp:posOffset>
              </wp:positionH>
              <wp:positionV relativeFrom="page">
                <wp:posOffset>10236200</wp:posOffset>
              </wp:positionV>
              <wp:extent cx="7557135" cy="266700"/>
              <wp:effectExtent l="0" t="0" r="0" b="0"/>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0ED47" w14:textId="629F38A4" w:rsidR="00A62523" w:rsidRPr="00A62523" w:rsidRDefault="00A62523" w:rsidP="00A62523">
                          <w:pPr>
                            <w:spacing w:before="0" w:after="0"/>
                            <w:rPr>
                              <w:color w:val="000000"/>
                            </w:rPr>
                          </w:pPr>
                          <w:r w:rsidRPr="00A62523">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9C20AE"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4350ED47" w14:textId="629F38A4" w:rsidR="00A62523" w:rsidRPr="00A62523" w:rsidRDefault="00A62523" w:rsidP="00A62523">
                    <w:pPr>
                      <w:spacing w:before="0" w:after="0"/>
                      <w:rPr>
                        <w:color w:val="000000"/>
                      </w:rPr>
                    </w:pPr>
                    <w:r w:rsidRPr="00A62523">
                      <w:rPr>
                        <w:color w:val="000000"/>
                      </w:rPr>
                      <w:t>OFFICIAL</w:t>
                    </w:r>
                  </w:p>
                </w:txbxContent>
              </v:textbox>
              <w10:wrap anchorx="page" anchory="page"/>
            </v:shape>
          </w:pict>
        </mc:Fallback>
      </mc:AlternateContent>
    </w:r>
    <w:sdt>
      <w:sdtPr>
        <w:id w:val="1128357494"/>
        <w:docPartObj>
          <w:docPartGallery w:val="Page Numbers (Bottom of Page)"/>
          <w:docPartUnique/>
        </w:docPartObj>
      </w:sdtPr>
      <w:sdtContent>
        <w:sdt>
          <w:sdtPr>
            <w:id w:val="604231618"/>
            <w:docPartObj>
              <w:docPartGallery w:val="Page Numbers (Top of Page)"/>
              <w:docPartUnique/>
            </w:docPartObj>
          </w:sdtPr>
          <w:sdtContent>
            <w:r w:rsidR="00E074C6">
              <w:t>Improving access to government for SMEs – Goods and services procurement guide</w:t>
            </w:r>
            <w:r w:rsidR="00E074C6">
              <w:br/>
            </w:r>
            <w:r w:rsidR="00E14C9A">
              <w:t>June 2019</w:t>
            </w:r>
            <w:r w:rsidR="00E074C6">
              <w:tab/>
              <w:t xml:space="preserve">Page </w:t>
            </w:r>
            <w:r w:rsidR="00E074C6">
              <w:rPr>
                <w:b/>
                <w:bCs/>
                <w:sz w:val="24"/>
                <w:szCs w:val="24"/>
              </w:rPr>
              <w:fldChar w:fldCharType="begin"/>
            </w:r>
            <w:r w:rsidR="00E074C6">
              <w:rPr>
                <w:b/>
                <w:bCs/>
              </w:rPr>
              <w:instrText xml:space="preserve"> PAGE </w:instrText>
            </w:r>
            <w:r w:rsidR="00E074C6">
              <w:rPr>
                <w:b/>
                <w:bCs/>
                <w:sz w:val="24"/>
                <w:szCs w:val="24"/>
              </w:rPr>
              <w:fldChar w:fldCharType="separate"/>
            </w:r>
            <w:r w:rsidR="00E074C6">
              <w:rPr>
                <w:b/>
                <w:bCs/>
              </w:rPr>
              <w:t>2</w:t>
            </w:r>
            <w:r w:rsidR="00E074C6">
              <w:rPr>
                <w:b/>
                <w:bCs/>
                <w:sz w:val="24"/>
                <w:szCs w:val="24"/>
              </w:rPr>
              <w:fldChar w:fldCharType="end"/>
            </w:r>
            <w:r w:rsidR="00E074C6">
              <w:t xml:space="preserve"> of </w:t>
            </w:r>
            <w:r w:rsidR="00E074C6">
              <w:rPr>
                <w:b/>
                <w:bCs/>
                <w:sz w:val="24"/>
                <w:szCs w:val="24"/>
              </w:rPr>
              <w:fldChar w:fldCharType="begin"/>
            </w:r>
            <w:r w:rsidR="00E074C6">
              <w:rPr>
                <w:b/>
                <w:bCs/>
              </w:rPr>
              <w:instrText xml:space="preserve"> NUMPAGES  </w:instrText>
            </w:r>
            <w:r w:rsidR="00E074C6">
              <w:rPr>
                <w:b/>
                <w:bCs/>
                <w:sz w:val="24"/>
                <w:szCs w:val="24"/>
              </w:rPr>
              <w:fldChar w:fldCharType="separate"/>
            </w:r>
            <w:r w:rsidR="00E074C6">
              <w:rPr>
                <w:b/>
                <w:bCs/>
              </w:rPr>
              <w:t>2</w:t>
            </w:r>
            <w:r w:rsidR="00E074C6">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1155" w14:textId="77777777" w:rsidR="00EA2773" w:rsidRDefault="003A7B94" w:rsidP="003C0F49">
    <w:pPr>
      <w:pStyle w:val="Footer"/>
    </w:pPr>
    <w:r>
      <mc:AlternateContent>
        <mc:Choice Requires="wps">
          <w:drawing>
            <wp:anchor distT="0" distB="0" distL="114300" distR="114300" simplePos="0" relativeHeight="251670016" behindDoc="0" locked="0" layoutInCell="0" allowOverlap="1" wp14:anchorId="1EA6611C" wp14:editId="6FE84124">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DFBDF" w14:textId="77777777" w:rsidR="003A7B94" w:rsidRPr="003A7B94" w:rsidRDefault="003A7B94" w:rsidP="003A7B94">
                          <w:pPr>
                            <w:spacing w:before="0" w:after="0"/>
                            <w:rPr>
                              <w:color w:val="000000"/>
                            </w:rPr>
                          </w:pPr>
                          <w:r w:rsidRPr="003A7B9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A6611C"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2F8DFBDF" w14:textId="77777777" w:rsidR="003A7B94" w:rsidRPr="003A7B94" w:rsidRDefault="003A7B94" w:rsidP="003A7B94">
                    <w:pPr>
                      <w:spacing w:before="0" w:after="0"/>
                      <w:rPr>
                        <w:color w:val="000000"/>
                      </w:rPr>
                    </w:pPr>
                    <w:r w:rsidRPr="003A7B94">
                      <w:rPr>
                        <w:color w:val="000000"/>
                      </w:rPr>
                      <w:t>OFFICIAL</w:t>
                    </w:r>
                  </w:p>
                </w:txbxContent>
              </v:textbox>
              <w10:wrap anchorx="page" anchory="page"/>
            </v:shape>
          </w:pict>
        </mc:Fallback>
      </mc:AlternateContent>
    </w:r>
    <w:r w:rsidR="00EA2773">
      <w:drawing>
        <wp:anchor distT="0" distB="0" distL="114300" distR="114300" simplePos="0" relativeHeight="251649536" behindDoc="0" locked="0" layoutInCell="1" allowOverlap="1" wp14:anchorId="3C17F757" wp14:editId="7E78A8C8">
          <wp:simplePos x="0" y="0"/>
          <wp:positionH relativeFrom="column">
            <wp:posOffset>5861050</wp:posOffset>
          </wp:positionH>
          <wp:positionV relativeFrom="page">
            <wp:posOffset>10049510</wp:posOffset>
          </wp:positionV>
          <wp:extent cx="758952" cy="438912"/>
          <wp:effectExtent l="0" t="0" r="3175" b="0"/>
          <wp:wrapNone/>
          <wp:docPr id="288" name="Picture 288"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F2D7E" w14:textId="77777777" w:rsidR="005D3319" w:rsidRDefault="005D3319">
      <w:r>
        <w:separator/>
      </w:r>
    </w:p>
    <w:p w14:paraId="70813368" w14:textId="77777777" w:rsidR="005D3319" w:rsidRDefault="005D3319"/>
  </w:footnote>
  <w:footnote w:type="continuationSeparator" w:id="0">
    <w:p w14:paraId="749A6605" w14:textId="77777777" w:rsidR="005D3319" w:rsidRDefault="005D3319">
      <w:r>
        <w:continuationSeparator/>
      </w:r>
    </w:p>
    <w:p w14:paraId="6248C1A7" w14:textId="77777777" w:rsidR="005D3319" w:rsidRDefault="005D3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6654" w14:textId="32DE6D8B" w:rsidR="00EA2773" w:rsidRPr="00E074C6" w:rsidRDefault="00E074C6" w:rsidP="00E074C6">
    <w:pPr>
      <w:pStyle w:val="Header"/>
      <w:tabs>
        <w:tab w:val="clear" w:pos="10350"/>
        <w:tab w:val="right" w:pos="9498"/>
      </w:tabs>
      <w:spacing w:before="240"/>
      <w:ind w:right="102"/>
      <w:rPr>
        <w:sz w:val="20"/>
        <w:szCs w:val="20"/>
      </w:rPr>
    </w:pPr>
    <w:r>
      <w:rPr>
        <w:sz w:val="20"/>
        <w:szCs w:val="20"/>
      </w:rPr>
      <w:t xml:space="preserve">Department of </w:t>
    </w:r>
    <w:r w:rsidR="00582F00">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3DDC" w14:textId="77777777" w:rsidR="00EA2773" w:rsidRPr="007602D7" w:rsidRDefault="00EA2773" w:rsidP="00B54F88">
    <w:pPr>
      <w:pStyle w:val="Header"/>
      <w:spacing w:before="240"/>
      <w:ind w:right="-461"/>
    </w:pPr>
    <w:r w:rsidRPr="000E286D">
      <w:drawing>
        <wp:anchor distT="0" distB="0" distL="114300" distR="114300" simplePos="0" relativeHeight="251656704" behindDoc="1" locked="0" layoutInCell="1" allowOverlap="1" wp14:anchorId="2DEC43C9" wp14:editId="5BF13A81">
          <wp:simplePos x="0" y="0"/>
          <wp:positionH relativeFrom="column">
            <wp:posOffset>-731520</wp:posOffset>
          </wp:positionH>
          <wp:positionV relativeFrom="paragraph">
            <wp:posOffset>-200133</wp:posOffset>
          </wp:positionV>
          <wp:extent cx="560717" cy="10717356"/>
          <wp:effectExtent l="0" t="0" r="0" b="825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05E4173" wp14:editId="4B01C9C5">
          <wp:extent cx="2162175" cy="133350"/>
          <wp:effectExtent l="0" t="0" r="0" b="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8"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011F43"/>
    <w:multiLevelType w:val="hybridMultilevel"/>
    <w:tmpl w:val="EE049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9"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3582032">
    <w:abstractNumId w:val="3"/>
  </w:num>
  <w:num w:numId="2" w16cid:durableId="331031324">
    <w:abstractNumId w:val="0"/>
  </w:num>
  <w:num w:numId="3" w16cid:durableId="942685679">
    <w:abstractNumId w:val="30"/>
  </w:num>
  <w:num w:numId="4" w16cid:durableId="1242642013">
    <w:abstractNumId w:val="20"/>
  </w:num>
  <w:num w:numId="5" w16cid:durableId="1030302800">
    <w:abstractNumId w:val="6"/>
  </w:num>
  <w:num w:numId="6" w16cid:durableId="881793858">
    <w:abstractNumId w:val="5"/>
  </w:num>
  <w:num w:numId="7" w16cid:durableId="2019767703">
    <w:abstractNumId w:val="4"/>
  </w:num>
  <w:num w:numId="8" w16cid:durableId="1488132679">
    <w:abstractNumId w:val="35"/>
  </w:num>
  <w:num w:numId="9" w16cid:durableId="461846598">
    <w:abstractNumId w:val="22"/>
  </w:num>
  <w:num w:numId="10" w16cid:durableId="331879314">
    <w:abstractNumId w:val="11"/>
  </w:num>
  <w:num w:numId="11" w16cid:durableId="644236104">
    <w:abstractNumId w:val="13"/>
  </w:num>
  <w:num w:numId="12" w16cid:durableId="1067797377">
    <w:abstractNumId w:val="34"/>
  </w:num>
  <w:num w:numId="13" w16cid:durableId="597298056">
    <w:abstractNumId w:val="14"/>
  </w:num>
  <w:num w:numId="14" w16cid:durableId="855342725">
    <w:abstractNumId w:val="26"/>
  </w:num>
  <w:num w:numId="15" w16cid:durableId="895554576">
    <w:abstractNumId w:val="23"/>
  </w:num>
  <w:num w:numId="16" w16cid:durableId="14059082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8245822">
    <w:abstractNumId w:val="31"/>
  </w:num>
  <w:num w:numId="18" w16cid:durableId="1892572718">
    <w:abstractNumId w:val="12"/>
  </w:num>
  <w:num w:numId="19" w16cid:durableId="2115440020">
    <w:abstractNumId w:val="2"/>
  </w:num>
  <w:num w:numId="20" w16cid:durableId="1577088526">
    <w:abstractNumId w:val="1"/>
  </w:num>
  <w:num w:numId="21" w16cid:durableId="6016934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1752355">
    <w:abstractNumId w:val="27"/>
  </w:num>
  <w:num w:numId="23" w16cid:durableId="1486163188">
    <w:abstractNumId w:val="27"/>
    <w:lvlOverride w:ilvl="0">
      <w:startOverride w:val="1"/>
    </w:lvlOverride>
  </w:num>
  <w:num w:numId="24" w16cid:durableId="46682887">
    <w:abstractNumId w:val="27"/>
    <w:lvlOverride w:ilvl="0">
      <w:startOverride w:val="1"/>
    </w:lvlOverride>
  </w:num>
  <w:num w:numId="25" w16cid:durableId="19996499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30252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35675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8566914">
    <w:abstractNumId w:val="8"/>
  </w:num>
  <w:num w:numId="29" w16cid:durableId="588928354">
    <w:abstractNumId w:val="29"/>
  </w:num>
  <w:num w:numId="30" w16cid:durableId="670107531">
    <w:abstractNumId w:val="16"/>
  </w:num>
  <w:num w:numId="31" w16cid:durableId="491146101">
    <w:abstractNumId w:val="24"/>
  </w:num>
  <w:num w:numId="32" w16cid:durableId="1355038519">
    <w:abstractNumId w:val="31"/>
  </w:num>
  <w:num w:numId="33" w16cid:durableId="632492096">
    <w:abstractNumId w:val="19"/>
  </w:num>
  <w:num w:numId="34" w16cid:durableId="233660702">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0518"/>
    <w:rsid w:val="00006544"/>
    <w:rsid w:val="00010BD3"/>
    <w:rsid w:val="0001144C"/>
    <w:rsid w:val="00016492"/>
    <w:rsid w:val="00026C82"/>
    <w:rsid w:val="000316FC"/>
    <w:rsid w:val="0004698A"/>
    <w:rsid w:val="00063BFD"/>
    <w:rsid w:val="00086691"/>
    <w:rsid w:val="000949CB"/>
    <w:rsid w:val="000A12C1"/>
    <w:rsid w:val="000C141A"/>
    <w:rsid w:val="000C1C01"/>
    <w:rsid w:val="000C3368"/>
    <w:rsid w:val="000C3814"/>
    <w:rsid w:val="000D0E2E"/>
    <w:rsid w:val="000E4881"/>
    <w:rsid w:val="000E5B4E"/>
    <w:rsid w:val="000F048A"/>
    <w:rsid w:val="000F54E7"/>
    <w:rsid w:val="00104077"/>
    <w:rsid w:val="0011789C"/>
    <w:rsid w:val="001213BE"/>
    <w:rsid w:val="001251C4"/>
    <w:rsid w:val="00126C86"/>
    <w:rsid w:val="00131480"/>
    <w:rsid w:val="00135230"/>
    <w:rsid w:val="00143A23"/>
    <w:rsid w:val="00157448"/>
    <w:rsid w:val="00164424"/>
    <w:rsid w:val="00181844"/>
    <w:rsid w:val="00184E1A"/>
    <w:rsid w:val="0018749C"/>
    <w:rsid w:val="001A7B19"/>
    <w:rsid w:val="001B0B3F"/>
    <w:rsid w:val="001C0319"/>
    <w:rsid w:val="001C26F5"/>
    <w:rsid w:val="001C351D"/>
    <w:rsid w:val="001C6970"/>
    <w:rsid w:val="001D0547"/>
    <w:rsid w:val="001D60E6"/>
    <w:rsid w:val="001E0A43"/>
    <w:rsid w:val="001E67A9"/>
    <w:rsid w:val="00205B35"/>
    <w:rsid w:val="002063AC"/>
    <w:rsid w:val="002123EC"/>
    <w:rsid w:val="00225175"/>
    <w:rsid w:val="00230BF1"/>
    <w:rsid w:val="002344F7"/>
    <w:rsid w:val="00240DCA"/>
    <w:rsid w:val="00252F44"/>
    <w:rsid w:val="002578C1"/>
    <w:rsid w:val="00260106"/>
    <w:rsid w:val="00267317"/>
    <w:rsid w:val="00267638"/>
    <w:rsid w:val="00283A24"/>
    <w:rsid w:val="002A18C2"/>
    <w:rsid w:val="002A4C3E"/>
    <w:rsid w:val="002C23A0"/>
    <w:rsid w:val="002C4EC9"/>
    <w:rsid w:val="002C6424"/>
    <w:rsid w:val="002E7EFC"/>
    <w:rsid w:val="002F2549"/>
    <w:rsid w:val="002F64DF"/>
    <w:rsid w:val="002F759B"/>
    <w:rsid w:val="002F7AEB"/>
    <w:rsid w:val="00307CC0"/>
    <w:rsid w:val="00322500"/>
    <w:rsid w:val="00351035"/>
    <w:rsid w:val="0035331C"/>
    <w:rsid w:val="00356750"/>
    <w:rsid w:val="00365045"/>
    <w:rsid w:val="00366405"/>
    <w:rsid w:val="003738EE"/>
    <w:rsid w:val="00386859"/>
    <w:rsid w:val="00391977"/>
    <w:rsid w:val="00392E0C"/>
    <w:rsid w:val="00394D1C"/>
    <w:rsid w:val="00394EA9"/>
    <w:rsid w:val="003969A2"/>
    <w:rsid w:val="003A32E0"/>
    <w:rsid w:val="003A4A87"/>
    <w:rsid w:val="003A7B94"/>
    <w:rsid w:val="003B0731"/>
    <w:rsid w:val="003B5700"/>
    <w:rsid w:val="003B5EDB"/>
    <w:rsid w:val="003B6A2C"/>
    <w:rsid w:val="003C0F49"/>
    <w:rsid w:val="003C3ED0"/>
    <w:rsid w:val="003D01BD"/>
    <w:rsid w:val="003E230C"/>
    <w:rsid w:val="003E66B9"/>
    <w:rsid w:val="003F016E"/>
    <w:rsid w:val="003F45D9"/>
    <w:rsid w:val="003F4E27"/>
    <w:rsid w:val="004113E1"/>
    <w:rsid w:val="00422FAB"/>
    <w:rsid w:val="00427659"/>
    <w:rsid w:val="00430A03"/>
    <w:rsid w:val="00436091"/>
    <w:rsid w:val="004455A7"/>
    <w:rsid w:val="00451758"/>
    <w:rsid w:val="00462DB3"/>
    <w:rsid w:val="00466D77"/>
    <w:rsid w:val="00467979"/>
    <w:rsid w:val="00475FC8"/>
    <w:rsid w:val="00480708"/>
    <w:rsid w:val="004907E5"/>
    <w:rsid w:val="0049402F"/>
    <w:rsid w:val="004A2DD7"/>
    <w:rsid w:val="004A460D"/>
    <w:rsid w:val="004B0978"/>
    <w:rsid w:val="004B534D"/>
    <w:rsid w:val="004C7E27"/>
    <w:rsid w:val="004D7D40"/>
    <w:rsid w:val="004F1A9B"/>
    <w:rsid w:val="004F4904"/>
    <w:rsid w:val="004F6237"/>
    <w:rsid w:val="005013B3"/>
    <w:rsid w:val="00505FD8"/>
    <w:rsid w:val="00506E38"/>
    <w:rsid w:val="00510293"/>
    <w:rsid w:val="0051295C"/>
    <w:rsid w:val="005155EC"/>
    <w:rsid w:val="00517919"/>
    <w:rsid w:val="00535B0C"/>
    <w:rsid w:val="00536699"/>
    <w:rsid w:val="0054032A"/>
    <w:rsid w:val="00542A7C"/>
    <w:rsid w:val="005530CD"/>
    <w:rsid w:val="00562809"/>
    <w:rsid w:val="005637F1"/>
    <w:rsid w:val="00564D54"/>
    <w:rsid w:val="005733B2"/>
    <w:rsid w:val="00573DFF"/>
    <w:rsid w:val="00574189"/>
    <w:rsid w:val="00577C5A"/>
    <w:rsid w:val="00582F00"/>
    <w:rsid w:val="00583851"/>
    <w:rsid w:val="005867F0"/>
    <w:rsid w:val="005A2294"/>
    <w:rsid w:val="005A51DC"/>
    <w:rsid w:val="005B39F7"/>
    <w:rsid w:val="005B4291"/>
    <w:rsid w:val="005B7317"/>
    <w:rsid w:val="005C60BE"/>
    <w:rsid w:val="005C69CC"/>
    <w:rsid w:val="005C754B"/>
    <w:rsid w:val="005D3319"/>
    <w:rsid w:val="005D33BD"/>
    <w:rsid w:val="005D3801"/>
    <w:rsid w:val="005D502E"/>
    <w:rsid w:val="005E006C"/>
    <w:rsid w:val="005E32AE"/>
    <w:rsid w:val="005F0BBF"/>
    <w:rsid w:val="005F0BE7"/>
    <w:rsid w:val="005F6958"/>
    <w:rsid w:val="0060373E"/>
    <w:rsid w:val="00610AFF"/>
    <w:rsid w:val="0061436C"/>
    <w:rsid w:val="0062775C"/>
    <w:rsid w:val="006438F6"/>
    <w:rsid w:val="00645ADA"/>
    <w:rsid w:val="0064686E"/>
    <w:rsid w:val="00647E27"/>
    <w:rsid w:val="00655AE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36B8"/>
    <w:rsid w:val="0072437E"/>
    <w:rsid w:val="00724EA7"/>
    <w:rsid w:val="007254AC"/>
    <w:rsid w:val="00731D56"/>
    <w:rsid w:val="0073778D"/>
    <w:rsid w:val="00745F07"/>
    <w:rsid w:val="00747EAA"/>
    <w:rsid w:val="00750B16"/>
    <w:rsid w:val="00752AD5"/>
    <w:rsid w:val="00753A37"/>
    <w:rsid w:val="0075637D"/>
    <w:rsid w:val="007602D7"/>
    <w:rsid w:val="00771EC3"/>
    <w:rsid w:val="0077373E"/>
    <w:rsid w:val="00773ACE"/>
    <w:rsid w:val="0077512D"/>
    <w:rsid w:val="007809B7"/>
    <w:rsid w:val="00782E8F"/>
    <w:rsid w:val="00782F61"/>
    <w:rsid w:val="00784401"/>
    <w:rsid w:val="00785F89"/>
    <w:rsid w:val="0078774E"/>
    <w:rsid w:val="00790E3E"/>
    <w:rsid w:val="007A6388"/>
    <w:rsid w:val="007B0E7B"/>
    <w:rsid w:val="007B4F5D"/>
    <w:rsid w:val="007B511D"/>
    <w:rsid w:val="007B546A"/>
    <w:rsid w:val="007C0F87"/>
    <w:rsid w:val="007C35C1"/>
    <w:rsid w:val="007C7C80"/>
    <w:rsid w:val="007D6194"/>
    <w:rsid w:val="007F1BA7"/>
    <w:rsid w:val="00801190"/>
    <w:rsid w:val="00803B4C"/>
    <w:rsid w:val="00805985"/>
    <w:rsid w:val="00810AB4"/>
    <w:rsid w:val="00813444"/>
    <w:rsid w:val="00813D23"/>
    <w:rsid w:val="00820D82"/>
    <w:rsid w:val="00821B10"/>
    <w:rsid w:val="0082311D"/>
    <w:rsid w:val="00840293"/>
    <w:rsid w:val="008410D5"/>
    <w:rsid w:val="008433CF"/>
    <w:rsid w:val="00846677"/>
    <w:rsid w:val="00850E55"/>
    <w:rsid w:val="008645CD"/>
    <w:rsid w:val="0086474A"/>
    <w:rsid w:val="00870531"/>
    <w:rsid w:val="0087108A"/>
    <w:rsid w:val="00872CD7"/>
    <w:rsid w:val="00886A1C"/>
    <w:rsid w:val="008A0907"/>
    <w:rsid w:val="008A3BC9"/>
    <w:rsid w:val="008A3BE3"/>
    <w:rsid w:val="008B00A2"/>
    <w:rsid w:val="008B7C35"/>
    <w:rsid w:val="008C5DD9"/>
    <w:rsid w:val="008D2825"/>
    <w:rsid w:val="008D74B1"/>
    <w:rsid w:val="008E5070"/>
    <w:rsid w:val="008E7403"/>
    <w:rsid w:val="008F1C0C"/>
    <w:rsid w:val="00900A09"/>
    <w:rsid w:val="009047F0"/>
    <w:rsid w:val="009074D9"/>
    <w:rsid w:val="00915450"/>
    <w:rsid w:val="0091711E"/>
    <w:rsid w:val="00925CAA"/>
    <w:rsid w:val="00933996"/>
    <w:rsid w:val="009342B3"/>
    <w:rsid w:val="00951F3D"/>
    <w:rsid w:val="00956416"/>
    <w:rsid w:val="009572B6"/>
    <w:rsid w:val="0096064E"/>
    <w:rsid w:val="009647C8"/>
    <w:rsid w:val="00967F9A"/>
    <w:rsid w:val="0098017E"/>
    <w:rsid w:val="0098787E"/>
    <w:rsid w:val="00993D1E"/>
    <w:rsid w:val="009A419F"/>
    <w:rsid w:val="009A488C"/>
    <w:rsid w:val="009A6A13"/>
    <w:rsid w:val="009C2652"/>
    <w:rsid w:val="009C2923"/>
    <w:rsid w:val="009C3719"/>
    <w:rsid w:val="009C51C5"/>
    <w:rsid w:val="009C759C"/>
    <w:rsid w:val="009D19FA"/>
    <w:rsid w:val="009D34EB"/>
    <w:rsid w:val="009E5467"/>
    <w:rsid w:val="009E5F72"/>
    <w:rsid w:val="00A011B7"/>
    <w:rsid w:val="00A135CF"/>
    <w:rsid w:val="00A13A1B"/>
    <w:rsid w:val="00A21A89"/>
    <w:rsid w:val="00A23384"/>
    <w:rsid w:val="00A26015"/>
    <w:rsid w:val="00A37A4F"/>
    <w:rsid w:val="00A40F98"/>
    <w:rsid w:val="00A5202A"/>
    <w:rsid w:val="00A62523"/>
    <w:rsid w:val="00A6456E"/>
    <w:rsid w:val="00A67EEB"/>
    <w:rsid w:val="00A8571E"/>
    <w:rsid w:val="00A87845"/>
    <w:rsid w:val="00A90F14"/>
    <w:rsid w:val="00AC27DA"/>
    <w:rsid w:val="00AC476E"/>
    <w:rsid w:val="00AC748E"/>
    <w:rsid w:val="00AD2349"/>
    <w:rsid w:val="00AE6C2E"/>
    <w:rsid w:val="00AE7BC6"/>
    <w:rsid w:val="00AF07AF"/>
    <w:rsid w:val="00AF3197"/>
    <w:rsid w:val="00AF63CF"/>
    <w:rsid w:val="00AF7E39"/>
    <w:rsid w:val="00B10361"/>
    <w:rsid w:val="00B12BD8"/>
    <w:rsid w:val="00B217D9"/>
    <w:rsid w:val="00B3351E"/>
    <w:rsid w:val="00B44C41"/>
    <w:rsid w:val="00B51AF1"/>
    <w:rsid w:val="00B54F88"/>
    <w:rsid w:val="00B5641B"/>
    <w:rsid w:val="00B57C72"/>
    <w:rsid w:val="00B60925"/>
    <w:rsid w:val="00B82136"/>
    <w:rsid w:val="00B96F20"/>
    <w:rsid w:val="00BA277B"/>
    <w:rsid w:val="00BA7830"/>
    <w:rsid w:val="00BB13B7"/>
    <w:rsid w:val="00BC0072"/>
    <w:rsid w:val="00BC0888"/>
    <w:rsid w:val="00BC60A9"/>
    <w:rsid w:val="00BD157D"/>
    <w:rsid w:val="00BD45AA"/>
    <w:rsid w:val="00BD58B2"/>
    <w:rsid w:val="00BE09D0"/>
    <w:rsid w:val="00BE1393"/>
    <w:rsid w:val="00BE47AF"/>
    <w:rsid w:val="00BF45C5"/>
    <w:rsid w:val="00C01977"/>
    <w:rsid w:val="00C16FF3"/>
    <w:rsid w:val="00C252AE"/>
    <w:rsid w:val="00C3191D"/>
    <w:rsid w:val="00C41C46"/>
    <w:rsid w:val="00C71D9D"/>
    <w:rsid w:val="00C81316"/>
    <w:rsid w:val="00C850E0"/>
    <w:rsid w:val="00CA4310"/>
    <w:rsid w:val="00CB72F7"/>
    <w:rsid w:val="00CB793A"/>
    <w:rsid w:val="00CC53FE"/>
    <w:rsid w:val="00CE2166"/>
    <w:rsid w:val="00CE3DDF"/>
    <w:rsid w:val="00D000C1"/>
    <w:rsid w:val="00D06C25"/>
    <w:rsid w:val="00D25125"/>
    <w:rsid w:val="00D31E02"/>
    <w:rsid w:val="00D355EE"/>
    <w:rsid w:val="00D40B9E"/>
    <w:rsid w:val="00D456E5"/>
    <w:rsid w:val="00D57AA5"/>
    <w:rsid w:val="00D75112"/>
    <w:rsid w:val="00D75501"/>
    <w:rsid w:val="00D80AEE"/>
    <w:rsid w:val="00D90B1F"/>
    <w:rsid w:val="00D9495D"/>
    <w:rsid w:val="00D9558C"/>
    <w:rsid w:val="00DA4453"/>
    <w:rsid w:val="00DB464D"/>
    <w:rsid w:val="00DB4C5B"/>
    <w:rsid w:val="00DB5A6E"/>
    <w:rsid w:val="00DB74A7"/>
    <w:rsid w:val="00DC3EAB"/>
    <w:rsid w:val="00DC4436"/>
    <w:rsid w:val="00DD2C1F"/>
    <w:rsid w:val="00DD4AC6"/>
    <w:rsid w:val="00DD6206"/>
    <w:rsid w:val="00DE3260"/>
    <w:rsid w:val="00DE7990"/>
    <w:rsid w:val="00E03C3C"/>
    <w:rsid w:val="00E05F22"/>
    <w:rsid w:val="00E074C6"/>
    <w:rsid w:val="00E12836"/>
    <w:rsid w:val="00E14C9A"/>
    <w:rsid w:val="00E20BB5"/>
    <w:rsid w:val="00E23EC0"/>
    <w:rsid w:val="00E307C9"/>
    <w:rsid w:val="00E32254"/>
    <w:rsid w:val="00E35100"/>
    <w:rsid w:val="00E3726E"/>
    <w:rsid w:val="00E46801"/>
    <w:rsid w:val="00E500D1"/>
    <w:rsid w:val="00E5224A"/>
    <w:rsid w:val="00E557E9"/>
    <w:rsid w:val="00E7585E"/>
    <w:rsid w:val="00E8092E"/>
    <w:rsid w:val="00E91A78"/>
    <w:rsid w:val="00E9720E"/>
    <w:rsid w:val="00E97E50"/>
    <w:rsid w:val="00EA07C3"/>
    <w:rsid w:val="00EA2773"/>
    <w:rsid w:val="00EA51EF"/>
    <w:rsid w:val="00EB0A46"/>
    <w:rsid w:val="00EB2189"/>
    <w:rsid w:val="00EC1C00"/>
    <w:rsid w:val="00EC708F"/>
    <w:rsid w:val="00ED03A1"/>
    <w:rsid w:val="00ED26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55BA"/>
    <w:rsid w:val="00F42424"/>
    <w:rsid w:val="00F42854"/>
    <w:rsid w:val="00F52F0F"/>
    <w:rsid w:val="00F56CE8"/>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53BE2F3"/>
  <w15:docId w15:val="{98041BC1-08A3-4424-A67B-6EA57FCD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37"/>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F6237"/>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4F6237"/>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F6237"/>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pPr>
      <w:spacing w:after="120"/>
    </w:pPr>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semiHidden/>
    <w:rsid w:val="004F6237"/>
    <w:rPr>
      <w:color w:val="660B68"/>
      <w:u w:val="non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after="12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after="120"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spacing w:after="120"/>
      <w:ind w:left="1440" w:right="1440"/>
    </w:pPr>
  </w:style>
  <w:style w:type="paragraph" w:styleId="BodyText3">
    <w:name w:val="Body Text 3"/>
    <w:basedOn w:val="Normal"/>
    <w:semiHidden/>
    <w:rsid w:val="004F6237"/>
    <w:pPr>
      <w:spacing w:after="120"/>
    </w:pPr>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spacing w:after="120"/>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after="120" w:line="480" w:lineRule="auto"/>
      <w:ind w:left="283"/>
    </w:pPr>
  </w:style>
  <w:style w:type="paragraph" w:styleId="BodyTextIndent3">
    <w:name w:val="Body Text Indent 3"/>
    <w:basedOn w:val="Normal"/>
    <w:semiHidden/>
    <w:rsid w:val="004F6237"/>
    <w:pPr>
      <w:spacing w:after="120"/>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spacing w:after="120"/>
      <w:ind w:left="1132"/>
    </w:pPr>
  </w:style>
  <w:style w:type="paragraph" w:styleId="ListContinue5">
    <w:name w:val="List Continue 5"/>
    <w:basedOn w:val="Normal"/>
    <w:uiPriority w:val="49"/>
    <w:semiHidden/>
    <w:rsid w:val="004F6237"/>
    <w:pPr>
      <w:spacing w:after="120"/>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pPr>
      <w:spacing w:before="120"/>
    </w:pPr>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4F6237"/>
    <w:pPr>
      <w:numPr>
        <w:numId w:val="17"/>
      </w:numPr>
      <w:spacing w:before="0" w:after="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after="12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4F6237"/>
    <w:pPr>
      <w:keepNext/>
      <w:spacing w:before="40" w:after="40"/>
    </w:pPr>
    <w:rPr>
      <w:color w:val="FFFFFF" w:themeColor="background1"/>
      <w:sz w:val="24"/>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after="120"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yingfor.vic.gov.au/complexity-and-capability-assessment-goods-and-services-policy" TargetMode="External"/><Relationship Id="rId18" Type="http://schemas.openxmlformats.org/officeDocument/2006/relationships/hyperlink" Target="http://creativecommons.org/licenses/by/4.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uyingfor.vic.gov.au/governance-goods-and-services-policy-and-guides"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governance-goods-and-services-policy-and-guide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yingfor.vic.gov.au/innovation-and-procurement-process-goods-and-services-procurement-guide" TargetMode="External"/><Relationship Id="rId23" Type="http://schemas.openxmlformats.org/officeDocument/2006/relationships/footer" Target="footer2.xml"/><Relationship Id="rId10" Type="http://schemas.openxmlformats.org/officeDocument/2006/relationships/hyperlink" Target="https://buyingfor.vic.gov.au/goods-services-supply-policies" TargetMode="External"/><Relationship Id="rId19" Type="http://schemas.openxmlformats.org/officeDocument/2006/relationships/hyperlink" Target="mailto:IPpolicy@dtf.vic.gov.au" TargetMode="External"/><Relationship Id="rId4" Type="http://schemas.openxmlformats.org/officeDocument/2006/relationships/styles" Target="styles.xml"/><Relationship Id="rId9" Type="http://schemas.openxmlformats.org/officeDocument/2006/relationships/hyperlink" Target="https://dfat.gov.au/trade/agreements/pages/trade-agreements.aspx" TargetMode="External"/><Relationship Id="rId14" Type="http://schemas.openxmlformats.org/officeDocument/2006/relationships/hyperlink" Target="https://buyingfor.vic.gov.au/identifying-procurement-categories-goods-and-services-procurement-guide"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701D-1245-4BEA-808C-4298AFD03EBC}">
  <ds:schemaRefs>
    <ds:schemaRef ds:uri="http://www.w3.org/2001/XMLSchema"/>
  </ds:schemaRefs>
</ds:datastoreItem>
</file>

<file path=customXml/itemProps2.xml><?xml version="1.0" encoding="utf-8"?>
<ds:datastoreItem xmlns:ds="http://schemas.openxmlformats.org/officeDocument/2006/customXml" ds:itemID="{6B504EF1-5CA3-4B92-9870-EAF274C8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3</cp:revision>
  <cp:lastPrinted>2019-06-14T02:15:00Z</cp:lastPrinted>
  <dcterms:created xsi:type="dcterms:W3CDTF">2019-11-28T00:18:00Z</dcterms:created>
  <dcterms:modified xsi:type="dcterms:W3CDTF">2024-07-24T04:11:00Z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meredith.anderson@dtf.vic.gov.au</vt:lpwstr>
  </property>
  <property fmtid="{D5CDD505-2E9C-101B-9397-08002B2CF9AE}" pid="12" name="MSIP_Label_7158ebbd-6c5e-441f-bfc9-4eb8c11e3978_SetDate">
    <vt:lpwstr>2019-06-17T05:15:32.1813425Z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