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1F4CC" w14:textId="7139A8CD" w:rsidR="005F45F5" w:rsidRDefault="005F45F5" w:rsidP="005F45F5">
      <w:pPr>
        <w:pStyle w:val="Heading1"/>
        <w:spacing w:before="34" w:line="235" w:lineRule="auto"/>
        <w:ind w:right="2015"/>
      </w:pPr>
      <w:r>
        <w:t>Align with the Victorian Government Purchasing Board supply policies</w:t>
      </w:r>
      <w:r w:rsidR="00A049E3">
        <w:t>:</w:t>
      </w:r>
      <w:r w:rsidR="00A049E3">
        <w:br/>
        <w:t>G</w:t>
      </w:r>
      <w:r>
        <w:t>oods and services guide</w:t>
      </w:r>
    </w:p>
    <w:p w14:paraId="2EBADD82" w14:textId="5C7BBBD0" w:rsidR="005F45F5" w:rsidRDefault="005F45F5" w:rsidP="005F45F5">
      <w:pPr>
        <w:pStyle w:val="BodyText"/>
        <w:spacing w:before="63"/>
        <w:ind w:left="111" w:right="1144"/>
        <w:rPr>
          <w:sz w:val="19"/>
        </w:rPr>
      </w:pPr>
      <w:r>
        <w:t xml:space="preserve">This guide will assist agencies aligning with the goods and services supply policies administered by the Victorian Government Purchasing Board under Part 7A of the </w:t>
      </w:r>
      <w:r>
        <w:rPr>
          <w:i/>
        </w:rPr>
        <w:t>Financial Management Act 1994</w:t>
      </w:r>
      <w:r>
        <w:t>. Goods and services supply policies cover the whole procurement lifecycle. The policies are flexible to allow each agency to develop an approach that is appropriate to their procurement profile.</w:t>
      </w:r>
    </w:p>
    <w:p w14:paraId="3C8BCF5F" w14:textId="77777777" w:rsidR="005F45F5" w:rsidRDefault="005F45F5" w:rsidP="005F45F5">
      <w:pPr>
        <w:pStyle w:val="Heading2"/>
      </w:pPr>
      <w:r>
        <w:t xml:space="preserve">Compliance requirements </w:t>
      </w:r>
    </w:p>
    <w:p w14:paraId="3C1E47E9" w14:textId="0D63025A" w:rsidR="00EE7182" w:rsidRDefault="005F45F5" w:rsidP="005F45F5">
      <w:pPr>
        <w:pStyle w:val="BodyText"/>
        <w:spacing w:before="121"/>
        <w:ind w:left="112" w:right="1144"/>
      </w:pPr>
      <w:r>
        <w:t>Agencies subject to the Standing Directions, with some exceptions, need to follow the goods and services supply policies.</w:t>
      </w:r>
      <w:r w:rsidR="00EE7182" w:rsidRPr="00EE7182">
        <w:t xml:space="preserve"> </w:t>
      </w:r>
    </w:p>
    <w:p w14:paraId="5A9F4D05" w14:textId="5ADC9117" w:rsidR="005F45F5" w:rsidRDefault="00EE7182" w:rsidP="005F45F5">
      <w:pPr>
        <w:pStyle w:val="BodyText"/>
        <w:spacing w:before="121"/>
        <w:ind w:left="112" w:right="1144"/>
      </w:pPr>
      <w:r>
        <w:t>Under the Standing Directions agencies may develop systems, procedures and practices that suit their spend, size and risk profile</w:t>
      </w:r>
    </w:p>
    <w:p w14:paraId="2C5AAD08" w14:textId="77777777" w:rsidR="005F45F5" w:rsidRDefault="005F45F5" w:rsidP="005F45F5">
      <w:pPr>
        <w:pStyle w:val="BodyText"/>
        <w:spacing w:before="119"/>
        <w:ind w:left="112" w:right="1144"/>
      </w:pPr>
      <w:r>
        <w:t>The Standing Directions compliance checklist includes mandatory policy requirements from the goods and services supply policies. Agencies may need to adjust existing policies and processes to ensure they meet these requirements.</w:t>
      </w:r>
    </w:p>
    <w:p w14:paraId="5B61544B" w14:textId="77777777" w:rsidR="005F45F5" w:rsidRDefault="005F45F5" w:rsidP="005F45F5">
      <w:pPr>
        <w:pStyle w:val="Heading2"/>
      </w:pPr>
      <w:r>
        <w:t>Summary steps to align with goods and services supply policies</w:t>
      </w:r>
    </w:p>
    <w:p w14:paraId="3FEBA041" w14:textId="77777777" w:rsidR="005F45F5" w:rsidRDefault="005F45F5" w:rsidP="005F45F5">
      <w:pPr>
        <w:pStyle w:val="Heading3"/>
        <w:spacing w:before="239"/>
      </w:pPr>
      <w:r>
        <w:t>Step 1: Identify existing material</w:t>
      </w:r>
    </w:p>
    <w:p w14:paraId="4D6FC3BD" w14:textId="77777777" w:rsidR="005F45F5" w:rsidRDefault="005F45F5" w:rsidP="005F45F5">
      <w:pPr>
        <w:pStyle w:val="BodyText"/>
        <w:spacing w:before="122"/>
        <w:ind w:left="112" w:right="1086"/>
      </w:pPr>
      <w:r>
        <w:t>Use the alignment self‐assessment checklist to identify what information the agency currently has in place, for example:</w:t>
      </w:r>
    </w:p>
    <w:p w14:paraId="65A41105" w14:textId="77777777" w:rsidR="005F45F5" w:rsidRDefault="005F45F5" w:rsidP="005F45F5">
      <w:pPr>
        <w:pStyle w:val="ListParagraph"/>
        <w:widowControl w:val="0"/>
        <w:numPr>
          <w:ilvl w:val="0"/>
          <w:numId w:val="35"/>
        </w:numPr>
        <w:tabs>
          <w:tab w:val="left" w:pos="470"/>
        </w:tabs>
        <w:autoSpaceDE w:val="0"/>
        <w:autoSpaceDN w:val="0"/>
        <w:spacing w:before="0" w:after="0" w:line="240" w:lineRule="auto"/>
        <w:ind w:hanging="357"/>
        <w:contextualSpacing w:val="0"/>
      </w:pPr>
      <w:r>
        <w:t>procurement policies, practices, processes, templates etc</w:t>
      </w:r>
    </w:p>
    <w:p w14:paraId="622DD21E"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procurement related strategies e.g. social procurement strategy, corporate</w:t>
      </w:r>
      <w:r>
        <w:rPr>
          <w:spacing w:val="-5"/>
        </w:rPr>
        <w:t xml:space="preserve"> </w:t>
      </w:r>
      <w:r>
        <w:t>strategy</w:t>
      </w:r>
    </w:p>
    <w:p w14:paraId="12E2B8EB"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other relevant procurement</w:t>
      </w:r>
      <w:r>
        <w:rPr>
          <w:spacing w:val="-2"/>
        </w:rPr>
        <w:t xml:space="preserve"> </w:t>
      </w:r>
      <w:r>
        <w:t>information</w:t>
      </w:r>
    </w:p>
    <w:p w14:paraId="19594BE8" w14:textId="77777777" w:rsidR="005F45F5" w:rsidRDefault="005F45F5" w:rsidP="005F45F5">
      <w:pPr>
        <w:pStyle w:val="Heading3"/>
      </w:pPr>
      <w:r>
        <w:t>Step 2: Assess existing material against mandatory policy requirements</w:t>
      </w:r>
    </w:p>
    <w:p w14:paraId="11C1CD50" w14:textId="77777777" w:rsidR="005F45F5" w:rsidRDefault="005F45F5" w:rsidP="005F45F5">
      <w:pPr>
        <w:pStyle w:val="ListParagraph"/>
        <w:widowControl w:val="0"/>
        <w:numPr>
          <w:ilvl w:val="0"/>
          <w:numId w:val="35"/>
        </w:numPr>
        <w:tabs>
          <w:tab w:val="left" w:pos="470"/>
        </w:tabs>
        <w:autoSpaceDE w:val="0"/>
        <w:autoSpaceDN w:val="0"/>
        <w:spacing w:before="121" w:after="0" w:line="240" w:lineRule="auto"/>
        <w:ind w:hanging="357"/>
        <w:contextualSpacing w:val="0"/>
      </w:pPr>
      <w:r>
        <w:t>Follow the checklist of mandatory policy requirements against existing material to identify any</w:t>
      </w:r>
      <w:r>
        <w:rPr>
          <w:spacing w:val="-14"/>
        </w:rPr>
        <w:t xml:space="preserve"> </w:t>
      </w:r>
      <w:r>
        <w:t>gaps</w:t>
      </w:r>
    </w:p>
    <w:p w14:paraId="52EE3B38" w14:textId="6C504F77" w:rsidR="005F45F5" w:rsidRDefault="005F45F5" w:rsidP="005F45F5">
      <w:pPr>
        <w:pStyle w:val="ListParagraph"/>
        <w:widowControl w:val="0"/>
        <w:numPr>
          <w:ilvl w:val="0"/>
          <w:numId w:val="35"/>
        </w:numPr>
        <w:tabs>
          <w:tab w:val="left" w:pos="470"/>
        </w:tabs>
        <w:autoSpaceDE w:val="0"/>
        <w:autoSpaceDN w:val="0"/>
        <w:spacing w:before="27" w:after="0"/>
        <w:ind w:right="1309" w:hanging="357"/>
        <w:contextualSpacing w:val="0"/>
      </w:pPr>
      <w:r>
        <w:t>Follow the example framework which demonstrates how lower spend, lower risk can meet the requirements. The example framework is available on the</w:t>
      </w:r>
      <w:r>
        <w:rPr>
          <w:color w:val="53565A"/>
        </w:rPr>
        <w:t xml:space="preserve"> </w:t>
      </w:r>
      <w:hyperlink r:id="rId9" w:history="1">
        <w:r w:rsidRPr="00E53C85">
          <w:rPr>
            <w:rStyle w:val="Hyperlink"/>
          </w:rPr>
          <w:t>VGPB expansion community of practice on the innovation</w:t>
        </w:r>
        <w:r w:rsidRPr="00E53C85">
          <w:rPr>
            <w:rStyle w:val="Hyperlink"/>
            <w:spacing w:val="-3"/>
          </w:rPr>
          <w:t xml:space="preserve"> </w:t>
        </w:r>
        <w:r w:rsidRPr="00E53C85">
          <w:rPr>
            <w:rStyle w:val="Hyperlink"/>
          </w:rPr>
          <w:t>network.</w:t>
        </w:r>
      </w:hyperlink>
    </w:p>
    <w:p w14:paraId="205DAA6D" w14:textId="77777777" w:rsidR="005F45F5" w:rsidRDefault="005F45F5" w:rsidP="005F45F5">
      <w:pPr>
        <w:pStyle w:val="Heading3"/>
        <w:spacing w:before="51"/>
      </w:pPr>
      <w:r>
        <w:t>Step 3: Develop and implement a plan to meet the requirements</w:t>
      </w:r>
    </w:p>
    <w:p w14:paraId="445FCB26" w14:textId="77777777" w:rsidR="005F45F5" w:rsidRDefault="005F45F5" w:rsidP="005F45F5">
      <w:pPr>
        <w:pStyle w:val="ListParagraph"/>
        <w:widowControl w:val="0"/>
        <w:numPr>
          <w:ilvl w:val="0"/>
          <w:numId w:val="35"/>
        </w:numPr>
        <w:tabs>
          <w:tab w:val="left" w:pos="470"/>
        </w:tabs>
        <w:autoSpaceDE w:val="0"/>
        <w:autoSpaceDN w:val="0"/>
        <w:spacing w:before="122" w:after="0" w:line="240" w:lineRule="auto"/>
        <w:ind w:hanging="357"/>
        <w:contextualSpacing w:val="0"/>
      </w:pPr>
      <w:r>
        <w:t>Use this alignment guide to address gaps, taking into account the agency’s spend, size and risk</w:t>
      </w:r>
      <w:r>
        <w:rPr>
          <w:spacing w:val="-16"/>
        </w:rPr>
        <w:t xml:space="preserve"> </w:t>
      </w:r>
      <w:r>
        <w:t>profile.</w:t>
      </w:r>
    </w:p>
    <w:p w14:paraId="4AA85B2C" w14:textId="555955E6" w:rsidR="005F45F5" w:rsidRPr="005F45F5" w:rsidRDefault="005F45F5" w:rsidP="009B10DD">
      <w:pPr>
        <w:pStyle w:val="ListParagraph"/>
        <w:widowControl w:val="0"/>
        <w:numPr>
          <w:ilvl w:val="0"/>
          <w:numId w:val="35"/>
        </w:numPr>
        <w:tabs>
          <w:tab w:val="left" w:pos="470"/>
        </w:tabs>
        <w:autoSpaceDE w:val="0"/>
        <w:autoSpaceDN w:val="0"/>
        <w:spacing w:before="7" w:after="0" w:line="261" w:lineRule="auto"/>
        <w:ind w:right="1147" w:hanging="357"/>
        <w:contextualSpacing w:val="0"/>
        <w:rPr>
          <w:sz w:val="20"/>
        </w:rPr>
      </w:pPr>
      <w:r>
        <w:t>The chief procurement officer or equivalent, and agreement by the accountable officer, will determine the level of</w:t>
      </w:r>
      <w:r w:rsidRPr="005F45F5">
        <w:rPr>
          <w:spacing w:val="-1"/>
        </w:rPr>
        <w:t xml:space="preserve"> </w:t>
      </w:r>
      <w:r>
        <w:t>detail.</w:t>
      </w:r>
    </w:p>
    <w:p w14:paraId="37BE9594" w14:textId="77777777" w:rsidR="005F45F5" w:rsidRDefault="005F45F5" w:rsidP="005F45F5">
      <w:pPr>
        <w:pStyle w:val="ListParagraph"/>
        <w:widowControl w:val="0"/>
        <w:numPr>
          <w:ilvl w:val="0"/>
          <w:numId w:val="35"/>
        </w:numPr>
        <w:tabs>
          <w:tab w:val="left" w:pos="470"/>
        </w:tabs>
        <w:autoSpaceDE w:val="0"/>
        <w:autoSpaceDN w:val="0"/>
        <w:spacing w:before="100" w:after="0"/>
        <w:ind w:right="1590" w:hanging="357"/>
        <w:contextualSpacing w:val="0"/>
      </w:pPr>
      <w:r>
        <w:t>The agency may develop a 2‐3‐year strategy to implement new or improved systems, procedures, practices or capability to increase procurement maturity over</w:t>
      </w:r>
      <w:r>
        <w:rPr>
          <w:spacing w:val="-7"/>
        </w:rPr>
        <w:t xml:space="preserve"> </w:t>
      </w:r>
      <w:r>
        <w:t>time.</w:t>
      </w:r>
    </w:p>
    <w:p w14:paraId="4E210D41" w14:textId="77777777" w:rsidR="005F45F5" w:rsidRDefault="005F45F5" w:rsidP="005F45F5">
      <w:pPr>
        <w:pStyle w:val="Heading3"/>
      </w:pPr>
      <w:r>
        <w:lastRenderedPageBreak/>
        <w:t>Step 4: Assess compliance with VGPB policies</w:t>
      </w:r>
    </w:p>
    <w:p w14:paraId="65065FE3" w14:textId="77777777" w:rsidR="005F45F5" w:rsidRDefault="005F45F5" w:rsidP="005F45F5">
      <w:pPr>
        <w:pStyle w:val="ListParagraph"/>
        <w:widowControl w:val="0"/>
        <w:numPr>
          <w:ilvl w:val="0"/>
          <w:numId w:val="35"/>
        </w:numPr>
        <w:tabs>
          <w:tab w:val="left" w:pos="470"/>
        </w:tabs>
        <w:autoSpaceDE w:val="0"/>
        <w:autoSpaceDN w:val="0"/>
        <w:spacing w:before="121" w:after="0"/>
        <w:ind w:right="1142" w:hanging="357"/>
        <w:contextualSpacing w:val="0"/>
      </w:pPr>
      <w:r>
        <w:t>Assess compliance through the Standing Directions reporting process for 30 June if reporting on a financial year basis, or 31 December if reporting on a calendar year basis.</w:t>
      </w:r>
    </w:p>
    <w:p w14:paraId="4099692C" w14:textId="342B8328" w:rsidR="005F45F5" w:rsidRDefault="005F45F5" w:rsidP="005F45F5">
      <w:pPr>
        <w:pStyle w:val="BodyText"/>
        <w:ind w:left="111" w:right="1461"/>
      </w:pPr>
      <w:r>
        <w:t xml:space="preserve">Assessing compliance with VGPB policies applies to </w:t>
      </w:r>
      <w:hyperlink r:id="rId10" w:history="1">
        <w:r w:rsidRPr="00D2139F">
          <w:rPr>
            <w:rStyle w:val="Hyperlink"/>
          </w:rPr>
          <w:t>VGPB mandated agencies</w:t>
        </w:r>
      </w:hyperlink>
      <w:r>
        <w:t xml:space="preserve"> only. </w:t>
      </w:r>
    </w:p>
    <w:p w14:paraId="252BF7A3" w14:textId="77777777" w:rsidR="005F45F5" w:rsidRDefault="005F45F5" w:rsidP="005F45F5">
      <w:pPr>
        <w:pStyle w:val="Heading2"/>
      </w:pPr>
      <w:r>
        <w:t>Detailed steps to align with goods and services supply policies</w:t>
      </w:r>
    </w:p>
    <w:p w14:paraId="22C7F76B" w14:textId="77777777" w:rsidR="005F45F5" w:rsidRDefault="005F45F5" w:rsidP="005F45F5">
      <w:pPr>
        <w:pStyle w:val="Heading3"/>
      </w:pPr>
      <w:r>
        <w:t>Step 1: Identify what information is available</w:t>
      </w:r>
    </w:p>
    <w:p w14:paraId="6C6B771F" w14:textId="77777777" w:rsidR="005F45F5" w:rsidRDefault="005F45F5" w:rsidP="005F45F5">
      <w:pPr>
        <w:pStyle w:val="BodyText"/>
        <w:spacing w:before="121"/>
        <w:ind w:left="112" w:right="1405"/>
      </w:pPr>
      <w:r>
        <w:t>Some agencies may already have a procurement framework modelled on the goods and services supply polices or those of their lead department. Their framework may already meet the requirements of the goods and services supply policies.</w:t>
      </w:r>
    </w:p>
    <w:p w14:paraId="71C5C364" w14:textId="77777777" w:rsidR="005F45F5" w:rsidRDefault="005F45F5" w:rsidP="005F45F5">
      <w:pPr>
        <w:pStyle w:val="BodyText"/>
        <w:spacing w:before="119"/>
        <w:ind w:left="112"/>
      </w:pPr>
      <w:r>
        <w:t>It is good practice to work through the alignment information to make sure the agency:</w:t>
      </w:r>
    </w:p>
    <w:p w14:paraId="4AE5B928"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hanging="357"/>
        <w:contextualSpacing w:val="0"/>
      </w:pPr>
      <w:r>
        <w:t>considers all mandatory policy</w:t>
      </w:r>
      <w:r>
        <w:rPr>
          <w:spacing w:val="-2"/>
        </w:rPr>
        <w:t xml:space="preserve"> </w:t>
      </w:r>
      <w:r>
        <w:t>requirements</w:t>
      </w:r>
    </w:p>
    <w:p w14:paraId="69FD07AC"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can attest at end of year to having no material compliance deficiency with the</w:t>
      </w:r>
      <w:r>
        <w:rPr>
          <w:spacing w:val="-12"/>
        </w:rPr>
        <w:t xml:space="preserve"> </w:t>
      </w:r>
      <w:r>
        <w:t>framework</w:t>
      </w:r>
    </w:p>
    <w:p w14:paraId="2B1C5104" w14:textId="77777777" w:rsidR="005F45F5" w:rsidRDefault="005F45F5" w:rsidP="005F45F5">
      <w:pPr>
        <w:pStyle w:val="BodyText"/>
        <w:spacing w:before="147"/>
        <w:ind w:left="111" w:right="1183"/>
      </w:pPr>
      <w:r>
        <w:t>The Standing Directions define material compliance deficiency as ’a Compliance Deficiency that a reasonable person would consider has a material impact on the Agency or the State's reputation, financial position or financial management.’</w:t>
      </w:r>
    </w:p>
    <w:p w14:paraId="785CBFC5" w14:textId="77777777" w:rsidR="005F45F5" w:rsidRDefault="005F45F5" w:rsidP="005F45F5">
      <w:pPr>
        <w:pStyle w:val="BodyText"/>
        <w:ind w:left="111" w:right="1725"/>
        <w:jc w:val="both"/>
      </w:pPr>
      <w:r>
        <w:t>Agencies that have developed a procurement framework independent of the Victorian Government Purchasing Board can use the information to assess how well their framework aligns with the supply policies.</w:t>
      </w:r>
    </w:p>
    <w:p w14:paraId="1935E70C" w14:textId="77777777" w:rsidR="005F45F5" w:rsidRDefault="005F45F5" w:rsidP="005F45F5">
      <w:pPr>
        <w:pStyle w:val="BodyText"/>
        <w:spacing w:before="119"/>
        <w:ind w:left="111"/>
      </w:pPr>
      <w:r>
        <w:t>Examples of information to explore:</w:t>
      </w:r>
    </w:p>
    <w:p w14:paraId="09A93D11" w14:textId="77777777" w:rsidR="005F45F5" w:rsidRDefault="005F45F5" w:rsidP="005F45F5">
      <w:pPr>
        <w:pStyle w:val="Heading3"/>
      </w:pPr>
      <w:r>
        <w:t>Governance/decision‐making structure</w:t>
      </w:r>
    </w:p>
    <w:p w14:paraId="3C987AC9" w14:textId="77777777" w:rsidR="005F45F5" w:rsidRDefault="005F45F5" w:rsidP="005F45F5">
      <w:pPr>
        <w:pStyle w:val="BodyText"/>
        <w:spacing w:before="150"/>
        <w:ind w:left="112" w:right="1332"/>
      </w:pPr>
      <w:r>
        <w:t>An agency‘s governance structure should be appropriate to the complexity of the procurement activities and should link to decision‐making processes. Decision‐makers need access to the right information.</w:t>
      </w:r>
    </w:p>
    <w:p w14:paraId="04EB1C8A" w14:textId="77777777" w:rsidR="005F45F5" w:rsidRDefault="005F45F5" w:rsidP="005F45F5">
      <w:pPr>
        <w:pStyle w:val="Heading3"/>
      </w:pPr>
      <w:r>
        <w:t>Policies and internal processes related to procurement</w:t>
      </w:r>
    </w:p>
    <w:p w14:paraId="4AB28FEE" w14:textId="77777777" w:rsidR="005F45F5" w:rsidRDefault="005F45F5" w:rsidP="005F45F5">
      <w:pPr>
        <w:pStyle w:val="BodyText"/>
        <w:spacing w:before="150"/>
        <w:ind w:left="111" w:right="1210"/>
      </w:pPr>
      <w:r>
        <w:t>Each agency should have established practices to manage procurement spend. Formal or informal, these policies and processes should incorporate relevant legislative and policy requirements to help employees:</w:t>
      </w:r>
    </w:p>
    <w:p w14:paraId="3F488756" w14:textId="77777777" w:rsidR="005F45F5" w:rsidRDefault="005F45F5" w:rsidP="005F45F5">
      <w:pPr>
        <w:pStyle w:val="ListParagraph"/>
        <w:widowControl w:val="0"/>
        <w:numPr>
          <w:ilvl w:val="0"/>
          <w:numId w:val="35"/>
        </w:numPr>
        <w:tabs>
          <w:tab w:val="left" w:pos="470"/>
        </w:tabs>
        <w:autoSpaceDE w:val="0"/>
        <w:autoSpaceDN w:val="0"/>
        <w:spacing w:after="0" w:line="240" w:lineRule="auto"/>
        <w:contextualSpacing w:val="0"/>
      </w:pPr>
      <w:r>
        <w:t>understand the agency’s approach towards procuring goods and</w:t>
      </w:r>
      <w:r>
        <w:rPr>
          <w:spacing w:val="-6"/>
        </w:rPr>
        <w:t xml:space="preserve"> </w:t>
      </w:r>
      <w:r>
        <w:t>services</w:t>
      </w:r>
    </w:p>
    <w:p w14:paraId="5C7CBAF8"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contextualSpacing w:val="0"/>
      </w:pPr>
      <w:r>
        <w:t>make transparent procurement</w:t>
      </w:r>
      <w:r>
        <w:rPr>
          <w:spacing w:val="-1"/>
        </w:rPr>
        <w:t xml:space="preserve"> </w:t>
      </w:r>
      <w:r>
        <w:t>decisions</w:t>
      </w:r>
    </w:p>
    <w:p w14:paraId="381D95EF"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contextualSpacing w:val="0"/>
      </w:pPr>
      <w:r>
        <w:t>correctly document procurement activities and</w:t>
      </w:r>
      <w:r>
        <w:rPr>
          <w:spacing w:val="-3"/>
        </w:rPr>
        <w:t xml:space="preserve"> </w:t>
      </w:r>
      <w:r>
        <w:t>authorisations</w:t>
      </w:r>
    </w:p>
    <w:p w14:paraId="620DC37F"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contextualSpacing w:val="0"/>
      </w:pPr>
      <w:r>
        <w:t>approval and decision‐making processes</w:t>
      </w:r>
    </w:p>
    <w:p w14:paraId="752EDFD1" w14:textId="08E1423C" w:rsidR="005F45F5" w:rsidRDefault="005F45F5" w:rsidP="005F45F5">
      <w:pPr>
        <w:pStyle w:val="BodyText"/>
        <w:spacing w:before="146"/>
        <w:ind w:left="111" w:right="1166"/>
        <w:rPr>
          <w:sz w:val="24"/>
        </w:rPr>
      </w:pPr>
      <w:r>
        <w:t>Approval and decision‐making processes impact what, when and how to buy goods and services. These processes impact what contracts are in place and how to manage them, including invoicing and payments. The information must be traceable and auditable. If not, the agency’s procurement risk profile increases.</w:t>
      </w:r>
    </w:p>
    <w:p w14:paraId="224D4745" w14:textId="77777777" w:rsidR="005F45F5" w:rsidRDefault="005F45F5" w:rsidP="005F45F5">
      <w:pPr>
        <w:pStyle w:val="Heading3"/>
        <w:spacing w:before="52"/>
      </w:pPr>
      <w:r>
        <w:lastRenderedPageBreak/>
        <w:t>Understanding agency procurement profile</w:t>
      </w:r>
    </w:p>
    <w:p w14:paraId="09B3DCBD" w14:textId="77777777" w:rsidR="005F45F5" w:rsidRDefault="005F45F5" w:rsidP="005F45F5">
      <w:pPr>
        <w:pStyle w:val="BodyText"/>
        <w:spacing w:before="148"/>
        <w:ind w:left="112" w:right="1235"/>
      </w:pPr>
      <w:r>
        <w:t>Understanding the procurement profile can inform how the agency approaches its procurement strategy, policy and practices. Agencies with an established Social Procurement Strategy can use this as a starting point.</w:t>
      </w:r>
    </w:p>
    <w:p w14:paraId="1CCB8B84" w14:textId="77777777" w:rsidR="005F45F5" w:rsidRDefault="005F45F5" w:rsidP="005F45F5">
      <w:pPr>
        <w:pStyle w:val="Heading3"/>
      </w:pPr>
      <w:r>
        <w:t>Other sources of information:</w:t>
      </w:r>
    </w:p>
    <w:p w14:paraId="47B412C8" w14:textId="77777777" w:rsidR="005F45F5" w:rsidRDefault="005F45F5" w:rsidP="005F45F5">
      <w:pPr>
        <w:pStyle w:val="ListParagraph"/>
        <w:widowControl w:val="0"/>
        <w:numPr>
          <w:ilvl w:val="0"/>
          <w:numId w:val="35"/>
        </w:numPr>
        <w:tabs>
          <w:tab w:val="left" w:pos="470"/>
        </w:tabs>
        <w:autoSpaceDE w:val="0"/>
        <w:autoSpaceDN w:val="0"/>
        <w:spacing w:before="149" w:after="0" w:line="240" w:lineRule="auto"/>
        <w:ind w:hanging="357"/>
        <w:contextualSpacing w:val="0"/>
      </w:pPr>
      <w:r>
        <w:t>spend patterns – agency’s typical spend on goods and services i.e. what, when, how,</w:t>
      </w:r>
      <w:r>
        <w:rPr>
          <w:spacing w:val="-14"/>
        </w:rPr>
        <w:t xml:space="preserve"> </w:t>
      </w:r>
      <w:r>
        <w:t>timing</w:t>
      </w:r>
    </w:p>
    <w:p w14:paraId="6241559A"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contracts – what contracts are already in place, who manages the contracts, governance</w:t>
      </w:r>
      <w:r>
        <w:rPr>
          <w:spacing w:val="-11"/>
        </w:rPr>
        <w:t xml:space="preserve"> </w:t>
      </w:r>
      <w:r>
        <w:t>arrangements</w:t>
      </w:r>
    </w:p>
    <w:p w14:paraId="7F7DD1B4" w14:textId="77777777" w:rsidR="005F45F5" w:rsidRDefault="005F45F5" w:rsidP="005F45F5">
      <w:pPr>
        <w:pStyle w:val="ListParagraph"/>
        <w:widowControl w:val="0"/>
        <w:numPr>
          <w:ilvl w:val="0"/>
          <w:numId w:val="35"/>
        </w:numPr>
        <w:tabs>
          <w:tab w:val="left" w:pos="470"/>
        </w:tabs>
        <w:autoSpaceDE w:val="0"/>
        <w:autoSpaceDN w:val="0"/>
        <w:spacing w:before="27" w:after="0"/>
        <w:ind w:right="1198" w:hanging="357"/>
        <w:contextualSpacing w:val="0"/>
      </w:pPr>
      <w:r>
        <w:t>supplier profiling – existing suppliers, what they supply, types of contracts in place and how</w:t>
      </w:r>
      <w:r>
        <w:rPr>
          <w:spacing w:val="-33"/>
        </w:rPr>
        <w:t xml:space="preserve"> </w:t>
      </w:r>
      <w:r>
        <w:t>important the suppliers are to the successful delivery of the agency’s core</w:t>
      </w:r>
      <w:r>
        <w:rPr>
          <w:spacing w:val="-15"/>
        </w:rPr>
        <w:t xml:space="preserve"> </w:t>
      </w:r>
      <w:r>
        <w:t>business</w:t>
      </w:r>
    </w:p>
    <w:p w14:paraId="18E2E1A6" w14:textId="77777777" w:rsidR="005F45F5" w:rsidRDefault="005F45F5" w:rsidP="005F45F5">
      <w:pPr>
        <w:pStyle w:val="BodyText"/>
        <w:spacing w:before="119"/>
        <w:ind w:left="112" w:right="1292" w:hanging="1"/>
        <w:jc w:val="both"/>
      </w:pPr>
      <w:r>
        <w:t>The procurement framework will be proportional to the agency’s function, complexity and risk. A smaller agency with few contracts and procurement staff may be able to develop a short document outlining key considerations and decision processes.</w:t>
      </w:r>
    </w:p>
    <w:p w14:paraId="52F76F80" w14:textId="77777777" w:rsidR="005F45F5" w:rsidRDefault="005F45F5" w:rsidP="005F45F5">
      <w:pPr>
        <w:pStyle w:val="BodyText"/>
        <w:spacing w:before="121"/>
        <w:ind w:left="112" w:right="1158"/>
      </w:pPr>
      <w:r>
        <w:t>Larger agencies, with a more complex spend profile, larger workforce and higher risk may need to develop a more complex framework.</w:t>
      </w:r>
    </w:p>
    <w:p w14:paraId="5AA43913" w14:textId="77777777" w:rsidR="005F45F5" w:rsidRDefault="005F45F5" w:rsidP="005F45F5">
      <w:pPr>
        <w:pStyle w:val="Heading3"/>
      </w:pPr>
      <w:r>
        <w:t>Step 2. Assess against requirements</w:t>
      </w:r>
    </w:p>
    <w:p w14:paraId="692E82B7" w14:textId="77777777" w:rsidR="005F45F5" w:rsidRDefault="005F45F5" w:rsidP="005F45F5">
      <w:pPr>
        <w:pStyle w:val="BodyText"/>
        <w:spacing w:before="121"/>
        <w:ind w:left="112"/>
      </w:pPr>
      <w:r>
        <w:t>Below are mandatory requirements numbered 1‐18 from the five goods and services supply policies.</w:t>
      </w:r>
    </w:p>
    <w:p w14:paraId="5DA22FB1" w14:textId="77777777" w:rsidR="005F45F5" w:rsidRDefault="005F45F5" w:rsidP="005F45F5">
      <w:pPr>
        <w:pStyle w:val="Heading3"/>
      </w:pPr>
      <w:r>
        <w:t>Governance Policy ‐ requirements 1‐6</w:t>
      </w:r>
    </w:p>
    <w:p w14:paraId="320C7B4F" w14:textId="77777777" w:rsidR="005F45F5" w:rsidRDefault="005F45F5" w:rsidP="005F45F5">
      <w:pPr>
        <w:pStyle w:val="BodyText"/>
        <w:spacing w:before="148"/>
        <w:ind w:left="112"/>
      </w:pPr>
      <w:r>
        <w:t>Governance focuses on:</w:t>
      </w:r>
    </w:p>
    <w:p w14:paraId="23E34FA8"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hanging="357"/>
        <w:contextualSpacing w:val="0"/>
      </w:pPr>
      <w:r>
        <w:t>procurement policy decisions and those</w:t>
      </w:r>
      <w:r>
        <w:rPr>
          <w:spacing w:val="-1"/>
        </w:rPr>
        <w:t xml:space="preserve"> </w:t>
      </w:r>
      <w:r>
        <w:t>involved</w:t>
      </w:r>
    </w:p>
    <w:p w14:paraId="62739E38" w14:textId="77777777" w:rsidR="005F45F5" w:rsidRDefault="005F45F5" w:rsidP="005F45F5">
      <w:pPr>
        <w:pStyle w:val="ListParagraph"/>
        <w:widowControl w:val="0"/>
        <w:numPr>
          <w:ilvl w:val="0"/>
          <w:numId w:val="35"/>
        </w:numPr>
        <w:tabs>
          <w:tab w:val="left" w:pos="470"/>
        </w:tabs>
        <w:autoSpaceDE w:val="0"/>
        <w:autoSpaceDN w:val="0"/>
        <w:spacing w:before="27" w:after="0" w:line="261" w:lineRule="auto"/>
        <w:ind w:right="1150" w:hanging="357"/>
        <w:contextualSpacing w:val="0"/>
      </w:pPr>
      <w:r>
        <w:t>systems and procedures ‐ ensuring that the procurement process has appropriate levels of control and probity</w:t>
      </w:r>
    </w:p>
    <w:p w14:paraId="0889C169" w14:textId="77777777" w:rsidR="005F45F5" w:rsidRDefault="005F45F5" w:rsidP="005F45F5">
      <w:pPr>
        <w:pStyle w:val="BodyText"/>
        <w:spacing w:before="125"/>
        <w:ind w:left="112"/>
      </w:pPr>
      <w:r>
        <w:t>At a high level, establishing a governance framework requires:</w:t>
      </w:r>
    </w:p>
    <w:p w14:paraId="27CD7E50" w14:textId="77777777" w:rsidR="005F45F5" w:rsidRDefault="005F45F5" w:rsidP="005F45F5">
      <w:pPr>
        <w:pStyle w:val="ListParagraph"/>
        <w:widowControl w:val="0"/>
        <w:numPr>
          <w:ilvl w:val="0"/>
          <w:numId w:val="35"/>
        </w:numPr>
        <w:tabs>
          <w:tab w:val="left" w:pos="470"/>
        </w:tabs>
        <w:autoSpaceDE w:val="0"/>
        <w:autoSpaceDN w:val="0"/>
        <w:spacing w:before="148" w:after="0" w:line="240" w:lineRule="auto"/>
        <w:ind w:hanging="357"/>
        <w:contextualSpacing w:val="0"/>
      </w:pPr>
      <w:r>
        <w:t>establishing roles and assigning procurement related</w:t>
      </w:r>
      <w:r>
        <w:rPr>
          <w:spacing w:val="-4"/>
        </w:rPr>
        <w:t xml:space="preserve"> </w:t>
      </w:r>
      <w:r>
        <w:t>responsibilities</w:t>
      </w:r>
    </w:p>
    <w:p w14:paraId="11737A23"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developing a procurement strategy that includes:</w:t>
      </w:r>
    </w:p>
    <w:p w14:paraId="1621579A" w14:textId="77777777" w:rsidR="005F45F5" w:rsidRDefault="005F45F5" w:rsidP="005F45F5">
      <w:pPr>
        <w:pStyle w:val="ListParagraph"/>
        <w:widowControl w:val="0"/>
        <w:numPr>
          <w:ilvl w:val="1"/>
          <w:numId w:val="35"/>
        </w:numPr>
        <w:tabs>
          <w:tab w:val="left" w:pos="831"/>
          <w:tab w:val="left" w:pos="832"/>
        </w:tabs>
        <w:autoSpaceDE w:val="0"/>
        <w:autoSpaceDN w:val="0"/>
        <w:spacing w:before="26" w:after="0"/>
        <w:ind w:right="1103"/>
        <w:contextualSpacing w:val="0"/>
      </w:pPr>
      <w:r>
        <w:t>forward procurement activity plan for key categories and key activities, available on a public facing website (high level summary of what procurements are likely to occur over the next 12‐24</w:t>
      </w:r>
      <w:r>
        <w:rPr>
          <w:spacing w:val="-31"/>
        </w:rPr>
        <w:t xml:space="preserve"> </w:t>
      </w:r>
      <w:r>
        <w:t>months)</w:t>
      </w:r>
    </w:p>
    <w:p w14:paraId="182A5BFB" w14:textId="77777777" w:rsidR="005F45F5" w:rsidRDefault="005F45F5" w:rsidP="005F45F5">
      <w:pPr>
        <w:pStyle w:val="ListParagraph"/>
        <w:widowControl w:val="0"/>
        <w:numPr>
          <w:ilvl w:val="1"/>
          <w:numId w:val="35"/>
        </w:numPr>
        <w:tabs>
          <w:tab w:val="left" w:pos="831"/>
          <w:tab w:val="left" w:pos="832"/>
        </w:tabs>
        <w:autoSpaceDE w:val="0"/>
        <w:autoSpaceDN w:val="0"/>
        <w:spacing w:before="0" w:after="0" w:line="240" w:lineRule="auto"/>
        <w:contextualSpacing w:val="0"/>
      </w:pPr>
      <w:r>
        <w:t>supplier engagement</w:t>
      </w:r>
      <w:r>
        <w:rPr>
          <w:spacing w:val="-3"/>
        </w:rPr>
        <w:t xml:space="preserve"> </w:t>
      </w:r>
      <w:r>
        <w:t>plan</w:t>
      </w:r>
    </w:p>
    <w:p w14:paraId="2C176608" w14:textId="77777777" w:rsidR="005F45F5" w:rsidRDefault="005F45F5" w:rsidP="005F45F5">
      <w:pPr>
        <w:pStyle w:val="ListParagraph"/>
        <w:widowControl w:val="0"/>
        <w:numPr>
          <w:ilvl w:val="1"/>
          <w:numId w:val="35"/>
        </w:numPr>
        <w:tabs>
          <w:tab w:val="left" w:pos="831"/>
          <w:tab w:val="left" w:pos="832"/>
        </w:tabs>
        <w:autoSpaceDE w:val="0"/>
        <w:autoSpaceDN w:val="0"/>
        <w:spacing w:before="27" w:after="0" w:line="240" w:lineRule="auto"/>
        <w:contextualSpacing w:val="0"/>
      </w:pPr>
      <w:r>
        <w:t>agency level capability development</w:t>
      </w:r>
      <w:r>
        <w:rPr>
          <w:spacing w:val="-1"/>
        </w:rPr>
        <w:t xml:space="preserve"> </w:t>
      </w:r>
      <w:r>
        <w:t>plan</w:t>
      </w:r>
    </w:p>
    <w:p w14:paraId="18B1FD14"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establishing a complaints management</w:t>
      </w:r>
      <w:r>
        <w:rPr>
          <w:spacing w:val="1"/>
        </w:rPr>
        <w:t xml:space="preserve"> </w:t>
      </w:r>
      <w:r>
        <w:t>process</w:t>
      </w:r>
    </w:p>
    <w:p w14:paraId="7F469645" w14:textId="77777777" w:rsidR="005F45F5" w:rsidRDefault="005F45F5" w:rsidP="005F45F5">
      <w:pPr>
        <w:pStyle w:val="BodyText"/>
        <w:spacing w:before="147"/>
        <w:ind w:left="111" w:right="1344"/>
      </w:pPr>
      <w:r>
        <w:t>There are guidance materials, tools and templates to help with these requirements. Application of these requirements is flexible and dependent on the agency’s procurement profile.</w:t>
      </w:r>
    </w:p>
    <w:p w14:paraId="51FFC323" w14:textId="77777777" w:rsidR="005F45F5" w:rsidRDefault="005F45F5" w:rsidP="005F45F5">
      <w:pPr>
        <w:pStyle w:val="BodyText"/>
        <w:spacing w:before="119"/>
        <w:ind w:left="111"/>
      </w:pPr>
      <w:r>
        <w:t>The procurement governance structure will vary for each agency. Roles and functions may include:</w:t>
      </w:r>
    </w:p>
    <w:p w14:paraId="5114B761" w14:textId="77777777" w:rsidR="005F45F5" w:rsidRDefault="005F45F5" w:rsidP="005F45F5">
      <w:pPr>
        <w:pStyle w:val="Heading3"/>
        <w:keepNext w:val="0"/>
        <w:widowControl w:val="0"/>
        <w:numPr>
          <w:ilvl w:val="0"/>
          <w:numId w:val="38"/>
        </w:numPr>
        <w:tabs>
          <w:tab w:val="left" w:pos="352"/>
        </w:tabs>
        <w:autoSpaceDE w:val="0"/>
        <w:autoSpaceDN w:val="0"/>
        <w:spacing w:before="0" w:after="0" w:line="264" w:lineRule="auto"/>
        <w:ind w:right="2175"/>
      </w:pPr>
      <w:r>
        <w:t>Chief Procurement Officer role or appropriate governance structures and reporting requirements</w:t>
      </w:r>
    </w:p>
    <w:p w14:paraId="22CBE6C5" w14:textId="77777777" w:rsidR="005F45F5" w:rsidRDefault="005F45F5" w:rsidP="005F45F5">
      <w:pPr>
        <w:pStyle w:val="BodyText"/>
        <w:ind w:left="112"/>
      </w:pPr>
      <w:r>
        <w:lastRenderedPageBreak/>
        <w:t>Chief Procurement Officer may be:</w:t>
      </w:r>
    </w:p>
    <w:p w14:paraId="0360E7F1" w14:textId="12A7BE10" w:rsidR="005F45F5" w:rsidRDefault="005F45F5" w:rsidP="005F45F5">
      <w:pPr>
        <w:pStyle w:val="ListParagraph"/>
        <w:widowControl w:val="0"/>
        <w:numPr>
          <w:ilvl w:val="0"/>
          <w:numId w:val="35"/>
        </w:numPr>
        <w:tabs>
          <w:tab w:val="left" w:pos="470"/>
        </w:tabs>
        <w:autoSpaceDE w:val="0"/>
        <w:autoSpaceDN w:val="0"/>
        <w:spacing w:before="146" w:after="0" w:line="240" w:lineRule="auto"/>
        <w:ind w:left="470" w:hanging="357"/>
      </w:pPr>
      <w:r>
        <w:t>a stand‐alone</w:t>
      </w:r>
      <w:r w:rsidRPr="005F45F5">
        <w:t xml:space="preserve"> </w:t>
      </w:r>
      <w:r>
        <w:t>role</w:t>
      </w:r>
    </w:p>
    <w:p w14:paraId="3E8A0FE6"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left="470" w:hanging="357"/>
      </w:pPr>
      <w:r>
        <w:t>incorporated</w:t>
      </w:r>
      <w:r w:rsidRPr="005F45F5">
        <w:t xml:space="preserve"> </w:t>
      </w:r>
      <w:r>
        <w:t>into another role e.g. Corporate Services, Operations or</w:t>
      </w:r>
      <w:r w:rsidRPr="005F45F5">
        <w:t xml:space="preserve"> </w:t>
      </w:r>
      <w:r>
        <w:t>Finance.</w:t>
      </w:r>
    </w:p>
    <w:p w14:paraId="48331D57" w14:textId="7E528375" w:rsidR="005F45F5" w:rsidRDefault="005F45F5" w:rsidP="005F45F5">
      <w:pPr>
        <w:widowControl w:val="0"/>
        <w:tabs>
          <w:tab w:val="left" w:pos="470"/>
        </w:tabs>
        <w:autoSpaceDE w:val="0"/>
        <w:autoSpaceDN w:val="0"/>
        <w:spacing w:before="146" w:after="0" w:line="240" w:lineRule="auto"/>
      </w:pPr>
      <w:r>
        <w:t>The Chief Procurement Officer role or equivalent should:</w:t>
      </w:r>
    </w:p>
    <w:p w14:paraId="4BF70A1E"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left="470" w:hanging="357"/>
        <w:contextualSpacing w:val="0"/>
      </w:pPr>
      <w:r>
        <w:t>have visibility and oversight over the agency’s procurement</w:t>
      </w:r>
      <w:r>
        <w:rPr>
          <w:spacing w:val="-4"/>
        </w:rPr>
        <w:t xml:space="preserve"> </w:t>
      </w:r>
      <w:r>
        <w:t>function</w:t>
      </w:r>
    </w:p>
    <w:p w14:paraId="5F4BEC20"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left="470" w:hanging="357"/>
        <w:contextualSpacing w:val="0"/>
      </w:pPr>
      <w:r>
        <w:t>provide input into strategies and</w:t>
      </w:r>
      <w:r>
        <w:rPr>
          <w:spacing w:val="-4"/>
        </w:rPr>
        <w:t xml:space="preserve"> </w:t>
      </w:r>
      <w:r>
        <w:t>policies</w:t>
      </w:r>
    </w:p>
    <w:p w14:paraId="7EAE6F8C"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left="470" w:hanging="357"/>
        <w:contextualSpacing w:val="0"/>
      </w:pPr>
      <w:r>
        <w:t>support value for</w:t>
      </w:r>
      <w:r>
        <w:rPr>
          <w:spacing w:val="-2"/>
        </w:rPr>
        <w:t xml:space="preserve"> </w:t>
      </w:r>
      <w:r>
        <w:t>money</w:t>
      </w:r>
    </w:p>
    <w:p w14:paraId="04FA4B98"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left="470" w:hanging="357"/>
        <w:contextualSpacing w:val="0"/>
      </w:pPr>
      <w:r>
        <w:t>manage agency</w:t>
      </w:r>
      <w:r>
        <w:rPr>
          <w:spacing w:val="-1"/>
        </w:rPr>
        <w:t xml:space="preserve"> </w:t>
      </w:r>
      <w:r>
        <w:t>risk</w:t>
      </w:r>
    </w:p>
    <w:p w14:paraId="1132B1E8" w14:textId="77777777" w:rsidR="005F45F5" w:rsidRDefault="005F45F5" w:rsidP="005F45F5">
      <w:pPr>
        <w:pStyle w:val="BodyText"/>
        <w:spacing w:before="10"/>
        <w:rPr>
          <w:sz w:val="21"/>
        </w:rPr>
      </w:pPr>
    </w:p>
    <w:p w14:paraId="60DFC0C9" w14:textId="77777777" w:rsidR="005F45F5" w:rsidRDefault="005F45F5" w:rsidP="005F45F5">
      <w:pPr>
        <w:pStyle w:val="Heading3"/>
        <w:keepNext w:val="0"/>
        <w:widowControl w:val="0"/>
        <w:numPr>
          <w:ilvl w:val="0"/>
          <w:numId w:val="38"/>
        </w:numPr>
        <w:tabs>
          <w:tab w:val="left" w:pos="353"/>
        </w:tabs>
        <w:autoSpaceDE w:val="0"/>
        <w:autoSpaceDN w:val="0"/>
        <w:spacing w:before="0" w:after="0"/>
      </w:pPr>
      <w:r>
        <w:t>Internal Procurement Unit or appropriate governance structures and reporting</w:t>
      </w:r>
      <w:r>
        <w:rPr>
          <w:spacing w:val="-13"/>
        </w:rPr>
        <w:t xml:space="preserve"> </w:t>
      </w:r>
      <w:r>
        <w:t>requirements</w:t>
      </w:r>
    </w:p>
    <w:p w14:paraId="02F3BF02" w14:textId="77777777" w:rsidR="005F45F5" w:rsidRDefault="005F45F5" w:rsidP="005F45F5">
      <w:pPr>
        <w:pStyle w:val="BodyText"/>
        <w:spacing w:before="148"/>
        <w:ind w:left="112"/>
      </w:pPr>
      <w:r>
        <w:t>Agencies may:</w:t>
      </w:r>
    </w:p>
    <w:p w14:paraId="5BF356FD"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hanging="357"/>
        <w:contextualSpacing w:val="0"/>
      </w:pPr>
      <w:r>
        <w:t>establish an internal procurement unit or a procurement</w:t>
      </w:r>
      <w:r>
        <w:rPr>
          <w:spacing w:val="-5"/>
        </w:rPr>
        <w:t xml:space="preserve"> </w:t>
      </w:r>
      <w:r>
        <w:t>committee</w:t>
      </w:r>
    </w:p>
    <w:p w14:paraId="215D08A6"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incorporate procurement decision making into a corporate</w:t>
      </w:r>
      <w:r>
        <w:rPr>
          <w:spacing w:val="-6"/>
        </w:rPr>
        <w:t xml:space="preserve"> </w:t>
      </w:r>
      <w:r>
        <w:t>area</w:t>
      </w:r>
    </w:p>
    <w:p w14:paraId="09217F88"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add this to agency’s leadership group</w:t>
      </w:r>
      <w:r>
        <w:rPr>
          <w:spacing w:val="-1"/>
        </w:rPr>
        <w:t xml:space="preserve"> </w:t>
      </w:r>
      <w:r>
        <w:t>responsibility</w:t>
      </w:r>
    </w:p>
    <w:p w14:paraId="652632DC"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contextualSpacing w:val="0"/>
      </w:pPr>
      <w:r>
        <w:t>have a plan to increase agency’s procurement</w:t>
      </w:r>
      <w:r>
        <w:rPr>
          <w:spacing w:val="-3"/>
        </w:rPr>
        <w:t xml:space="preserve"> </w:t>
      </w:r>
      <w:r>
        <w:t>capability</w:t>
      </w:r>
    </w:p>
    <w:p w14:paraId="057A1371"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contextualSpacing w:val="0"/>
      </w:pPr>
      <w:r>
        <w:t>report to the accountable officer on procurement</w:t>
      </w:r>
      <w:r>
        <w:rPr>
          <w:spacing w:val="-3"/>
        </w:rPr>
        <w:t xml:space="preserve"> </w:t>
      </w:r>
      <w:r>
        <w:t>activities</w:t>
      </w:r>
    </w:p>
    <w:p w14:paraId="374890A5" w14:textId="77777777" w:rsidR="005F45F5" w:rsidRDefault="005F45F5" w:rsidP="005F45F5">
      <w:pPr>
        <w:pStyle w:val="BodyText"/>
        <w:spacing w:before="147"/>
        <w:ind w:left="111" w:right="1144"/>
        <w:rPr>
          <w:sz w:val="20"/>
        </w:rPr>
      </w:pPr>
      <w:r>
        <w:t>This group of leaders, who understands the role of procurement, will provide a level of review, oversight and a reason for buyers to substantiate the approach they wish to take</w:t>
      </w:r>
      <w:r>
        <w:rPr>
          <w:sz w:val="20"/>
        </w:rPr>
        <w:t>.</w:t>
      </w:r>
    </w:p>
    <w:p w14:paraId="75E1E56D" w14:textId="77777777" w:rsidR="005F45F5" w:rsidRDefault="005F45F5" w:rsidP="005F45F5">
      <w:pPr>
        <w:pStyle w:val="BodyText"/>
        <w:spacing w:before="119"/>
        <w:ind w:left="112" w:right="1345"/>
        <w:jc w:val="both"/>
      </w:pPr>
      <w:r>
        <w:t>Note that agencies can choose not to appoint a Chief Procurement Officer or Internal Procurement Unit. However, the governance structures and reporting requirements in place must be appropriate to satisfy the accountable officer that the agency can conduct its procurement activities.</w:t>
      </w:r>
    </w:p>
    <w:p w14:paraId="7DA0267F" w14:textId="77777777" w:rsidR="005F45F5" w:rsidRDefault="005F45F5" w:rsidP="005F45F5">
      <w:pPr>
        <w:pStyle w:val="Heading3"/>
      </w:pPr>
      <w:r>
        <w:t>Procurement strategy</w:t>
      </w:r>
    </w:p>
    <w:p w14:paraId="03F1D30C" w14:textId="77777777" w:rsidR="005F45F5" w:rsidRDefault="005F45F5" w:rsidP="005F45F5">
      <w:pPr>
        <w:pStyle w:val="BodyText"/>
        <w:spacing w:before="150"/>
        <w:ind w:left="113" w:right="1196"/>
      </w:pPr>
      <w:r>
        <w:t>The governance framework includes a procurement strategy which outlines how the agency will manage its procurement activities and processes. The accountable officer should review the procurement strategy annually.</w:t>
      </w:r>
    </w:p>
    <w:p w14:paraId="23C5BEDE" w14:textId="77777777" w:rsidR="005F45F5" w:rsidRDefault="005F45F5" w:rsidP="005F45F5">
      <w:pPr>
        <w:pStyle w:val="Heading3"/>
        <w:keepNext w:val="0"/>
        <w:widowControl w:val="0"/>
        <w:numPr>
          <w:ilvl w:val="0"/>
          <w:numId w:val="38"/>
        </w:numPr>
        <w:tabs>
          <w:tab w:val="left" w:pos="353"/>
        </w:tabs>
        <w:autoSpaceDE w:val="0"/>
        <w:autoSpaceDN w:val="0"/>
        <w:spacing w:before="0" w:after="0"/>
        <w:ind w:left="352"/>
      </w:pPr>
      <w:r>
        <w:t>Forward Procurement Activity</w:t>
      </w:r>
      <w:r>
        <w:rPr>
          <w:spacing w:val="-2"/>
        </w:rPr>
        <w:t xml:space="preserve"> </w:t>
      </w:r>
      <w:r>
        <w:t>Plan</w:t>
      </w:r>
    </w:p>
    <w:p w14:paraId="7438046A" w14:textId="77777777" w:rsidR="005F45F5" w:rsidRDefault="005F45F5" w:rsidP="005F45F5">
      <w:pPr>
        <w:pStyle w:val="BodyText"/>
        <w:spacing w:before="150"/>
        <w:ind w:left="113" w:right="1185"/>
      </w:pPr>
      <w:r>
        <w:t>Setting up a procurement activity plan provides an overview of what the agency is planning to buy at either a category and/or individual procurement level. The procurement activity plan is a live document and should be regularly updated to reflect an agency’s procurement requirements.</w:t>
      </w:r>
    </w:p>
    <w:p w14:paraId="240E586F" w14:textId="77777777" w:rsidR="005F45F5" w:rsidRDefault="005F45F5" w:rsidP="005F45F5">
      <w:pPr>
        <w:pStyle w:val="BodyText"/>
        <w:spacing w:before="119"/>
        <w:ind w:left="112"/>
      </w:pPr>
      <w:r>
        <w:t>A published procurement activity plan:</w:t>
      </w:r>
    </w:p>
    <w:p w14:paraId="556372F7" w14:textId="77777777" w:rsidR="005F45F5" w:rsidRDefault="005F45F5" w:rsidP="005F45F5">
      <w:pPr>
        <w:pStyle w:val="ListParagraph"/>
        <w:widowControl w:val="0"/>
        <w:numPr>
          <w:ilvl w:val="0"/>
          <w:numId w:val="35"/>
        </w:numPr>
        <w:tabs>
          <w:tab w:val="left" w:pos="470"/>
        </w:tabs>
        <w:autoSpaceDE w:val="0"/>
        <w:autoSpaceDN w:val="0"/>
        <w:spacing w:before="147" w:after="0" w:line="261" w:lineRule="auto"/>
        <w:ind w:right="1404" w:hanging="357"/>
        <w:contextualSpacing w:val="0"/>
      </w:pPr>
      <w:r>
        <w:t>outlines anticipated procurements for next 12‐24 months with an easy to understand description of the procurement</w:t>
      </w:r>
    </w:p>
    <w:p w14:paraId="633E42FF" w14:textId="77777777" w:rsidR="005F45F5" w:rsidRDefault="005F45F5" w:rsidP="005F45F5">
      <w:pPr>
        <w:pStyle w:val="ListParagraph"/>
        <w:widowControl w:val="0"/>
        <w:numPr>
          <w:ilvl w:val="0"/>
          <w:numId w:val="35"/>
        </w:numPr>
        <w:tabs>
          <w:tab w:val="left" w:pos="470"/>
        </w:tabs>
        <w:autoSpaceDE w:val="0"/>
        <w:autoSpaceDN w:val="0"/>
        <w:spacing w:before="5" w:after="0" w:line="240" w:lineRule="auto"/>
        <w:ind w:hanging="357"/>
        <w:contextualSpacing w:val="0"/>
      </w:pPr>
      <w:r>
        <w:t>signals what procurements are at the planning stage, not market</w:t>
      </w:r>
      <w:r>
        <w:rPr>
          <w:spacing w:val="-1"/>
        </w:rPr>
        <w:t xml:space="preserve"> </w:t>
      </w:r>
      <w:r>
        <w:t>commitments</w:t>
      </w:r>
    </w:p>
    <w:p w14:paraId="669D2599" w14:textId="77777777" w:rsidR="005F45F5" w:rsidRDefault="005F45F5" w:rsidP="005F45F5">
      <w:pPr>
        <w:pStyle w:val="ListParagraph"/>
        <w:widowControl w:val="0"/>
        <w:numPr>
          <w:ilvl w:val="0"/>
          <w:numId w:val="35"/>
        </w:numPr>
        <w:tabs>
          <w:tab w:val="left" w:pos="470"/>
        </w:tabs>
        <w:autoSpaceDE w:val="0"/>
        <w:autoSpaceDN w:val="0"/>
        <w:spacing w:before="27" w:after="0"/>
        <w:ind w:right="1422" w:hanging="357"/>
        <w:contextualSpacing w:val="0"/>
      </w:pPr>
      <w:r>
        <w:t>should be accessible to suppliers for example published on agency website (agency’s own or part of lead department’s forward procurement activity plan) as early as is possible after the start of the financial</w:t>
      </w:r>
      <w:r>
        <w:rPr>
          <w:spacing w:val="-2"/>
        </w:rPr>
        <w:t xml:space="preserve"> </w:t>
      </w:r>
      <w:r>
        <w:t>year</w:t>
      </w:r>
    </w:p>
    <w:p w14:paraId="35B84D2D" w14:textId="77777777" w:rsidR="005F45F5" w:rsidRDefault="005F45F5" w:rsidP="005F45F5">
      <w:pPr>
        <w:pStyle w:val="ListParagraph"/>
        <w:widowControl w:val="0"/>
        <w:numPr>
          <w:ilvl w:val="0"/>
          <w:numId w:val="35"/>
        </w:numPr>
        <w:tabs>
          <w:tab w:val="left" w:pos="470"/>
        </w:tabs>
        <w:autoSpaceDE w:val="0"/>
        <w:autoSpaceDN w:val="0"/>
        <w:spacing w:before="1" w:after="0" w:line="240" w:lineRule="auto"/>
        <w:ind w:hanging="357"/>
        <w:contextualSpacing w:val="0"/>
      </w:pPr>
      <w:r>
        <w:t>should provide point of contact for the</w:t>
      </w:r>
      <w:r>
        <w:rPr>
          <w:spacing w:val="-6"/>
        </w:rPr>
        <w:t xml:space="preserve"> </w:t>
      </w:r>
      <w:r>
        <w:t>procurement</w:t>
      </w:r>
    </w:p>
    <w:p w14:paraId="7A759514"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lastRenderedPageBreak/>
        <w:t>can include an estimated value (not required for public</w:t>
      </w:r>
      <w:r>
        <w:rPr>
          <w:spacing w:val="-9"/>
        </w:rPr>
        <w:t xml:space="preserve"> </w:t>
      </w:r>
      <w:r>
        <w:t>disclosure)</w:t>
      </w:r>
    </w:p>
    <w:p w14:paraId="0BE52963" w14:textId="77777777" w:rsidR="005F45F5" w:rsidRDefault="005F45F5" w:rsidP="005F45F5">
      <w:pPr>
        <w:pStyle w:val="BodyText"/>
        <w:spacing w:before="10"/>
        <w:rPr>
          <w:sz w:val="21"/>
        </w:rPr>
      </w:pPr>
    </w:p>
    <w:p w14:paraId="71717E06" w14:textId="77777777" w:rsidR="005F45F5" w:rsidRDefault="005F45F5" w:rsidP="005F45F5">
      <w:pPr>
        <w:pStyle w:val="Heading3"/>
        <w:keepNext w:val="0"/>
        <w:widowControl w:val="0"/>
        <w:numPr>
          <w:ilvl w:val="0"/>
          <w:numId w:val="38"/>
        </w:numPr>
        <w:tabs>
          <w:tab w:val="left" w:pos="353"/>
        </w:tabs>
        <w:autoSpaceDE w:val="0"/>
        <w:autoSpaceDN w:val="0"/>
        <w:spacing w:before="1" w:after="0"/>
        <w:ind w:left="352"/>
      </w:pPr>
      <w:r>
        <w:t>Supplier Engagement Plan</w:t>
      </w:r>
    </w:p>
    <w:p w14:paraId="410BA6BB" w14:textId="77777777" w:rsidR="005F45F5" w:rsidRDefault="005F45F5" w:rsidP="005F45F5">
      <w:pPr>
        <w:pStyle w:val="BodyText"/>
        <w:spacing w:before="148"/>
        <w:ind w:left="112" w:right="1432" w:hanging="1"/>
      </w:pPr>
      <w:r>
        <w:t>Agencies should have processes, systems and/or effective communication approaches so that suppliers want to do business with government.</w:t>
      </w:r>
    </w:p>
    <w:p w14:paraId="2CD695BA" w14:textId="041F54FA" w:rsidR="005F45F5" w:rsidRDefault="005F45F5" w:rsidP="005F45F5">
      <w:pPr>
        <w:pStyle w:val="BodyText"/>
        <w:spacing w:before="148"/>
        <w:ind w:left="112" w:right="1432" w:hanging="1"/>
      </w:pPr>
      <w:r>
        <w:t>Timely, accurate and information relevant to suppliers builds trust and accountability with suppliers. Probity should shape how to manage relationships.</w:t>
      </w:r>
    </w:p>
    <w:p w14:paraId="3F3AC07C" w14:textId="77777777" w:rsidR="005F45F5" w:rsidRDefault="005F45F5" w:rsidP="005F45F5">
      <w:pPr>
        <w:pStyle w:val="BodyText"/>
        <w:spacing w:before="119"/>
        <w:ind w:left="112"/>
      </w:pPr>
      <w:r>
        <w:t>At minimum, the supplier engagement plan should address:</w:t>
      </w:r>
    </w:p>
    <w:p w14:paraId="4BF72C90"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hanging="357"/>
        <w:contextualSpacing w:val="0"/>
      </w:pPr>
      <w:r>
        <w:t>how you will encourage suppliers to bid for</w:t>
      </w:r>
      <w:r>
        <w:rPr>
          <w:spacing w:val="-1"/>
        </w:rPr>
        <w:t xml:space="preserve"> </w:t>
      </w:r>
      <w:r>
        <w:t>work</w:t>
      </w:r>
    </w:p>
    <w:p w14:paraId="64757025"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how you will engage them during and after the procurement</w:t>
      </w:r>
      <w:r>
        <w:rPr>
          <w:spacing w:val="-1"/>
        </w:rPr>
        <w:t xml:space="preserve"> </w:t>
      </w:r>
      <w:r>
        <w:t>process</w:t>
      </w:r>
    </w:p>
    <w:p w14:paraId="085C217F"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who in the agency is responsible for market engagement ‐ procurement team or</w:t>
      </w:r>
      <w:r>
        <w:rPr>
          <w:spacing w:val="-7"/>
        </w:rPr>
        <w:t xml:space="preserve"> </w:t>
      </w:r>
      <w:r>
        <w:t>buyer</w:t>
      </w:r>
    </w:p>
    <w:p w14:paraId="517DC7BF"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who holds supplier debriefs and handles</w:t>
      </w:r>
      <w:r>
        <w:rPr>
          <w:spacing w:val="-4"/>
        </w:rPr>
        <w:t xml:space="preserve"> </w:t>
      </w:r>
      <w:r>
        <w:t>complaints</w:t>
      </w:r>
    </w:p>
    <w:p w14:paraId="7488F70E" w14:textId="77777777" w:rsidR="005F45F5" w:rsidRDefault="005F45F5" w:rsidP="005F45F5">
      <w:pPr>
        <w:pStyle w:val="Heading3"/>
        <w:keepNext w:val="0"/>
        <w:widowControl w:val="0"/>
        <w:numPr>
          <w:ilvl w:val="0"/>
          <w:numId w:val="38"/>
        </w:numPr>
        <w:tabs>
          <w:tab w:val="left" w:pos="353"/>
        </w:tabs>
        <w:autoSpaceDE w:val="0"/>
        <w:autoSpaceDN w:val="0"/>
        <w:spacing w:before="0" w:after="0"/>
      </w:pPr>
      <w:r>
        <w:t>Capability development</w:t>
      </w:r>
      <w:r>
        <w:rPr>
          <w:spacing w:val="-1"/>
        </w:rPr>
        <w:t xml:space="preserve"> </w:t>
      </w:r>
      <w:r>
        <w:t>plan</w:t>
      </w:r>
    </w:p>
    <w:p w14:paraId="457AC7A0" w14:textId="77777777" w:rsidR="005F45F5" w:rsidRDefault="005F45F5" w:rsidP="005F45F5">
      <w:pPr>
        <w:pStyle w:val="BodyText"/>
        <w:spacing w:before="150"/>
        <w:ind w:left="113" w:right="1497"/>
      </w:pPr>
      <w:r>
        <w:t>Agencies need appropriate expertise to carry out their procurement activities. Note the capability development plan links with requirements 7 and 8, which outline processes for assessing procurement complexity and capability.</w:t>
      </w:r>
    </w:p>
    <w:p w14:paraId="12492290" w14:textId="77777777" w:rsidR="005F45F5" w:rsidRDefault="005F45F5" w:rsidP="005F45F5">
      <w:pPr>
        <w:pStyle w:val="BodyText"/>
        <w:spacing w:before="119"/>
        <w:ind w:left="113" w:right="1086"/>
      </w:pPr>
      <w:r>
        <w:t>A capability development plan details how an agency will develop its capability to align with the complexity of anticipated procurements, as per the agency’s forward activity plan. Actions can focus on internal development or may identify the need to bring in external expertise.</w:t>
      </w:r>
    </w:p>
    <w:p w14:paraId="1ABFB533" w14:textId="77777777" w:rsidR="005F45F5" w:rsidRDefault="005F45F5" w:rsidP="005F45F5">
      <w:pPr>
        <w:pStyle w:val="BodyText"/>
        <w:spacing w:before="121"/>
        <w:ind w:left="113"/>
      </w:pPr>
      <w:r>
        <w:t>A capability development plan should outline action required, if any, to improve:</w:t>
      </w:r>
    </w:p>
    <w:p w14:paraId="4797128F"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left="470" w:hanging="357"/>
        <w:contextualSpacing w:val="0"/>
      </w:pPr>
      <w:r>
        <w:t>people</w:t>
      </w:r>
    </w:p>
    <w:p w14:paraId="09AFD829"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left="470" w:hanging="357"/>
        <w:contextualSpacing w:val="0"/>
      </w:pPr>
      <w:r>
        <w:t>systems</w:t>
      </w:r>
    </w:p>
    <w:p w14:paraId="3A045910"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left="470" w:hanging="357"/>
        <w:contextualSpacing w:val="0"/>
      </w:pPr>
      <w:r>
        <w:t>policies</w:t>
      </w:r>
    </w:p>
    <w:p w14:paraId="53D98F2E"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left="470" w:hanging="357"/>
        <w:contextualSpacing w:val="0"/>
      </w:pPr>
      <w:r>
        <w:t>processes</w:t>
      </w:r>
    </w:p>
    <w:p w14:paraId="5C56C5C7"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left="470" w:hanging="357"/>
        <w:contextualSpacing w:val="0"/>
      </w:pPr>
      <w:r>
        <w:t>experience</w:t>
      </w:r>
    </w:p>
    <w:p w14:paraId="07EE5CFB"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left="470" w:hanging="357"/>
        <w:contextualSpacing w:val="0"/>
      </w:pPr>
      <w:r>
        <w:t>resources</w:t>
      </w:r>
    </w:p>
    <w:p w14:paraId="5E71BC0F" w14:textId="77777777" w:rsidR="005F45F5" w:rsidRDefault="005F45F5" w:rsidP="005F45F5">
      <w:pPr>
        <w:pStyle w:val="ListParagraph"/>
        <w:widowControl w:val="0"/>
        <w:numPr>
          <w:ilvl w:val="0"/>
          <w:numId w:val="35"/>
        </w:numPr>
        <w:tabs>
          <w:tab w:val="left" w:pos="470"/>
        </w:tabs>
        <w:autoSpaceDE w:val="0"/>
        <w:autoSpaceDN w:val="0"/>
        <w:spacing w:before="25" w:after="0" w:line="240" w:lineRule="auto"/>
        <w:ind w:left="470" w:hanging="357"/>
        <w:contextualSpacing w:val="0"/>
      </w:pPr>
      <w:r>
        <w:t>training</w:t>
      </w:r>
    </w:p>
    <w:p w14:paraId="4C48721A" w14:textId="77777777" w:rsidR="005F45F5" w:rsidRDefault="005F45F5" w:rsidP="005F45F5">
      <w:pPr>
        <w:pStyle w:val="BodyText"/>
        <w:spacing w:before="11"/>
        <w:rPr>
          <w:sz w:val="21"/>
        </w:rPr>
      </w:pPr>
    </w:p>
    <w:p w14:paraId="124E2371" w14:textId="77777777" w:rsidR="005F45F5" w:rsidRDefault="005F45F5" w:rsidP="005F45F5">
      <w:pPr>
        <w:pStyle w:val="Heading3"/>
        <w:keepNext w:val="0"/>
        <w:widowControl w:val="0"/>
        <w:numPr>
          <w:ilvl w:val="0"/>
          <w:numId w:val="38"/>
        </w:numPr>
        <w:tabs>
          <w:tab w:val="left" w:pos="353"/>
        </w:tabs>
        <w:autoSpaceDE w:val="0"/>
        <w:autoSpaceDN w:val="0"/>
        <w:spacing w:before="0" w:after="0" w:line="360" w:lineRule="auto"/>
        <w:ind w:left="352"/>
      </w:pPr>
      <w:r>
        <w:t xml:space="preserve">Emergency procurement plan </w:t>
      </w:r>
    </w:p>
    <w:p w14:paraId="5AB27147" w14:textId="77777777" w:rsidR="005F45F5" w:rsidRDefault="005F45F5" w:rsidP="005F45F5">
      <w:pPr>
        <w:pStyle w:val="BodyText"/>
        <w:spacing w:before="119"/>
        <w:ind w:left="113" w:right="1086"/>
      </w:pPr>
      <w:r w:rsidRPr="00057DA6">
        <w:t xml:space="preserve">Agencies </w:t>
      </w:r>
      <w:r>
        <w:t>are required</w:t>
      </w:r>
      <w:r w:rsidRPr="00057DA6">
        <w:t xml:space="preserve"> </w:t>
      </w:r>
      <w:r w:rsidRPr="00E946A0">
        <w:t>to have a</w:t>
      </w:r>
      <w:r w:rsidRPr="00057DA6">
        <w:t>n Emergency Procurement Plan</w:t>
      </w:r>
      <w:r w:rsidRPr="00E946A0">
        <w:t xml:space="preserve"> in place</w:t>
      </w:r>
      <w:r w:rsidRPr="00057DA6">
        <w:t xml:space="preserve">, that </w:t>
      </w:r>
      <w:r w:rsidRPr="00E946A0">
        <w:t>outlin</w:t>
      </w:r>
      <w:r w:rsidRPr="00057DA6">
        <w:t>es</w:t>
      </w:r>
      <w:r w:rsidRPr="00E946A0">
        <w:t xml:space="preserve"> how to manage procurement activities </w:t>
      </w:r>
      <w:r>
        <w:t>in response</w:t>
      </w:r>
      <w:r w:rsidRPr="00057DA6">
        <w:t xml:space="preserve"> to an emergency</w:t>
      </w:r>
      <w:r>
        <w:t xml:space="preserve"> in order </w:t>
      </w:r>
      <w:r w:rsidRPr="00057DA6">
        <w:t xml:space="preserve">to comply with the </w:t>
      </w:r>
      <w:hyperlink r:id="rId11" w:anchor="2-emergency-procurement" w:history="1">
        <w:r w:rsidRPr="00057DA6">
          <w:t>Emergency procurement section</w:t>
        </w:r>
      </w:hyperlink>
      <w:r w:rsidRPr="00057DA6">
        <w:t xml:space="preserve"> of the VGPB Governance policy. </w:t>
      </w:r>
    </w:p>
    <w:p w14:paraId="0AB098B9" w14:textId="77777777" w:rsidR="005F45F5" w:rsidRPr="00FA4732" w:rsidRDefault="005F45F5" w:rsidP="005F45F5">
      <w:pPr>
        <w:pStyle w:val="BodyText"/>
        <w:spacing w:before="119"/>
        <w:ind w:left="111" w:right="1073"/>
      </w:pPr>
      <w:r>
        <w:t xml:space="preserve">The emergency procurement plan should </w:t>
      </w:r>
      <w:r w:rsidRPr="00FA4732">
        <w:t xml:space="preserve">help </w:t>
      </w:r>
      <w:r>
        <w:t>staff to</w:t>
      </w:r>
      <w:r w:rsidRPr="00FA4732">
        <w:t>:</w:t>
      </w:r>
    </w:p>
    <w:p w14:paraId="33DFA236" w14:textId="77777777" w:rsidR="005F45F5" w:rsidRPr="00FA4732" w:rsidRDefault="005F45F5" w:rsidP="005F45F5">
      <w:pPr>
        <w:pStyle w:val="BodyText"/>
        <w:widowControl w:val="0"/>
        <w:numPr>
          <w:ilvl w:val="0"/>
          <w:numId w:val="37"/>
        </w:numPr>
        <w:autoSpaceDE w:val="0"/>
        <w:autoSpaceDN w:val="0"/>
        <w:spacing w:before="147" w:after="0"/>
        <w:ind w:left="470" w:right="1072" w:hanging="357"/>
      </w:pPr>
      <w:r>
        <w:t xml:space="preserve">understand their responsibilities </w:t>
      </w:r>
      <w:r w:rsidRPr="00FA4732">
        <w:t>for undertaking procurement activities to respond to an emergency</w:t>
      </w:r>
    </w:p>
    <w:p w14:paraId="255EC384" w14:textId="77777777" w:rsidR="005F45F5" w:rsidRPr="00FA4732" w:rsidRDefault="005F45F5" w:rsidP="005F45F5">
      <w:pPr>
        <w:pStyle w:val="BodyText"/>
        <w:widowControl w:val="0"/>
        <w:numPr>
          <w:ilvl w:val="0"/>
          <w:numId w:val="37"/>
        </w:numPr>
        <w:autoSpaceDE w:val="0"/>
        <w:autoSpaceDN w:val="0"/>
        <w:spacing w:before="0" w:after="0"/>
        <w:ind w:left="470" w:right="1072" w:hanging="357"/>
      </w:pPr>
      <w:r>
        <w:t>manag</w:t>
      </w:r>
      <w:r w:rsidRPr="00FA4732">
        <w:t>e</w:t>
      </w:r>
      <w:r>
        <w:t xml:space="preserve"> different aspects of the emergency procurement response</w:t>
      </w:r>
    </w:p>
    <w:p w14:paraId="3F7F66E2" w14:textId="77777777" w:rsidR="005F45F5" w:rsidRPr="00FA4732" w:rsidRDefault="005F45F5" w:rsidP="005F45F5">
      <w:pPr>
        <w:pStyle w:val="BodyText"/>
        <w:widowControl w:val="0"/>
        <w:numPr>
          <w:ilvl w:val="0"/>
          <w:numId w:val="37"/>
        </w:numPr>
        <w:autoSpaceDE w:val="0"/>
        <w:autoSpaceDN w:val="0"/>
        <w:spacing w:before="0" w:after="0"/>
        <w:ind w:left="470" w:right="1072" w:hanging="357"/>
      </w:pPr>
      <w:r w:rsidRPr="00FA4732">
        <w:t>identify and manage procurement risk in emergencies</w:t>
      </w:r>
      <w:r>
        <w:t xml:space="preserve">. </w:t>
      </w:r>
    </w:p>
    <w:p w14:paraId="159AD454" w14:textId="77777777" w:rsidR="005F45F5" w:rsidRPr="00FA4732" w:rsidRDefault="005F45F5" w:rsidP="005F45F5">
      <w:pPr>
        <w:pStyle w:val="BodyText"/>
        <w:spacing w:before="119"/>
        <w:ind w:left="113" w:right="1086"/>
      </w:pPr>
      <w:r>
        <w:lastRenderedPageBreak/>
        <w:t>Th</w:t>
      </w:r>
      <w:r w:rsidRPr="00FA4732">
        <w:t xml:space="preserve">e Emergency procurement plan </w:t>
      </w:r>
      <w:r>
        <w:t>should be reviewed annually as part of annual procurement planning</w:t>
      </w:r>
      <w:r w:rsidRPr="00FA4732">
        <w:t>.</w:t>
      </w:r>
    </w:p>
    <w:p w14:paraId="6FD06764" w14:textId="77777777" w:rsidR="005F45F5" w:rsidRPr="00057DA6" w:rsidRDefault="005F45F5" w:rsidP="005F45F5">
      <w:pPr>
        <w:pStyle w:val="BodyText"/>
        <w:spacing w:before="119"/>
        <w:ind w:left="113" w:right="1086"/>
      </w:pPr>
      <w:r w:rsidRPr="001B173D">
        <w:t xml:space="preserve">Agencies </w:t>
      </w:r>
      <w:r>
        <w:t>must consider the</w:t>
      </w:r>
      <w:r w:rsidRPr="001B173D">
        <w:t xml:space="preserve"> use </w:t>
      </w:r>
      <w:r>
        <w:t xml:space="preserve">of </w:t>
      </w:r>
      <w:r w:rsidRPr="001B173D">
        <w:t>state purchase contracts and registers where possible</w:t>
      </w:r>
      <w:r w:rsidRPr="005861D2">
        <w:t xml:space="preserve"> when</w:t>
      </w:r>
      <w:r w:rsidRPr="00057DA6">
        <w:t xml:space="preserve"> the agency is impacted by an emergency.</w:t>
      </w:r>
    </w:p>
    <w:p w14:paraId="291B4F1B" w14:textId="77777777" w:rsidR="005F45F5" w:rsidRDefault="005F45F5" w:rsidP="005F45F5">
      <w:pPr>
        <w:pStyle w:val="BodyText"/>
        <w:spacing w:before="119"/>
        <w:ind w:left="113" w:right="1086"/>
      </w:pPr>
      <w:r w:rsidRPr="00057DA6">
        <w:t xml:space="preserve">Agencies remain responsible for specific record keeping and reporting during an emergency. The Governance policy outlines the minimum requirements. </w:t>
      </w:r>
    </w:p>
    <w:p w14:paraId="17B68851" w14:textId="77777777" w:rsidR="005F45F5" w:rsidRPr="00BE1693" w:rsidRDefault="005F45F5" w:rsidP="005F45F5">
      <w:pPr>
        <w:pStyle w:val="BodyText"/>
        <w:spacing w:before="119"/>
        <w:ind w:left="113" w:right="1086"/>
      </w:pPr>
      <w:r w:rsidRPr="0052737F">
        <w:t xml:space="preserve">Each agency’s annual report </w:t>
      </w:r>
      <w:r>
        <w:t>must</w:t>
      </w:r>
      <w:r w:rsidRPr="0052737F">
        <w:t xml:space="preserve"> </w:t>
      </w:r>
      <w:r>
        <w:t xml:space="preserve">document </w:t>
      </w:r>
      <w:r w:rsidRPr="0052737F">
        <w:t xml:space="preserve">activation </w:t>
      </w:r>
      <w:r>
        <w:t>of emergency procurement,</w:t>
      </w:r>
      <w:r w:rsidRPr="0052737F">
        <w:t xml:space="preserve"> </w:t>
      </w:r>
      <w:r>
        <w:t xml:space="preserve">including </w:t>
      </w:r>
      <w:r w:rsidRPr="0052737F">
        <w:t xml:space="preserve">details of </w:t>
      </w:r>
      <w:r>
        <w:t xml:space="preserve">the </w:t>
      </w:r>
      <w:r w:rsidRPr="0052737F">
        <w:t>emergency procurement</w:t>
      </w:r>
      <w:r>
        <w:t>,</w:t>
      </w:r>
      <w:r w:rsidRPr="00BE1693">
        <w:t xml:space="preserve"> </w:t>
      </w:r>
      <w:r>
        <w:t>the nature of the emergency, summary and total spend of the goods and services and number of contracts awarded valued at $100,000 (GST inclusive or more)</w:t>
      </w:r>
      <w:r w:rsidRPr="00BE1693">
        <w:t>.</w:t>
      </w:r>
    </w:p>
    <w:p w14:paraId="5098462B" w14:textId="77777777" w:rsidR="005F45F5" w:rsidRPr="0052737F" w:rsidRDefault="005F45F5" w:rsidP="005F45F5">
      <w:pPr>
        <w:pStyle w:val="BodyText"/>
        <w:spacing w:before="119"/>
        <w:ind w:left="113" w:right="1086"/>
        <w:rPr>
          <w:b/>
        </w:rPr>
      </w:pPr>
      <w:r w:rsidRPr="00FA4732">
        <w:t>Contract disclosure requirements still apply and should be part of the agency’s policies and processes.</w:t>
      </w:r>
    </w:p>
    <w:p w14:paraId="7CC8C90B" w14:textId="77777777" w:rsidR="005F45F5" w:rsidRDefault="005F45F5" w:rsidP="005F45F5">
      <w:pPr>
        <w:pStyle w:val="BodyText"/>
        <w:spacing w:before="150"/>
        <w:ind w:left="111" w:right="1728"/>
      </w:pPr>
      <w:r>
        <w:t xml:space="preserve">The </w:t>
      </w:r>
      <w:hyperlink r:id="rId12" w:history="1">
        <w:r w:rsidRPr="00D72FDD">
          <w:rPr>
            <w:rStyle w:val="Hyperlink"/>
          </w:rPr>
          <w:t>Emergency Procurement plan goods and services guide</w:t>
        </w:r>
      </w:hyperlink>
      <w:r>
        <w:t xml:space="preserve"> </w:t>
      </w:r>
      <w:r w:rsidRPr="00057DA6">
        <w:t xml:space="preserve">and the </w:t>
      </w:r>
      <w:hyperlink r:id="rId13" w:history="1">
        <w:r w:rsidRPr="00D72FDD">
          <w:rPr>
            <w:rStyle w:val="Hyperlink"/>
          </w:rPr>
          <w:t>Emergency procurement plan template</w:t>
        </w:r>
      </w:hyperlink>
      <w:r w:rsidRPr="00057DA6">
        <w:t xml:space="preserve"> support the Emergency procurement policy contained in the VGPB Governance policy</w:t>
      </w:r>
      <w:r>
        <w:t>. These resources</w:t>
      </w:r>
      <w:r w:rsidRPr="00057DA6">
        <w:t xml:space="preserve"> can be used to help agencies develop a suitable process.</w:t>
      </w:r>
    </w:p>
    <w:p w14:paraId="469A51EE" w14:textId="77777777" w:rsidR="005F45F5" w:rsidRDefault="005F45F5" w:rsidP="005F45F5">
      <w:pPr>
        <w:pStyle w:val="Heading3"/>
        <w:keepNext w:val="0"/>
        <w:widowControl w:val="0"/>
        <w:numPr>
          <w:ilvl w:val="0"/>
          <w:numId w:val="38"/>
        </w:numPr>
        <w:tabs>
          <w:tab w:val="left" w:pos="353"/>
        </w:tabs>
        <w:autoSpaceDE w:val="0"/>
        <w:autoSpaceDN w:val="0"/>
        <w:spacing w:before="0" w:after="0"/>
        <w:ind w:left="351" w:hanging="238"/>
      </w:pPr>
      <w:r>
        <w:t>Complaints management</w:t>
      </w:r>
      <w:r>
        <w:rPr>
          <w:spacing w:val="-3"/>
        </w:rPr>
        <w:t xml:space="preserve"> </w:t>
      </w:r>
      <w:r>
        <w:t>process</w:t>
      </w:r>
    </w:p>
    <w:p w14:paraId="2945F4D3" w14:textId="77777777" w:rsidR="005F45F5" w:rsidRDefault="005F45F5" w:rsidP="005F45F5">
      <w:pPr>
        <w:pStyle w:val="BodyText"/>
        <w:spacing w:before="150"/>
        <w:ind w:left="112"/>
      </w:pPr>
      <w:r>
        <w:t>The complaints management process sets out:</w:t>
      </w:r>
    </w:p>
    <w:p w14:paraId="7BCE0290" w14:textId="77777777" w:rsidR="005F45F5" w:rsidRDefault="005F45F5" w:rsidP="005F45F5">
      <w:pPr>
        <w:pStyle w:val="ListParagraph"/>
        <w:widowControl w:val="0"/>
        <w:numPr>
          <w:ilvl w:val="0"/>
          <w:numId w:val="35"/>
        </w:numPr>
        <w:tabs>
          <w:tab w:val="left" w:pos="470"/>
        </w:tabs>
        <w:autoSpaceDE w:val="0"/>
        <w:autoSpaceDN w:val="0"/>
        <w:spacing w:before="146" w:after="0" w:line="240" w:lineRule="auto"/>
        <w:ind w:hanging="357"/>
        <w:contextualSpacing w:val="0"/>
      </w:pPr>
      <w:r>
        <w:t xml:space="preserve">how suppliers can raise concerns about a procurement, process </w:t>
      </w:r>
      <w:r>
        <w:rPr>
          <w:spacing w:val="2"/>
        </w:rPr>
        <w:t>or</w:t>
      </w:r>
      <w:r>
        <w:rPr>
          <w:spacing w:val="-11"/>
        </w:rPr>
        <w:t xml:space="preserve"> </w:t>
      </w:r>
      <w:r>
        <w:t>probity</w:t>
      </w:r>
    </w:p>
    <w:p w14:paraId="29454C32"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what information the agency will need from the</w:t>
      </w:r>
      <w:r>
        <w:rPr>
          <w:spacing w:val="-7"/>
        </w:rPr>
        <w:t xml:space="preserve"> </w:t>
      </w:r>
      <w:r>
        <w:t>complainant</w:t>
      </w:r>
    </w:p>
    <w:p w14:paraId="6288D3A2"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how the agency will deal with raised</w:t>
      </w:r>
      <w:r>
        <w:rPr>
          <w:spacing w:val="-2"/>
        </w:rPr>
        <w:t xml:space="preserve"> </w:t>
      </w:r>
      <w:r>
        <w:t>concerns</w:t>
      </w:r>
    </w:p>
    <w:p w14:paraId="362BD3E8"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that the person involved in the activity is not the same person managing the</w:t>
      </w:r>
      <w:r>
        <w:rPr>
          <w:spacing w:val="-7"/>
        </w:rPr>
        <w:t xml:space="preserve"> </w:t>
      </w:r>
      <w:r>
        <w:t>complaint</w:t>
      </w:r>
    </w:p>
    <w:p w14:paraId="4A6D2DE4"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timelines that apply to complainant and</w:t>
      </w:r>
      <w:r>
        <w:rPr>
          <w:spacing w:val="-6"/>
        </w:rPr>
        <w:t xml:space="preserve"> </w:t>
      </w:r>
      <w:r>
        <w:t>agency</w:t>
      </w:r>
    </w:p>
    <w:p w14:paraId="59867006" w14:textId="77777777" w:rsidR="005F45F5" w:rsidRDefault="005F45F5" w:rsidP="005F45F5">
      <w:pPr>
        <w:pStyle w:val="BodyText"/>
        <w:spacing w:before="147"/>
        <w:ind w:left="111"/>
      </w:pPr>
      <w:r>
        <w:t>The complaints management process needs to be accessible and on a publicly facing website.</w:t>
      </w:r>
    </w:p>
    <w:p w14:paraId="15847B1C" w14:textId="268DC2D5" w:rsidR="005F45F5" w:rsidRDefault="005F45F5" w:rsidP="005F45F5">
      <w:pPr>
        <w:pStyle w:val="BodyText"/>
        <w:spacing w:before="146"/>
        <w:ind w:left="112" w:right="1740"/>
      </w:pPr>
      <w:r>
        <w:t xml:space="preserve">The </w:t>
      </w:r>
      <w:hyperlink r:id="rId14" w:history="1">
        <w:r w:rsidRPr="00E53C85">
          <w:rPr>
            <w:rStyle w:val="Hyperlink"/>
          </w:rPr>
          <w:t>Complaints management – goods and services procurement guide</w:t>
        </w:r>
      </w:hyperlink>
      <w:r>
        <w:rPr>
          <w:color w:val="53565A"/>
        </w:rPr>
        <w:t xml:space="preserve"> </w:t>
      </w:r>
      <w:r>
        <w:t>can help agencies establish a complaints management process.</w:t>
      </w:r>
    </w:p>
    <w:p w14:paraId="6EF4699D" w14:textId="77777777" w:rsidR="005F45F5" w:rsidRDefault="005F45F5" w:rsidP="005F45F5">
      <w:pPr>
        <w:pStyle w:val="Heading3"/>
      </w:pPr>
      <w:r>
        <w:t>Complexity and Capability Policy ‐ requirements 8‐9</w:t>
      </w:r>
    </w:p>
    <w:p w14:paraId="3184B1B5" w14:textId="77777777" w:rsidR="005F45F5" w:rsidRDefault="005F45F5" w:rsidP="005F45F5">
      <w:pPr>
        <w:pStyle w:val="BodyText"/>
        <w:spacing w:before="150"/>
        <w:ind w:left="113" w:right="1729"/>
      </w:pPr>
      <w:r>
        <w:t>Procurement decisions involve assessing complexity and the capability of the agency to conduct procurement. Procurement can only proceed with the right capability to meet the complexity of the procurement activity.</w:t>
      </w:r>
    </w:p>
    <w:p w14:paraId="4AA24864" w14:textId="77777777" w:rsidR="005F45F5" w:rsidRDefault="005F45F5" w:rsidP="005F45F5">
      <w:pPr>
        <w:pStyle w:val="BodyText"/>
        <w:spacing w:before="119"/>
        <w:ind w:left="111" w:right="1073"/>
      </w:pPr>
      <w:r>
        <w:t>Assessing complexity and capability should align with the agency spend profile. The capability development plan, requirement five, should outline:</w:t>
      </w:r>
    </w:p>
    <w:p w14:paraId="4EC003C9" w14:textId="77777777" w:rsidR="005F45F5" w:rsidRDefault="005F45F5" w:rsidP="005F45F5">
      <w:pPr>
        <w:pStyle w:val="ListParagraph"/>
        <w:widowControl w:val="0"/>
        <w:numPr>
          <w:ilvl w:val="0"/>
          <w:numId w:val="36"/>
        </w:numPr>
        <w:tabs>
          <w:tab w:val="left" w:pos="469"/>
          <w:tab w:val="left" w:pos="470"/>
        </w:tabs>
        <w:autoSpaceDE w:val="0"/>
        <w:autoSpaceDN w:val="0"/>
        <w:spacing w:before="100" w:after="0" w:line="240" w:lineRule="auto"/>
        <w:contextualSpacing w:val="0"/>
      </w:pPr>
      <w:r>
        <w:t>that the agency has a suitable level of</w:t>
      </w:r>
      <w:r>
        <w:rPr>
          <w:spacing w:val="-6"/>
        </w:rPr>
        <w:t xml:space="preserve"> </w:t>
      </w:r>
      <w:r>
        <w:t>capability</w:t>
      </w:r>
    </w:p>
    <w:p w14:paraId="375E1F98" w14:textId="77777777" w:rsidR="005F45F5" w:rsidRDefault="005F45F5" w:rsidP="005F45F5">
      <w:pPr>
        <w:pStyle w:val="ListParagraph"/>
        <w:widowControl w:val="0"/>
        <w:numPr>
          <w:ilvl w:val="0"/>
          <w:numId w:val="36"/>
        </w:numPr>
        <w:tabs>
          <w:tab w:val="left" w:pos="469"/>
          <w:tab w:val="left" w:pos="470"/>
        </w:tabs>
        <w:autoSpaceDE w:val="0"/>
        <w:autoSpaceDN w:val="0"/>
        <w:spacing w:before="27" w:after="0" w:line="240" w:lineRule="auto"/>
        <w:contextualSpacing w:val="0"/>
      </w:pPr>
      <w:r>
        <w:t>the things and agency will initiate to have a suitable level of</w:t>
      </w:r>
      <w:r>
        <w:rPr>
          <w:spacing w:val="-7"/>
        </w:rPr>
        <w:t xml:space="preserve"> </w:t>
      </w:r>
      <w:r>
        <w:t>capability</w:t>
      </w:r>
    </w:p>
    <w:p w14:paraId="30EEE170" w14:textId="77777777" w:rsidR="005F45F5" w:rsidRDefault="005F45F5" w:rsidP="005F45F5">
      <w:pPr>
        <w:pStyle w:val="BodyText"/>
        <w:spacing w:before="10"/>
        <w:rPr>
          <w:sz w:val="21"/>
        </w:rPr>
      </w:pPr>
    </w:p>
    <w:p w14:paraId="574B49A5" w14:textId="77777777" w:rsidR="005F45F5" w:rsidRDefault="005F45F5" w:rsidP="005F45F5">
      <w:pPr>
        <w:pStyle w:val="Heading3"/>
        <w:keepNext w:val="0"/>
        <w:widowControl w:val="0"/>
        <w:numPr>
          <w:ilvl w:val="0"/>
          <w:numId w:val="38"/>
        </w:numPr>
        <w:tabs>
          <w:tab w:val="left" w:pos="353"/>
        </w:tabs>
        <w:autoSpaceDE w:val="0"/>
        <w:autoSpaceDN w:val="0"/>
        <w:spacing w:before="0" w:after="0"/>
        <w:ind w:left="352"/>
      </w:pPr>
      <w:r>
        <w:t>Procurement complexity assessment</w:t>
      </w:r>
      <w:r>
        <w:rPr>
          <w:spacing w:val="-2"/>
        </w:rPr>
        <w:t xml:space="preserve"> </w:t>
      </w:r>
      <w:r>
        <w:t>process</w:t>
      </w:r>
    </w:p>
    <w:p w14:paraId="7E553579" w14:textId="77777777" w:rsidR="005F45F5" w:rsidRDefault="005F45F5" w:rsidP="005F45F5">
      <w:pPr>
        <w:pStyle w:val="BodyText"/>
        <w:spacing w:before="149"/>
        <w:ind w:left="112" w:right="2078"/>
      </w:pPr>
      <w:r>
        <w:rPr>
          <w:color w:val="53565A"/>
          <w:u w:val="single" w:color="53565A"/>
        </w:rPr>
        <w:t>Complexity – goods and services procurement guide</w:t>
      </w:r>
      <w:r>
        <w:rPr>
          <w:color w:val="53565A"/>
        </w:rPr>
        <w:t xml:space="preserve"> </w:t>
      </w:r>
      <w:r>
        <w:t xml:space="preserve">outlines key considerations when assessing complexity at an agency or individual procurement activity level. </w:t>
      </w:r>
      <w:r>
        <w:lastRenderedPageBreak/>
        <w:t>This is one way of integrating consideration of risk and value to help to classify procurement activities.</w:t>
      </w:r>
    </w:p>
    <w:p w14:paraId="25F170CC" w14:textId="77777777" w:rsidR="005F45F5" w:rsidRDefault="005F45F5" w:rsidP="005F45F5">
      <w:pPr>
        <w:pStyle w:val="BodyText"/>
        <w:ind w:left="112"/>
      </w:pPr>
      <w:r>
        <w:t>Less experienced buyers should manage procurement activities of lower risk and lower spend value.</w:t>
      </w:r>
    </w:p>
    <w:p w14:paraId="3A81161B" w14:textId="77777777" w:rsidR="005F45F5" w:rsidRDefault="005F45F5" w:rsidP="005F45F5">
      <w:pPr>
        <w:pStyle w:val="BodyText"/>
        <w:spacing w:before="147"/>
        <w:ind w:left="111" w:right="1075"/>
      </w:pPr>
      <w:r>
        <w:t>Complexity assessments can help agencies use discretion when assessing the level of oversight required for low risk procurements.</w:t>
      </w:r>
    </w:p>
    <w:p w14:paraId="16AEA233" w14:textId="77777777" w:rsidR="005F45F5" w:rsidRDefault="005F45F5" w:rsidP="005F45F5">
      <w:pPr>
        <w:pStyle w:val="Heading3"/>
        <w:keepNext w:val="0"/>
        <w:widowControl w:val="0"/>
        <w:numPr>
          <w:ilvl w:val="0"/>
          <w:numId w:val="38"/>
        </w:numPr>
        <w:tabs>
          <w:tab w:val="left" w:pos="353"/>
        </w:tabs>
        <w:autoSpaceDE w:val="0"/>
        <w:autoSpaceDN w:val="0"/>
        <w:spacing w:before="1" w:after="0"/>
        <w:ind w:left="352"/>
      </w:pPr>
      <w:r>
        <w:t>Capability assessment</w:t>
      </w:r>
      <w:r>
        <w:rPr>
          <w:spacing w:val="-1"/>
        </w:rPr>
        <w:t xml:space="preserve"> </w:t>
      </w:r>
      <w:r>
        <w:t>process</w:t>
      </w:r>
    </w:p>
    <w:p w14:paraId="44912F88" w14:textId="77777777" w:rsidR="005F45F5" w:rsidRDefault="005F45F5" w:rsidP="005F45F5">
      <w:pPr>
        <w:pStyle w:val="BodyText"/>
        <w:spacing w:before="149"/>
        <w:ind w:left="112"/>
      </w:pPr>
      <w:r>
        <w:rPr>
          <w:color w:val="53565A"/>
          <w:u w:val="single" w:color="53565A"/>
        </w:rPr>
        <w:t>Agency capability assessment tool</w:t>
      </w:r>
      <w:r>
        <w:rPr>
          <w:color w:val="53565A"/>
        </w:rPr>
        <w:t xml:space="preserve"> </w:t>
      </w:r>
      <w:r>
        <w:t>includes references to:</w:t>
      </w:r>
    </w:p>
    <w:p w14:paraId="10D9464E"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hanging="357"/>
        <w:contextualSpacing w:val="0"/>
      </w:pPr>
      <w:r>
        <w:t>governance</w:t>
      </w:r>
    </w:p>
    <w:p w14:paraId="7A6AE644"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people and</w:t>
      </w:r>
      <w:r>
        <w:rPr>
          <w:spacing w:val="-1"/>
        </w:rPr>
        <w:t xml:space="preserve"> </w:t>
      </w:r>
      <w:r>
        <w:t>culture</w:t>
      </w:r>
    </w:p>
    <w:p w14:paraId="7210A6ED"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technology and</w:t>
      </w:r>
      <w:r>
        <w:rPr>
          <w:spacing w:val="-3"/>
        </w:rPr>
        <w:t xml:space="preserve"> </w:t>
      </w:r>
      <w:r>
        <w:t>tools</w:t>
      </w:r>
    </w:p>
    <w:p w14:paraId="03E0C56B"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procurement</w:t>
      </w:r>
      <w:r>
        <w:rPr>
          <w:spacing w:val="-1"/>
        </w:rPr>
        <w:t xml:space="preserve"> </w:t>
      </w:r>
      <w:r>
        <w:t>processes</w:t>
      </w:r>
    </w:p>
    <w:p w14:paraId="61023BF6"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sourcing and category</w:t>
      </w:r>
      <w:r>
        <w:rPr>
          <w:spacing w:val="-1"/>
        </w:rPr>
        <w:t xml:space="preserve"> </w:t>
      </w:r>
      <w:r>
        <w:t>management</w:t>
      </w:r>
    </w:p>
    <w:p w14:paraId="2DC33F02"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contract</w:t>
      </w:r>
      <w:r>
        <w:rPr>
          <w:spacing w:val="-2"/>
        </w:rPr>
        <w:t xml:space="preserve"> </w:t>
      </w:r>
      <w:r>
        <w:t>management</w:t>
      </w:r>
    </w:p>
    <w:p w14:paraId="3655061F"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performance management</w:t>
      </w:r>
    </w:p>
    <w:p w14:paraId="76D8974B" w14:textId="77777777" w:rsidR="005F45F5" w:rsidRDefault="005F45F5" w:rsidP="005F45F5">
      <w:pPr>
        <w:pStyle w:val="BodyText"/>
        <w:spacing w:before="147"/>
        <w:ind w:left="112" w:right="1677"/>
      </w:pPr>
      <w:r>
        <w:t>Where the agency has more than one procurement practitioner, the team can specialise and expand capability to carry out more complex procurements as required.</w:t>
      </w:r>
    </w:p>
    <w:p w14:paraId="6E3115C0" w14:textId="77777777" w:rsidR="005F45F5" w:rsidRDefault="005F45F5" w:rsidP="005F45F5">
      <w:pPr>
        <w:pStyle w:val="BodyText"/>
        <w:spacing w:before="119"/>
        <w:ind w:left="113"/>
      </w:pPr>
      <w:r>
        <w:t>People involved in procurement may help with:</w:t>
      </w:r>
    </w:p>
    <w:p w14:paraId="6C1C4A2D"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left="470" w:hanging="357"/>
        <w:contextualSpacing w:val="0"/>
      </w:pPr>
      <w:r>
        <w:t>procurement policy and process</w:t>
      </w:r>
      <w:r>
        <w:rPr>
          <w:spacing w:val="-4"/>
        </w:rPr>
        <w:t xml:space="preserve"> </w:t>
      </w:r>
      <w:r>
        <w:t>development</w:t>
      </w:r>
    </w:p>
    <w:p w14:paraId="1456A20D"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providing support, advice and direction to buyers across business</w:t>
      </w:r>
      <w:r>
        <w:rPr>
          <w:spacing w:val="-7"/>
        </w:rPr>
        <w:t xml:space="preserve"> </w:t>
      </w:r>
      <w:r>
        <w:t>units</w:t>
      </w:r>
    </w:p>
    <w:p w14:paraId="5A939062"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identifying information and developing reporting to support procurement</w:t>
      </w:r>
      <w:r>
        <w:rPr>
          <w:spacing w:val="-10"/>
        </w:rPr>
        <w:t xml:space="preserve"> </w:t>
      </w:r>
      <w:r>
        <w:t>activities</w:t>
      </w:r>
    </w:p>
    <w:p w14:paraId="6A16DA43"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designing and conducting the sourcing</w:t>
      </w:r>
      <w:r>
        <w:rPr>
          <w:spacing w:val="-3"/>
        </w:rPr>
        <w:t xml:space="preserve"> </w:t>
      </w:r>
      <w:r>
        <w:t>process</w:t>
      </w:r>
    </w:p>
    <w:p w14:paraId="09C0344E"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shortlisting, evaluating and</w:t>
      </w:r>
      <w:r>
        <w:rPr>
          <w:spacing w:val="-2"/>
        </w:rPr>
        <w:t xml:space="preserve"> </w:t>
      </w:r>
      <w:r>
        <w:t>negotiating</w:t>
      </w:r>
    </w:p>
    <w:p w14:paraId="2DA34065"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designing and awarding the</w:t>
      </w:r>
      <w:r>
        <w:rPr>
          <w:spacing w:val="-3"/>
        </w:rPr>
        <w:t xml:space="preserve"> </w:t>
      </w:r>
      <w:r>
        <w:t>contract</w:t>
      </w:r>
    </w:p>
    <w:p w14:paraId="6AEA3509"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managing the contract and reviewing achievements against business</w:t>
      </w:r>
      <w:r>
        <w:rPr>
          <w:spacing w:val="-3"/>
        </w:rPr>
        <w:t xml:space="preserve"> </w:t>
      </w:r>
      <w:r>
        <w:t>case</w:t>
      </w:r>
    </w:p>
    <w:p w14:paraId="36018C03"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managing contract and supplier</w:t>
      </w:r>
      <w:r>
        <w:rPr>
          <w:spacing w:val="-1"/>
        </w:rPr>
        <w:t xml:space="preserve"> </w:t>
      </w:r>
      <w:r>
        <w:t>transitions</w:t>
      </w:r>
    </w:p>
    <w:p w14:paraId="74651EBC" w14:textId="77777777" w:rsidR="005F45F5" w:rsidRDefault="005F45F5" w:rsidP="005F45F5">
      <w:pPr>
        <w:pStyle w:val="BodyText"/>
        <w:spacing w:before="10"/>
        <w:rPr>
          <w:sz w:val="21"/>
        </w:rPr>
      </w:pPr>
    </w:p>
    <w:p w14:paraId="665915B8" w14:textId="77777777" w:rsidR="005F45F5" w:rsidRDefault="005F45F5" w:rsidP="005F45F5">
      <w:pPr>
        <w:pStyle w:val="Heading3"/>
      </w:pPr>
      <w:r>
        <w:t>Market Analysis and Review Policy ‐ requirements 10‐12</w:t>
      </w:r>
    </w:p>
    <w:p w14:paraId="47C61C6A" w14:textId="77777777" w:rsidR="005F45F5" w:rsidRPr="005F45F5" w:rsidRDefault="005F45F5" w:rsidP="005F45F5">
      <w:pPr>
        <w:pStyle w:val="Heading3"/>
        <w:keepNext w:val="0"/>
        <w:widowControl w:val="0"/>
        <w:numPr>
          <w:ilvl w:val="0"/>
          <w:numId w:val="38"/>
        </w:numPr>
        <w:tabs>
          <w:tab w:val="left" w:pos="353"/>
        </w:tabs>
        <w:autoSpaceDE w:val="0"/>
        <w:autoSpaceDN w:val="0"/>
        <w:spacing w:before="1" w:after="0"/>
        <w:ind w:left="352"/>
      </w:pPr>
      <w:r>
        <w:t>Market analysis and review</w:t>
      </w:r>
      <w:r w:rsidRPr="005F45F5">
        <w:t xml:space="preserve"> </w:t>
      </w:r>
      <w:r>
        <w:t>process</w:t>
      </w:r>
    </w:p>
    <w:p w14:paraId="163CE49B" w14:textId="77777777" w:rsidR="005F45F5" w:rsidRDefault="005F45F5" w:rsidP="005F45F5">
      <w:pPr>
        <w:pStyle w:val="BodyText"/>
        <w:spacing w:before="150"/>
        <w:ind w:left="112"/>
      </w:pPr>
      <w:r>
        <w:t>Market research and analysis is a critical step of planning and allows the agency to:</w:t>
      </w:r>
    </w:p>
    <w:p w14:paraId="391ACD79"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hanging="357"/>
        <w:contextualSpacing w:val="0"/>
      </w:pPr>
      <w:r>
        <w:t>understand the market and the scope for</w:t>
      </w:r>
      <w:r>
        <w:rPr>
          <w:spacing w:val="-5"/>
        </w:rPr>
        <w:t xml:space="preserve"> </w:t>
      </w:r>
      <w:r>
        <w:t>competition</w:t>
      </w:r>
    </w:p>
    <w:p w14:paraId="54497984"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to determine the best market</w:t>
      </w:r>
      <w:r>
        <w:rPr>
          <w:spacing w:val="-3"/>
        </w:rPr>
        <w:t xml:space="preserve"> </w:t>
      </w:r>
      <w:r>
        <w:t>approach</w:t>
      </w:r>
    </w:p>
    <w:p w14:paraId="21C79FA3" w14:textId="77777777" w:rsidR="005F45F5" w:rsidRDefault="005F45F5" w:rsidP="005F45F5">
      <w:pPr>
        <w:pStyle w:val="BodyText"/>
        <w:spacing w:before="146"/>
        <w:ind w:left="112"/>
      </w:pPr>
      <w:r>
        <w:t>Agencies need processes to help procurers analyse market dynamics, at both:</w:t>
      </w:r>
    </w:p>
    <w:p w14:paraId="0243EC29"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left="470" w:hanging="357"/>
        <w:contextualSpacing w:val="0"/>
      </w:pPr>
      <w:r>
        <w:t>category</w:t>
      </w:r>
      <w:r w:rsidRPr="00057DA6">
        <w:t xml:space="preserve"> </w:t>
      </w:r>
      <w:r>
        <w:t>level</w:t>
      </w:r>
    </w:p>
    <w:p w14:paraId="02C7A05D" w14:textId="77777777" w:rsidR="005F45F5" w:rsidRDefault="005F45F5" w:rsidP="005F45F5">
      <w:pPr>
        <w:pStyle w:val="BodyText"/>
        <w:widowControl w:val="0"/>
        <w:numPr>
          <w:ilvl w:val="0"/>
          <w:numId w:val="35"/>
        </w:numPr>
        <w:autoSpaceDE w:val="0"/>
        <w:autoSpaceDN w:val="0"/>
        <w:spacing w:before="0" w:after="0" w:line="372" w:lineRule="auto"/>
        <w:ind w:left="470" w:right="3541" w:hanging="357"/>
      </w:pPr>
      <w:r>
        <w:t>individual procurement activity</w:t>
      </w:r>
      <w:r w:rsidRPr="00057DA6">
        <w:t xml:space="preserve"> </w:t>
      </w:r>
      <w:r>
        <w:t>level</w:t>
      </w:r>
    </w:p>
    <w:p w14:paraId="3F5FBD7E" w14:textId="77777777" w:rsidR="005F45F5" w:rsidRDefault="005F45F5" w:rsidP="005F45F5">
      <w:pPr>
        <w:pStyle w:val="BodyText"/>
        <w:spacing w:before="56" w:line="372" w:lineRule="auto"/>
        <w:ind w:left="112" w:right="3541"/>
      </w:pPr>
      <w:r>
        <w:t>This information is important for developing an effective procurement strategy. At a minimum this applies for new procurements or when renewing a contract.</w:t>
      </w:r>
    </w:p>
    <w:p w14:paraId="56F573F8" w14:textId="77777777" w:rsidR="005F45F5" w:rsidRDefault="005F45F5" w:rsidP="005F45F5">
      <w:pPr>
        <w:pStyle w:val="BodyText"/>
        <w:ind w:left="112" w:right="1429"/>
      </w:pPr>
      <w:r>
        <w:lastRenderedPageBreak/>
        <w:t xml:space="preserve">Agencies can refer to the </w:t>
      </w:r>
      <w:r>
        <w:rPr>
          <w:color w:val="53565A"/>
          <w:u w:val="single" w:color="53565A"/>
        </w:rPr>
        <w:t>Market analysis and review – goods and services procurement guide</w:t>
      </w:r>
      <w:r>
        <w:rPr>
          <w:color w:val="53565A"/>
        </w:rPr>
        <w:t xml:space="preserve"> </w:t>
      </w:r>
      <w:r>
        <w:t>for more information and to help with establishing this process.</w:t>
      </w:r>
    </w:p>
    <w:p w14:paraId="216EC431" w14:textId="77777777" w:rsidR="005F45F5" w:rsidRDefault="005F45F5" w:rsidP="005F45F5">
      <w:pPr>
        <w:pStyle w:val="BodyText"/>
        <w:spacing w:before="118"/>
        <w:ind w:left="112"/>
      </w:pPr>
      <w:r>
        <w:t>Establishing categories, with the aim of aggregating spend, can be helpful, but is not necessary.</w:t>
      </w:r>
    </w:p>
    <w:p w14:paraId="31695023" w14:textId="77777777" w:rsidR="005F45F5" w:rsidRDefault="005F45F5" w:rsidP="005F45F5">
      <w:pPr>
        <w:pStyle w:val="BodyText"/>
        <w:spacing w:before="147"/>
        <w:ind w:left="112" w:right="1456"/>
      </w:pPr>
      <w:r>
        <w:t xml:space="preserve">Agencies can use </w:t>
      </w:r>
      <w:r>
        <w:rPr>
          <w:color w:val="53565A"/>
          <w:u w:val="single" w:color="53565A"/>
        </w:rPr>
        <w:t>Understanding supply chain – goods and services procurement guide</w:t>
      </w:r>
      <w:r>
        <w:rPr>
          <w:color w:val="53565A"/>
        </w:rPr>
        <w:t xml:space="preserve"> </w:t>
      </w:r>
      <w:r>
        <w:t>to assess supply chain risks when procuring goods and services.</w:t>
      </w:r>
    </w:p>
    <w:p w14:paraId="30341B5E" w14:textId="77777777" w:rsidR="005F45F5" w:rsidRDefault="005F45F5" w:rsidP="005F45F5">
      <w:pPr>
        <w:pStyle w:val="BodyText"/>
        <w:ind w:left="112" w:right="1386"/>
      </w:pPr>
      <w:r>
        <w:t>Market analysis and review may not apply when using mandated state purchase contracts or sole entity purchase contracts.</w:t>
      </w:r>
    </w:p>
    <w:p w14:paraId="68426D9B" w14:textId="77777777" w:rsidR="005F45F5" w:rsidRDefault="005F45F5" w:rsidP="005F45F5">
      <w:pPr>
        <w:pStyle w:val="Heading3"/>
        <w:keepNext w:val="0"/>
        <w:widowControl w:val="0"/>
        <w:numPr>
          <w:ilvl w:val="0"/>
          <w:numId w:val="38"/>
        </w:numPr>
        <w:tabs>
          <w:tab w:val="left" w:pos="475"/>
        </w:tabs>
        <w:autoSpaceDE w:val="0"/>
        <w:autoSpaceDN w:val="0"/>
        <w:spacing w:before="0" w:after="0" w:line="264" w:lineRule="auto"/>
        <w:ind w:left="112" w:right="1617" w:firstLine="0"/>
      </w:pPr>
      <w:r>
        <w:t>Information on aggregated purchasing: how to establish new, and access existing, state purchase contracts and or sole entity purchase</w:t>
      </w:r>
      <w:r>
        <w:rPr>
          <w:spacing w:val="-5"/>
        </w:rPr>
        <w:t xml:space="preserve"> </w:t>
      </w:r>
      <w:r>
        <w:t>contracts</w:t>
      </w:r>
    </w:p>
    <w:p w14:paraId="5773D2B0" w14:textId="77777777" w:rsidR="005F45F5" w:rsidRDefault="005F45F5" w:rsidP="005F45F5">
      <w:pPr>
        <w:pStyle w:val="BodyText"/>
        <w:spacing w:before="121"/>
        <w:ind w:left="112" w:right="1877"/>
      </w:pPr>
      <w:r>
        <w:t xml:space="preserve">There are mandatory and non‐mandatory </w:t>
      </w:r>
      <w:r>
        <w:rPr>
          <w:color w:val="53565A"/>
          <w:u w:val="single" w:color="53565A"/>
        </w:rPr>
        <w:t>state purchase contracts</w:t>
      </w:r>
      <w:r>
        <w:rPr>
          <w:color w:val="53565A"/>
        </w:rPr>
        <w:t xml:space="preserve"> </w:t>
      </w:r>
      <w:r>
        <w:t>covering a broad range of non‐ construction goods and services listed on the Buying for Victoria website.</w:t>
      </w:r>
    </w:p>
    <w:p w14:paraId="11667BB0" w14:textId="77777777" w:rsidR="005F45F5" w:rsidRDefault="005F45F5" w:rsidP="005F45F5">
      <w:pPr>
        <w:pStyle w:val="BodyText"/>
        <w:ind w:left="112" w:right="1144"/>
      </w:pPr>
      <w:r>
        <w:t>Transitional arrangements for using state purchase contracts apply to agencies aligning from 1 July 2021. Agencies will transition based on self‐assessment of spend on non‐construction goods and services against minimum spend thresholds. Agencies that spend less than $2.5million are not expected to use state purchase contracts, although they may choose to opt into these contracts on application to the lead agency. Agencies will allow existing contracts to run their full term before migrating to a state purchase contract.</w:t>
      </w:r>
    </w:p>
    <w:p w14:paraId="23A3C8EF" w14:textId="77777777" w:rsidR="005F45F5" w:rsidRDefault="005F45F5" w:rsidP="005F45F5">
      <w:pPr>
        <w:pStyle w:val="BodyText"/>
        <w:ind w:left="112" w:right="1259"/>
      </w:pPr>
      <w:r>
        <w:t>If agencies can achieve the same or better value from their current supplier or, for example, from a local small business operator, the agency will be eligible to use the exemption process. The exemption process applies to mandatory state purchase contracts only.</w:t>
      </w:r>
    </w:p>
    <w:p w14:paraId="5D6042ED" w14:textId="77777777" w:rsidR="005F45F5" w:rsidRDefault="005F45F5" w:rsidP="005F45F5">
      <w:pPr>
        <w:pStyle w:val="BodyText"/>
        <w:spacing w:before="119"/>
        <w:ind w:left="112" w:right="1262"/>
      </w:pPr>
      <w:r>
        <w:t xml:space="preserve">If an agency wishes to establish a state purchase contracts or sole entity purchase contract, the agency must ensure that their processes are consistent with requirements outlined in the Market analysis and review policy. There is more information in the </w:t>
      </w:r>
      <w:r>
        <w:rPr>
          <w:color w:val="53565A"/>
          <w:u w:val="single" w:color="53565A"/>
        </w:rPr>
        <w:t>aggregated purchasing – goods and services procurement</w:t>
      </w:r>
      <w:r>
        <w:rPr>
          <w:color w:val="53565A"/>
        </w:rPr>
        <w:t xml:space="preserve"> </w:t>
      </w:r>
      <w:r>
        <w:rPr>
          <w:color w:val="53565A"/>
          <w:u w:val="single" w:color="53565A"/>
        </w:rPr>
        <w:t>guide.</w:t>
      </w:r>
    </w:p>
    <w:p w14:paraId="4C901950" w14:textId="77777777" w:rsidR="005F45F5" w:rsidRDefault="005F45F5" w:rsidP="005F45F5">
      <w:pPr>
        <w:pStyle w:val="Heading3"/>
        <w:keepNext w:val="0"/>
        <w:widowControl w:val="0"/>
        <w:numPr>
          <w:ilvl w:val="0"/>
          <w:numId w:val="38"/>
        </w:numPr>
        <w:tabs>
          <w:tab w:val="left" w:pos="474"/>
        </w:tabs>
        <w:autoSpaceDE w:val="0"/>
        <w:autoSpaceDN w:val="0"/>
        <w:spacing w:before="52" w:after="0"/>
        <w:ind w:left="473" w:hanging="361"/>
      </w:pPr>
      <w:r>
        <w:t>Asset disposal</w:t>
      </w:r>
      <w:r>
        <w:rPr>
          <w:spacing w:val="-1"/>
        </w:rPr>
        <w:t xml:space="preserve"> </w:t>
      </w:r>
      <w:r>
        <w:t>process</w:t>
      </w:r>
    </w:p>
    <w:p w14:paraId="4F27DE57" w14:textId="77777777" w:rsidR="005F45F5" w:rsidRDefault="005F45F5" w:rsidP="005F45F5">
      <w:pPr>
        <w:pStyle w:val="BodyText"/>
        <w:spacing w:before="149"/>
        <w:ind w:left="112" w:right="1194"/>
      </w:pPr>
      <w:r>
        <w:t xml:space="preserve">The non‐prescriptive </w:t>
      </w:r>
      <w:r>
        <w:rPr>
          <w:color w:val="53565A"/>
          <w:u w:val="single" w:color="53565A"/>
        </w:rPr>
        <w:t>Asset Management Accountability Framework</w:t>
      </w:r>
      <w:r>
        <w:rPr>
          <w:color w:val="53565A"/>
        </w:rPr>
        <w:t xml:space="preserve"> </w:t>
      </w:r>
      <w:r>
        <w:t>allows agencies to manage assets, in line with government requirements, and to their own circumstances. There is information related to asset appraisal and disposal and a separate attestation under Standing Direction 4.2.3. If the agency adheres to the Asset Management Framework, it will already comply with this requirement.</w:t>
      </w:r>
    </w:p>
    <w:p w14:paraId="478985FF" w14:textId="77777777" w:rsidR="005F45F5" w:rsidRDefault="005F45F5" w:rsidP="005F45F5">
      <w:pPr>
        <w:pStyle w:val="BodyText"/>
        <w:spacing w:before="119"/>
        <w:ind w:left="111"/>
      </w:pPr>
      <w:r>
        <w:t>Asset management and planning should consider:</w:t>
      </w:r>
    </w:p>
    <w:p w14:paraId="01E6720A" w14:textId="77777777" w:rsidR="005F45F5" w:rsidRDefault="005F45F5" w:rsidP="005F45F5">
      <w:pPr>
        <w:pStyle w:val="ListParagraph"/>
        <w:widowControl w:val="0"/>
        <w:numPr>
          <w:ilvl w:val="0"/>
          <w:numId w:val="35"/>
        </w:numPr>
        <w:tabs>
          <w:tab w:val="left" w:pos="470"/>
        </w:tabs>
        <w:autoSpaceDE w:val="0"/>
        <w:autoSpaceDN w:val="0"/>
        <w:spacing w:before="149" w:after="0" w:line="240" w:lineRule="auto"/>
        <w:ind w:hanging="357"/>
        <w:contextualSpacing w:val="0"/>
      </w:pPr>
      <w:r>
        <w:t>the best process for</w:t>
      </w:r>
      <w:r>
        <w:rPr>
          <w:spacing w:val="-1"/>
        </w:rPr>
        <w:t xml:space="preserve"> </w:t>
      </w:r>
      <w:r>
        <w:t>disposal</w:t>
      </w:r>
    </w:p>
    <w:p w14:paraId="00B19A6A" w14:textId="77777777" w:rsidR="005F45F5" w:rsidRDefault="005F45F5" w:rsidP="005F45F5">
      <w:pPr>
        <w:pStyle w:val="ListParagraph"/>
        <w:widowControl w:val="0"/>
        <w:numPr>
          <w:ilvl w:val="0"/>
          <w:numId w:val="35"/>
        </w:numPr>
        <w:tabs>
          <w:tab w:val="left" w:pos="470"/>
        </w:tabs>
        <w:autoSpaceDE w:val="0"/>
        <w:autoSpaceDN w:val="0"/>
        <w:spacing w:before="26" w:after="0" w:line="240" w:lineRule="auto"/>
        <w:ind w:hanging="357"/>
        <w:contextualSpacing w:val="0"/>
      </w:pPr>
      <w:r>
        <w:t>social and environmental impacts of disposing of</w:t>
      </w:r>
      <w:r>
        <w:rPr>
          <w:spacing w:val="-6"/>
        </w:rPr>
        <w:t xml:space="preserve"> </w:t>
      </w:r>
      <w:r>
        <w:t>assets</w:t>
      </w:r>
    </w:p>
    <w:p w14:paraId="4443C6CB" w14:textId="77777777" w:rsidR="005F45F5" w:rsidRDefault="005F45F5" w:rsidP="005F45F5">
      <w:pPr>
        <w:pStyle w:val="Heading3"/>
      </w:pPr>
      <w:r>
        <w:t>Market Approach Policy ‐ requirements</w:t>
      </w:r>
      <w:r>
        <w:rPr>
          <w:spacing w:val="-15"/>
        </w:rPr>
        <w:t xml:space="preserve"> </w:t>
      </w:r>
      <w:r>
        <w:t>13‐14</w:t>
      </w:r>
    </w:p>
    <w:p w14:paraId="772E24AC" w14:textId="77777777" w:rsidR="005F45F5" w:rsidRDefault="005F45F5" w:rsidP="005F45F5">
      <w:pPr>
        <w:pStyle w:val="BodyText"/>
        <w:spacing w:before="149"/>
        <w:ind w:left="112" w:right="1337"/>
      </w:pPr>
      <w:r>
        <w:t>The Market approach policy requires buyers to develop an approach that suits the procurement activity, the supply market and achieves maximum</w:t>
      </w:r>
      <w:r>
        <w:rPr>
          <w:spacing w:val="-3"/>
        </w:rPr>
        <w:t xml:space="preserve"> </w:t>
      </w:r>
      <w:r>
        <w:t>benefit.</w:t>
      </w:r>
    </w:p>
    <w:p w14:paraId="4041CCE6" w14:textId="77777777" w:rsidR="005F45F5" w:rsidRDefault="005F45F5" w:rsidP="005F45F5">
      <w:pPr>
        <w:pStyle w:val="BodyText"/>
        <w:spacing w:before="56"/>
        <w:ind w:left="112" w:right="1214"/>
      </w:pPr>
      <w:r>
        <w:t xml:space="preserve">The </w:t>
      </w:r>
      <w:r>
        <w:rPr>
          <w:color w:val="53565A"/>
          <w:u w:val="single" w:color="53565A"/>
        </w:rPr>
        <w:t>Market approach – goods and services procurement guide</w:t>
      </w:r>
      <w:r>
        <w:rPr>
          <w:color w:val="53565A"/>
        </w:rPr>
        <w:t xml:space="preserve"> </w:t>
      </w:r>
      <w:r>
        <w:t>will help with determining the appropriate path to market.</w:t>
      </w:r>
    </w:p>
    <w:p w14:paraId="3EB3F50D" w14:textId="77777777" w:rsidR="005F45F5" w:rsidRDefault="005F45F5" w:rsidP="005F45F5">
      <w:pPr>
        <w:pStyle w:val="Heading3"/>
        <w:keepNext w:val="0"/>
        <w:widowControl w:val="0"/>
        <w:numPr>
          <w:ilvl w:val="0"/>
          <w:numId w:val="38"/>
        </w:numPr>
        <w:tabs>
          <w:tab w:val="left" w:pos="474"/>
        </w:tabs>
        <w:autoSpaceDE w:val="0"/>
        <w:autoSpaceDN w:val="0"/>
        <w:spacing w:before="0" w:after="0"/>
        <w:ind w:left="473" w:hanging="361"/>
      </w:pPr>
      <w:r>
        <w:lastRenderedPageBreak/>
        <w:t>Market approach</w:t>
      </w:r>
      <w:r>
        <w:rPr>
          <w:spacing w:val="-2"/>
        </w:rPr>
        <w:t xml:space="preserve"> </w:t>
      </w:r>
      <w:r>
        <w:t>process</w:t>
      </w:r>
    </w:p>
    <w:p w14:paraId="18CCC59F" w14:textId="77777777" w:rsidR="005F45F5" w:rsidRDefault="005F45F5" w:rsidP="005F45F5">
      <w:pPr>
        <w:pStyle w:val="BodyText"/>
        <w:spacing w:before="150"/>
        <w:ind w:left="112"/>
      </w:pPr>
      <w:r>
        <w:t>Agencies must have in place and apply an appropriate market approach process that:</w:t>
      </w:r>
    </w:p>
    <w:p w14:paraId="02C62CB2"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hanging="357"/>
        <w:contextualSpacing w:val="0"/>
      </w:pPr>
      <w:r>
        <w:t>is fair and</w:t>
      </w:r>
      <w:r>
        <w:rPr>
          <w:spacing w:val="-3"/>
        </w:rPr>
        <w:t xml:space="preserve"> </w:t>
      </w:r>
      <w:r>
        <w:t>equitable</w:t>
      </w:r>
    </w:p>
    <w:p w14:paraId="07AD6A88" w14:textId="77777777" w:rsidR="005F45F5" w:rsidRDefault="005F45F5" w:rsidP="005F45F5">
      <w:pPr>
        <w:pStyle w:val="ListParagraph"/>
        <w:widowControl w:val="0"/>
        <w:numPr>
          <w:ilvl w:val="0"/>
          <w:numId w:val="35"/>
        </w:numPr>
        <w:tabs>
          <w:tab w:val="left" w:pos="470"/>
        </w:tabs>
        <w:autoSpaceDE w:val="0"/>
        <w:autoSpaceDN w:val="0"/>
        <w:spacing w:before="27" w:after="0"/>
        <w:ind w:right="1137" w:hanging="357"/>
        <w:contextualSpacing w:val="0"/>
      </w:pPr>
      <w:r>
        <w:t>encourages participation from various suppliers including small and medium enterprises, social benefit suppliers and locally based</w:t>
      </w:r>
      <w:r>
        <w:rPr>
          <w:spacing w:val="-2"/>
        </w:rPr>
        <w:t xml:space="preserve"> </w:t>
      </w:r>
      <w:r>
        <w:t>businesses</w:t>
      </w:r>
    </w:p>
    <w:p w14:paraId="22DC89ED" w14:textId="77777777" w:rsidR="005F45F5" w:rsidRDefault="005F45F5" w:rsidP="005F45F5">
      <w:pPr>
        <w:pStyle w:val="ListParagraph"/>
        <w:widowControl w:val="0"/>
        <w:numPr>
          <w:ilvl w:val="0"/>
          <w:numId w:val="35"/>
        </w:numPr>
        <w:tabs>
          <w:tab w:val="left" w:pos="470"/>
        </w:tabs>
        <w:autoSpaceDE w:val="0"/>
        <w:autoSpaceDN w:val="0"/>
        <w:spacing w:before="0" w:after="0" w:line="280" w:lineRule="exact"/>
        <w:ind w:hanging="357"/>
        <w:contextualSpacing w:val="0"/>
      </w:pPr>
      <w:r>
        <w:t>is fit for</w:t>
      </w:r>
      <w:r>
        <w:rPr>
          <w:spacing w:val="-4"/>
        </w:rPr>
        <w:t xml:space="preserve"> </w:t>
      </w:r>
      <w:r>
        <w:t>purpose</w:t>
      </w:r>
    </w:p>
    <w:p w14:paraId="01A3FB25" w14:textId="77777777" w:rsidR="005F45F5" w:rsidRDefault="005F45F5" w:rsidP="005F45F5">
      <w:pPr>
        <w:pStyle w:val="ListParagraph"/>
        <w:widowControl w:val="0"/>
        <w:numPr>
          <w:ilvl w:val="0"/>
          <w:numId w:val="35"/>
        </w:numPr>
        <w:tabs>
          <w:tab w:val="left" w:pos="470"/>
        </w:tabs>
        <w:autoSpaceDE w:val="0"/>
        <w:autoSpaceDN w:val="0"/>
        <w:spacing w:before="27" w:after="0" w:line="364" w:lineRule="auto"/>
        <w:ind w:left="112" w:right="6269" w:firstLine="0"/>
        <w:contextualSpacing w:val="0"/>
      </w:pPr>
      <w:r>
        <w:t>applies and achieves probity standards. Some common methods of market approach</w:t>
      </w:r>
      <w:r>
        <w:rPr>
          <w:spacing w:val="-15"/>
        </w:rPr>
        <w:t xml:space="preserve"> </w:t>
      </w:r>
      <w:r>
        <w:t>are:</w:t>
      </w:r>
    </w:p>
    <w:p w14:paraId="0AE66B8F" w14:textId="77777777" w:rsidR="005F45F5" w:rsidRDefault="005F45F5" w:rsidP="005F45F5">
      <w:pPr>
        <w:pStyle w:val="ListParagraph"/>
        <w:widowControl w:val="0"/>
        <w:numPr>
          <w:ilvl w:val="0"/>
          <w:numId w:val="35"/>
        </w:numPr>
        <w:tabs>
          <w:tab w:val="left" w:pos="470"/>
        </w:tabs>
        <w:autoSpaceDE w:val="0"/>
        <w:autoSpaceDN w:val="0"/>
        <w:spacing w:before="14" w:after="0" w:line="240" w:lineRule="auto"/>
        <w:ind w:hanging="357"/>
        <w:contextualSpacing w:val="0"/>
      </w:pPr>
      <w:r>
        <w:t>quotations</w:t>
      </w:r>
    </w:p>
    <w:p w14:paraId="44B9161E"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open</w:t>
      </w:r>
      <w:r>
        <w:rPr>
          <w:spacing w:val="-2"/>
        </w:rPr>
        <w:t xml:space="preserve"> </w:t>
      </w:r>
      <w:r>
        <w:t>tendering</w:t>
      </w:r>
    </w:p>
    <w:p w14:paraId="0B925D56"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multi‐stage</w:t>
      </w:r>
      <w:r>
        <w:rPr>
          <w:spacing w:val="-1"/>
        </w:rPr>
        <w:t xml:space="preserve"> </w:t>
      </w:r>
      <w:r>
        <w:t>tendering</w:t>
      </w:r>
    </w:p>
    <w:p w14:paraId="091356F4"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limited</w:t>
      </w:r>
      <w:r>
        <w:rPr>
          <w:spacing w:val="-1"/>
        </w:rPr>
        <w:t xml:space="preserve"> </w:t>
      </w:r>
      <w:r>
        <w:t>tendering</w:t>
      </w:r>
    </w:p>
    <w:p w14:paraId="45FB96A6" w14:textId="77777777" w:rsidR="005F45F5" w:rsidRDefault="005F45F5" w:rsidP="005F45F5">
      <w:pPr>
        <w:pStyle w:val="ListParagraph"/>
        <w:widowControl w:val="0"/>
        <w:numPr>
          <w:ilvl w:val="0"/>
          <w:numId w:val="35"/>
        </w:numPr>
        <w:tabs>
          <w:tab w:val="left" w:pos="470"/>
        </w:tabs>
        <w:autoSpaceDE w:val="0"/>
        <w:autoSpaceDN w:val="0"/>
        <w:spacing w:before="26" w:after="0" w:line="240" w:lineRule="auto"/>
        <w:ind w:hanging="357"/>
        <w:contextualSpacing w:val="0"/>
      </w:pPr>
      <w:r>
        <w:t>state purchase contracts where</w:t>
      </w:r>
      <w:r>
        <w:rPr>
          <w:spacing w:val="-2"/>
        </w:rPr>
        <w:t xml:space="preserve"> </w:t>
      </w:r>
      <w:r>
        <w:t>relevant.</w:t>
      </w:r>
    </w:p>
    <w:p w14:paraId="5FCF2722" w14:textId="77777777" w:rsidR="005F45F5" w:rsidRDefault="005F45F5" w:rsidP="005F45F5">
      <w:pPr>
        <w:pStyle w:val="BodyText"/>
        <w:spacing w:before="147"/>
        <w:ind w:left="111" w:right="1557"/>
      </w:pPr>
      <w:r>
        <w:t>Where appropriate, market approaches should support the delivery of agency’s corporate and service delivery objectives.</w:t>
      </w:r>
    </w:p>
    <w:p w14:paraId="60260DBE" w14:textId="61647E13" w:rsidR="005F45F5" w:rsidRDefault="005F45F5" w:rsidP="005F45F5">
      <w:pPr>
        <w:pStyle w:val="BodyText"/>
        <w:ind w:left="111"/>
        <w:rPr>
          <w:sz w:val="17"/>
        </w:rPr>
      </w:pPr>
      <w:r>
        <w:t xml:space="preserve">Refer to the </w:t>
      </w:r>
      <w:r>
        <w:rPr>
          <w:color w:val="53565A"/>
          <w:u w:val="single" w:color="53565A"/>
        </w:rPr>
        <w:t>buyer’s guide to procurement</w:t>
      </w:r>
      <w:r>
        <w:rPr>
          <w:color w:val="53565A"/>
        </w:rPr>
        <w:t xml:space="preserve"> </w:t>
      </w:r>
      <w:r>
        <w:t>for other market approach options.</w:t>
      </w:r>
    </w:p>
    <w:p w14:paraId="2EEA1E4C" w14:textId="77777777" w:rsidR="005F45F5" w:rsidRDefault="005F45F5" w:rsidP="005F45F5">
      <w:pPr>
        <w:pStyle w:val="Heading3"/>
        <w:keepNext w:val="0"/>
        <w:widowControl w:val="0"/>
        <w:numPr>
          <w:ilvl w:val="0"/>
          <w:numId w:val="38"/>
        </w:numPr>
        <w:tabs>
          <w:tab w:val="left" w:pos="475"/>
        </w:tabs>
        <w:autoSpaceDE w:val="0"/>
        <w:autoSpaceDN w:val="0"/>
        <w:spacing w:before="52" w:after="0"/>
        <w:ind w:left="474" w:hanging="362"/>
      </w:pPr>
      <w:r>
        <w:t>Process for secure lodgement of tender</w:t>
      </w:r>
      <w:r>
        <w:rPr>
          <w:spacing w:val="-15"/>
        </w:rPr>
        <w:t xml:space="preserve"> </w:t>
      </w:r>
      <w:r>
        <w:t>submissions</w:t>
      </w:r>
    </w:p>
    <w:p w14:paraId="66990F24" w14:textId="77777777" w:rsidR="005F45F5" w:rsidRDefault="005F45F5" w:rsidP="005F45F5">
      <w:pPr>
        <w:pStyle w:val="BodyText"/>
        <w:spacing w:before="150"/>
        <w:ind w:left="112" w:right="1698"/>
      </w:pPr>
      <w:r>
        <w:t>Secure lodgement relates to the methods of submission. Ensure management of submissions and all further engagements is secure and maintains confidentiality and probity. Supplier submission requirements are part of the Invitation to supply</w:t>
      </w:r>
      <w:r>
        <w:rPr>
          <w:spacing w:val="-3"/>
        </w:rPr>
        <w:t xml:space="preserve"> </w:t>
      </w:r>
      <w:r>
        <w:t>documentation.</w:t>
      </w:r>
    </w:p>
    <w:p w14:paraId="18E6C780" w14:textId="77777777" w:rsidR="005F45F5" w:rsidRDefault="005F45F5" w:rsidP="005F45F5">
      <w:pPr>
        <w:pStyle w:val="BodyText"/>
        <w:spacing w:before="119"/>
        <w:ind w:left="111" w:right="1906"/>
      </w:pPr>
      <w:r>
        <w:t>If an agency manages submissions electronically, IT systems need to be secure and trackable, with reference to security protocols.</w:t>
      </w:r>
    </w:p>
    <w:p w14:paraId="688030CC" w14:textId="77777777" w:rsidR="005F45F5" w:rsidRDefault="005F45F5" w:rsidP="005F45F5">
      <w:pPr>
        <w:pStyle w:val="BodyText"/>
        <w:spacing w:before="121"/>
        <w:ind w:left="111"/>
      </w:pPr>
      <w:r>
        <w:t>Where physical submissions apply, agencies need to be able to provide evidence of:</w:t>
      </w:r>
    </w:p>
    <w:p w14:paraId="18DCDDE6"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contextualSpacing w:val="0"/>
      </w:pPr>
      <w:r>
        <w:t>date and time received ‐ if via post or received before closing time when opening tender</w:t>
      </w:r>
      <w:r>
        <w:rPr>
          <w:spacing w:val="-11"/>
        </w:rPr>
        <w:t xml:space="preserve"> </w:t>
      </w:r>
      <w:r>
        <w:t>box</w:t>
      </w:r>
    </w:p>
    <w:p w14:paraId="6C398796"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contextualSpacing w:val="0"/>
      </w:pPr>
      <w:r>
        <w:t>security of submissions at physical location i.e. locked tender</w:t>
      </w:r>
      <w:r>
        <w:rPr>
          <w:spacing w:val="-1"/>
        </w:rPr>
        <w:t xml:space="preserve"> </w:t>
      </w:r>
      <w:r>
        <w:t>box</w:t>
      </w:r>
    </w:p>
    <w:p w14:paraId="761366D2" w14:textId="77777777" w:rsidR="005F45F5" w:rsidRDefault="005F45F5" w:rsidP="005F45F5">
      <w:pPr>
        <w:pStyle w:val="BodyText"/>
        <w:spacing w:before="146"/>
        <w:ind w:left="111" w:right="1220"/>
      </w:pPr>
      <w:r>
        <w:t>An agency needs to be able to confirm receipt of the electronic and or physical submission. The same rule applies to each part If there are multiple parts to the submission.</w:t>
      </w:r>
    </w:p>
    <w:p w14:paraId="615C84B1" w14:textId="77777777" w:rsidR="005F45F5" w:rsidRDefault="005F45F5" w:rsidP="005F45F5">
      <w:pPr>
        <w:pStyle w:val="BodyText"/>
        <w:ind w:left="111"/>
      </w:pPr>
      <w:r>
        <w:t>Agencies must also have processes in place to:</w:t>
      </w:r>
    </w:p>
    <w:p w14:paraId="355B64A0"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contextualSpacing w:val="0"/>
      </w:pPr>
      <w:r>
        <w:t>inform suppliers of successful receipt of the</w:t>
      </w:r>
      <w:r>
        <w:rPr>
          <w:spacing w:val="-2"/>
        </w:rPr>
        <w:t xml:space="preserve"> </w:t>
      </w:r>
      <w:r>
        <w:t>submission</w:t>
      </w:r>
    </w:p>
    <w:p w14:paraId="0E301E4D"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contextualSpacing w:val="0"/>
      </w:pPr>
      <w:r>
        <w:t>notify a supplier if their submission is</w:t>
      </w:r>
      <w:r>
        <w:rPr>
          <w:spacing w:val="-7"/>
        </w:rPr>
        <w:t xml:space="preserve"> </w:t>
      </w:r>
      <w:r>
        <w:t>late</w:t>
      </w:r>
    </w:p>
    <w:p w14:paraId="67073115" w14:textId="77777777" w:rsidR="005F45F5" w:rsidRDefault="005F45F5" w:rsidP="005F45F5">
      <w:pPr>
        <w:pStyle w:val="ListParagraph"/>
        <w:widowControl w:val="0"/>
        <w:numPr>
          <w:ilvl w:val="0"/>
          <w:numId w:val="35"/>
        </w:numPr>
        <w:tabs>
          <w:tab w:val="left" w:pos="470"/>
        </w:tabs>
        <w:autoSpaceDE w:val="0"/>
        <w:autoSpaceDN w:val="0"/>
        <w:spacing w:before="27" w:after="0" w:line="364" w:lineRule="auto"/>
        <w:ind w:left="111" w:right="1474" w:firstLine="0"/>
        <w:contextualSpacing w:val="0"/>
      </w:pPr>
      <w:r>
        <w:t>outline how to handle late submissions in case there are disputes about processes or system issues Agencies may need to provide evidence of received submissions for audit</w:t>
      </w:r>
      <w:r>
        <w:rPr>
          <w:spacing w:val="-6"/>
        </w:rPr>
        <w:t xml:space="preserve"> </w:t>
      </w:r>
      <w:r>
        <w:t>purposes.</w:t>
      </w:r>
    </w:p>
    <w:p w14:paraId="17779145" w14:textId="77777777" w:rsidR="005F45F5" w:rsidRDefault="005F45F5" w:rsidP="005F45F5">
      <w:pPr>
        <w:pStyle w:val="Heading3"/>
        <w:keepNext w:val="0"/>
        <w:widowControl w:val="0"/>
        <w:numPr>
          <w:ilvl w:val="0"/>
          <w:numId w:val="38"/>
        </w:numPr>
        <w:tabs>
          <w:tab w:val="left" w:pos="474"/>
        </w:tabs>
        <w:autoSpaceDE w:val="0"/>
        <w:autoSpaceDN w:val="0"/>
        <w:spacing w:before="0" w:after="0"/>
        <w:ind w:left="473" w:hanging="361"/>
      </w:pPr>
      <w:r>
        <w:t>Evaluation, negotiation and selection</w:t>
      </w:r>
      <w:r>
        <w:rPr>
          <w:spacing w:val="-1"/>
        </w:rPr>
        <w:t xml:space="preserve"> </w:t>
      </w:r>
      <w:r>
        <w:t>process</w:t>
      </w:r>
    </w:p>
    <w:p w14:paraId="610CC9BF" w14:textId="77777777" w:rsidR="005F45F5" w:rsidRDefault="005F45F5" w:rsidP="005F45F5">
      <w:pPr>
        <w:pStyle w:val="BodyText"/>
        <w:spacing w:before="150"/>
        <w:ind w:left="112" w:right="1098"/>
      </w:pPr>
      <w:r>
        <w:lastRenderedPageBreak/>
        <w:t>Buyers need to establish the evaluation process before initiating a market approach or issuing an Invitation to supply. It involves setting up a structured approach toward the selection process.</w:t>
      </w:r>
    </w:p>
    <w:p w14:paraId="42A4A1BE" w14:textId="77777777" w:rsidR="005F45F5" w:rsidRDefault="005F45F5" w:rsidP="005F45F5">
      <w:pPr>
        <w:pStyle w:val="BodyText"/>
        <w:ind w:left="112"/>
      </w:pPr>
      <w:r>
        <w:t>Include the evaluation method in materials issued as part of the Invitation to supply.</w:t>
      </w:r>
    </w:p>
    <w:p w14:paraId="40DDCB71" w14:textId="77777777" w:rsidR="005F45F5" w:rsidRDefault="005F45F5" w:rsidP="005F45F5">
      <w:pPr>
        <w:pStyle w:val="BodyText"/>
        <w:spacing w:before="146"/>
        <w:ind w:left="112" w:right="1372"/>
      </w:pPr>
      <w:r>
        <w:rPr>
          <w:color w:val="53565A"/>
          <w:u w:val="single" w:color="53565A"/>
        </w:rPr>
        <w:t>Evaluation, negotiation and selection processes</w:t>
      </w:r>
      <w:r>
        <w:rPr>
          <w:color w:val="53565A"/>
        </w:rPr>
        <w:t xml:space="preserve"> </w:t>
      </w:r>
      <w:r>
        <w:t>must be fair and transparent and aim to select the most appropriate supplier for the procurement need.</w:t>
      </w:r>
    </w:p>
    <w:p w14:paraId="17D28A97" w14:textId="77777777" w:rsidR="005F45F5" w:rsidRDefault="005F45F5" w:rsidP="005F45F5">
      <w:pPr>
        <w:pStyle w:val="BodyText"/>
        <w:spacing w:before="121"/>
        <w:ind w:left="112"/>
      </w:pPr>
      <w:r>
        <w:t>Consider the following:</w:t>
      </w:r>
    </w:p>
    <w:p w14:paraId="031B82D9" w14:textId="77777777" w:rsidR="005F45F5" w:rsidRDefault="005F45F5" w:rsidP="005F45F5">
      <w:pPr>
        <w:pStyle w:val="ListParagraph"/>
        <w:widowControl w:val="0"/>
        <w:numPr>
          <w:ilvl w:val="0"/>
          <w:numId w:val="35"/>
        </w:numPr>
        <w:tabs>
          <w:tab w:val="left" w:pos="470"/>
        </w:tabs>
        <w:autoSpaceDE w:val="0"/>
        <w:autoSpaceDN w:val="0"/>
        <w:spacing w:before="147" w:after="0"/>
        <w:ind w:right="1592" w:hanging="357"/>
        <w:contextualSpacing w:val="0"/>
      </w:pPr>
      <w:r>
        <w:t>internal policies and processes should emphasise evaluation of value provided, independent from the cost</w:t>
      </w:r>
    </w:p>
    <w:p w14:paraId="517776F4" w14:textId="77777777" w:rsidR="005F45F5" w:rsidRDefault="005F45F5" w:rsidP="005F45F5">
      <w:pPr>
        <w:pStyle w:val="ListParagraph"/>
        <w:widowControl w:val="0"/>
        <w:numPr>
          <w:ilvl w:val="0"/>
          <w:numId w:val="35"/>
        </w:numPr>
        <w:tabs>
          <w:tab w:val="left" w:pos="470"/>
        </w:tabs>
        <w:autoSpaceDE w:val="0"/>
        <w:autoSpaceDN w:val="0"/>
        <w:spacing w:before="0" w:after="0" w:line="280" w:lineRule="exact"/>
        <w:ind w:hanging="357"/>
        <w:contextualSpacing w:val="0"/>
      </w:pPr>
      <w:r>
        <w:t>how the selection criteria and weightings relate to agency’s procurement</w:t>
      </w:r>
      <w:r>
        <w:rPr>
          <w:spacing w:val="-5"/>
        </w:rPr>
        <w:t xml:space="preserve"> </w:t>
      </w:r>
      <w:r>
        <w:t>goals</w:t>
      </w:r>
    </w:p>
    <w:p w14:paraId="6F1B4A5A"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declaration of conflicts of interests – consider small, regional</w:t>
      </w:r>
      <w:r>
        <w:rPr>
          <w:spacing w:val="-5"/>
        </w:rPr>
        <w:t xml:space="preserve"> </w:t>
      </w:r>
      <w:r>
        <w:t>interests</w:t>
      </w:r>
    </w:p>
    <w:p w14:paraId="05005C21"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value for money, in light of the overall benefit, not just lowest</w:t>
      </w:r>
      <w:r>
        <w:rPr>
          <w:spacing w:val="-8"/>
        </w:rPr>
        <w:t xml:space="preserve"> </w:t>
      </w:r>
      <w:r>
        <w:t>price</w:t>
      </w:r>
    </w:p>
    <w:p w14:paraId="79DB1429"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selection and offer</w:t>
      </w:r>
      <w:r>
        <w:rPr>
          <w:spacing w:val="-1"/>
        </w:rPr>
        <w:t xml:space="preserve"> </w:t>
      </w:r>
      <w:r>
        <w:t>process</w:t>
      </w:r>
    </w:p>
    <w:p w14:paraId="64A14F3F"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documentation of the procurement outcome and</w:t>
      </w:r>
      <w:r>
        <w:rPr>
          <w:spacing w:val="-4"/>
        </w:rPr>
        <w:t xml:space="preserve"> </w:t>
      </w:r>
      <w:r>
        <w:t>negotiation</w:t>
      </w:r>
    </w:p>
    <w:p w14:paraId="1B6A0286"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debrief offer to the unsuccessful suppliers</w:t>
      </w:r>
    </w:p>
    <w:p w14:paraId="4CEF91F7" w14:textId="77777777" w:rsidR="005F45F5" w:rsidRDefault="005F45F5" w:rsidP="005F45F5">
      <w:pPr>
        <w:pStyle w:val="BodyText"/>
        <w:spacing w:before="146"/>
        <w:ind w:left="111" w:right="1090"/>
      </w:pPr>
      <w:r>
        <w:t>The negotiation process seeks to improve value for money outcomes though discussion between the buyer and preferred supplier.</w:t>
      </w:r>
    </w:p>
    <w:p w14:paraId="1DBF8EEB" w14:textId="77777777" w:rsidR="005F45F5" w:rsidRDefault="005F45F5" w:rsidP="005F45F5">
      <w:pPr>
        <w:pStyle w:val="BodyText"/>
        <w:ind w:left="111"/>
      </w:pPr>
      <w:r>
        <w:t>A negotiation strategy should consider:</w:t>
      </w:r>
    </w:p>
    <w:p w14:paraId="58DA8D35" w14:textId="77777777" w:rsidR="005F45F5" w:rsidRDefault="005F45F5" w:rsidP="005F45F5">
      <w:pPr>
        <w:pStyle w:val="ListParagraph"/>
        <w:widowControl w:val="0"/>
        <w:numPr>
          <w:ilvl w:val="0"/>
          <w:numId w:val="35"/>
        </w:numPr>
        <w:tabs>
          <w:tab w:val="left" w:pos="470"/>
        </w:tabs>
        <w:autoSpaceDE w:val="0"/>
        <w:autoSpaceDN w:val="0"/>
        <w:spacing w:before="147" w:after="0"/>
        <w:ind w:right="2124" w:hanging="357"/>
        <w:contextualSpacing w:val="0"/>
      </w:pPr>
      <w:r>
        <w:t>when it is appropriate to negotiate ‐ value, type of procurement, risk, criticality for business continuation and</w:t>
      </w:r>
      <w:r>
        <w:rPr>
          <w:spacing w:val="-2"/>
        </w:rPr>
        <w:t xml:space="preserve"> </w:t>
      </w:r>
      <w:r>
        <w:t>competition</w:t>
      </w:r>
    </w:p>
    <w:p w14:paraId="5368212A" w14:textId="77777777" w:rsidR="005F45F5" w:rsidRDefault="005F45F5" w:rsidP="005F45F5">
      <w:pPr>
        <w:pStyle w:val="ListParagraph"/>
        <w:widowControl w:val="0"/>
        <w:numPr>
          <w:ilvl w:val="0"/>
          <w:numId w:val="35"/>
        </w:numPr>
        <w:tabs>
          <w:tab w:val="left" w:pos="470"/>
        </w:tabs>
        <w:autoSpaceDE w:val="0"/>
        <w:autoSpaceDN w:val="0"/>
        <w:spacing w:before="0" w:after="0" w:line="280" w:lineRule="exact"/>
        <w:ind w:hanging="357"/>
        <w:contextualSpacing w:val="0"/>
      </w:pPr>
      <w:r>
        <w:t>variable contract</w:t>
      </w:r>
      <w:r>
        <w:rPr>
          <w:spacing w:val="-1"/>
        </w:rPr>
        <w:t xml:space="preserve"> </w:t>
      </w:r>
      <w:r>
        <w:t>terms</w:t>
      </w:r>
    </w:p>
    <w:p w14:paraId="5CCD2C36"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the scope of the original invitation to</w:t>
      </w:r>
      <w:r>
        <w:rPr>
          <w:spacing w:val="-2"/>
        </w:rPr>
        <w:t xml:space="preserve"> </w:t>
      </w:r>
      <w:r>
        <w:t>supply</w:t>
      </w:r>
    </w:p>
    <w:p w14:paraId="4625F94B"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the need to conduct the negotiations in a manner that is transparent, fair and equitable</w:t>
      </w:r>
    </w:p>
    <w:p w14:paraId="39D99EBE" w14:textId="77777777" w:rsidR="005F45F5" w:rsidRDefault="005F45F5" w:rsidP="005F45F5">
      <w:pPr>
        <w:pStyle w:val="ListParagraph"/>
        <w:tabs>
          <w:tab w:val="left" w:pos="469"/>
          <w:tab w:val="left" w:pos="470"/>
        </w:tabs>
        <w:spacing w:before="6" w:line="364" w:lineRule="auto"/>
        <w:ind w:left="112" w:right="2530"/>
      </w:pPr>
      <w:r>
        <w:t>Many agencies may need additional approvals before they can establish a</w:t>
      </w:r>
      <w:r w:rsidRPr="00E91D77">
        <w:rPr>
          <w:spacing w:val="-9"/>
        </w:rPr>
        <w:t xml:space="preserve"> </w:t>
      </w:r>
      <w:r>
        <w:t>contract.</w:t>
      </w:r>
    </w:p>
    <w:p w14:paraId="6CABB976" w14:textId="77777777" w:rsidR="005F45F5" w:rsidRDefault="005F45F5" w:rsidP="005F45F5">
      <w:pPr>
        <w:pStyle w:val="Heading3"/>
        <w:spacing w:before="52"/>
      </w:pPr>
      <w:r>
        <w:t>Contract management and contract disclosure policy ‐ requirements 16‐18</w:t>
      </w:r>
    </w:p>
    <w:p w14:paraId="12F6C6ED" w14:textId="77777777" w:rsidR="005F45F5" w:rsidRDefault="005F45F5" w:rsidP="005F45F5">
      <w:pPr>
        <w:pStyle w:val="BodyText"/>
        <w:spacing w:before="148"/>
        <w:ind w:left="112" w:right="1511"/>
      </w:pPr>
      <w:r>
        <w:t xml:space="preserve">The </w:t>
      </w:r>
      <w:r>
        <w:rPr>
          <w:color w:val="53565A"/>
          <w:u w:val="single" w:color="53565A"/>
        </w:rPr>
        <w:t>Contract management and contract disclosure policy</w:t>
      </w:r>
      <w:r>
        <w:rPr>
          <w:color w:val="53565A"/>
        </w:rPr>
        <w:t xml:space="preserve"> </w:t>
      </w:r>
      <w:r>
        <w:t>requires agencies to develop a framework to manage contracts and deliver the goods and services as agreed.</w:t>
      </w:r>
    </w:p>
    <w:p w14:paraId="203A2AAC" w14:textId="77777777" w:rsidR="005F45F5" w:rsidRDefault="005F45F5" w:rsidP="005F45F5">
      <w:pPr>
        <w:pStyle w:val="BodyText"/>
        <w:spacing w:before="121"/>
        <w:ind w:left="111" w:right="1064"/>
      </w:pPr>
      <w:r>
        <w:t>Contract management is an area where agencies seek better outcomes. Without guidance from their agency, contract managers are likely to follow an intuitive process. This may not include sufficient structure to deliver as agreed, throughout the life of the contract.</w:t>
      </w:r>
    </w:p>
    <w:p w14:paraId="7283C147" w14:textId="77777777" w:rsidR="005F45F5" w:rsidRDefault="005F45F5" w:rsidP="005F45F5">
      <w:pPr>
        <w:pStyle w:val="BodyText"/>
        <w:spacing w:before="119"/>
        <w:ind w:left="112" w:right="1515"/>
      </w:pPr>
      <w:r>
        <w:t xml:space="preserve">The </w:t>
      </w:r>
      <w:r>
        <w:rPr>
          <w:color w:val="53565A"/>
          <w:u w:val="single" w:color="53565A"/>
        </w:rPr>
        <w:t>Contract management – goods and services procurement guide</w:t>
      </w:r>
      <w:r>
        <w:rPr>
          <w:color w:val="53565A"/>
        </w:rPr>
        <w:t xml:space="preserve"> </w:t>
      </w:r>
      <w:r>
        <w:t>is a helpful resource that provides more information.</w:t>
      </w:r>
    </w:p>
    <w:p w14:paraId="439AB4DB" w14:textId="77777777" w:rsidR="005F45F5" w:rsidRDefault="005F45F5" w:rsidP="005F45F5">
      <w:pPr>
        <w:pStyle w:val="BodyText"/>
        <w:spacing w:before="9"/>
        <w:rPr>
          <w:sz w:val="19"/>
        </w:rPr>
      </w:pPr>
    </w:p>
    <w:p w14:paraId="21191D56" w14:textId="77777777" w:rsidR="005F45F5" w:rsidRDefault="005F45F5" w:rsidP="005F45F5">
      <w:pPr>
        <w:pStyle w:val="Heading3"/>
        <w:keepNext w:val="0"/>
        <w:widowControl w:val="0"/>
        <w:numPr>
          <w:ilvl w:val="0"/>
          <w:numId w:val="38"/>
        </w:numPr>
        <w:tabs>
          <w:tab w:val="left" w:pos="474"/>
        </w:tabs>
        <w:autoSpaceDE w:val="0"/>
        <w:autoSpaceDN w:val="0"/>
        <w:spacing w:before="0" w:after="0"/>
        <w:ind w:left="474" w:hanging="362"/>
      </w:pPr>
      <w:r>
        <w:t>Contract management (at an agency and individual</w:t>
      </w:r>
      <w:r>
        <w:rPr>
          <w:spacing w:val="-4"/>
        </w:rPr>
        <w:t xml:space="preserve"> </w:t>
      </w:r>
      <w:r>
        <w:t>level)</w:t>
      </w:r>
    </w:p>
    <w:p w14:paraId="5B8735AC" w14:textId="77777777" w:rsidR="005F45F5" w:rsidRDefault="005F45F5" w:rsidP="005F45F5">
      <w:pPr>
        <w:pStyle w:val="BodyText"/>
        <w:spacing w:before="149"/>
        <w:ind w:left="111" w:right="1642"/>
      </w:pPr>
      <w:r>
        <w:t>The agency level contract management planning strategy should detail management of procurement categories and individual procurements, at an individual contract level.</w:t>
      </w:r>
    </w:p>
    <w:p w14:paraId="6D22E19F" w14:textId="77777777" w:rsidR="005F45F5" w:rsidRDefault="005F45F5" w:rsidP="005F45F5">
      <w:pPr>
        <w:pStyle w:val="BodyText"/>
        <w:spacing w:before="121"/>
        <w:ind w:left="111"/>
      </w:pPr>
      <w:r>
        <w:t>Contract management at the agency level should outline:</w:t>
      </w:r>
    </w:p>
    <w:p w14:paraId="6E367E4E"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hanging="357"/>
        <w:contextualSpacing w:val="0"/>
      </w:pPr>
      <w:r>
        <w:lastRenderedPageBreak/>
        <w:t>policies for managing contracts for different levels of risk and complexity, and reporting</w:t>
      </w:r>
      <w:r>
        <w:rPr>
          <w:spacing w:val="-20"/>
        </w:rPr>
        <w:t xml:space="preserve"> </w:t>
      </w:r>
      <w:r>
        <w:t>requirements</w:t>
      </w:r>
    </w:p>
    <w:p w14:paraId="3B9865C1"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processes for helping contract managers do their job, and access appropriate escalation</w:t>
      </w:r>
      <w:r>
        <w:rPr>
          <w:spacing w:val="-8"/>
        </w:rPr>
        <w:t xml:space="preserve"> </w:t>
      </w:r>
      <w:r>
        <w:t>mechanisms</w:t>
      </w:r>
    </w:p>
    <w:p w14:paraId="60847AD9"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people with the right capability to manage the contract performance, suppliers, KPIs, and the</w:t>
      </w:r>
      <w:r>
        <w:rPr>
          <w:spacing w:val="-11"/>
        </w:rPr>
        <w:t xml:space="preserve"> </w:t>
      </w:r>
      <w:r>
        <w:t>spend</w:t>
      </w:r>
    </w:p>
    <w:p w14:paraId="5569B996" w14:textId="77777777" w:rsidR="005F45F5" w:rsidRDefault="005F45F5" w:rsidP="005F45F5">
      <w:pPr>
        <w:pStyle w:val="ListParagraph"/>
        <w:widowControl w:val="0"/>
        <w:numPr>
          <w:ilvl w:val="0"/>
          <w:numId w:val="35"/>
        </w:numPr>
        <w:tabs>
          <w:tab w:val="left" w:pos="470"/>
        </w:tabs>
        <w:autoSpaceDE w:val="0"/>
        <w:autoSpaceDN w:val="0"/>
        <w:spacing w:before="25" w:after="0" w:line="240" w:lineRule="auto"/>
        <w:ind w:hanging="357"/>
        <w:contextualSpacing w:val="0"/>
      </w:pPr>
      <w:r>
        <w:t>level of contract performance information provided to the accountable officer and senior</w:t>
      </w:r>
      <w:r>
        <w:rPr>
          <w:spacing w:val="-17"/>
        </w:rPr>
        <w:t xml:space="preserve"> </w:t>
      </w:r>
      <w:r>
        <w:t>management</w:t>
      </w:r>
    </w:p>
    <w:p w14:paraId="540198C4"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appropriate consideration to security</w:t>
      </w:r>
      <w:r>
        <w:rPr>
          <w:spacing w:val="-1"/>
        </w:rPr>
        <w:t xml:space="preserve"> </w:t>
      </w:r>
      <w:r>
        <w:t>protocols</w:t>
      </w:r>
    </w:p>
    <w:p w14:paraId="5C4E78E9" w14:textId="77777777" w:rsidR="005F45F5" w:rsidRDefault="005F45F5" w:rsidP="005F45F5">
      <w:pPr>
        <w:pStyle w:val="BodyText"/>
        <w:spacing w:before="147"/>
        <w:ind w:left="112" w:right="2050"/>
      </w:pPr>
      <w:r>
        <w:t>Agencies should manage contracts in a way that is appropriate for the complexity and risk of the procurement activity.</w:t>
      </w:r>
    </w:p>
    <w:p w14:paraId="49815717" w14:textId="77777777" w:rsidR="005F45F5" w:rsidRDefault="005F45F5" w:rsidP="005F45F5">
      <w:pPr>
        <w:pStyle w:val="BodyText"/>
        <w:spacing w:before="121" w:line="372" w:lineRule="auto"/>
        <w:ind w:left="112" w:right="2339"/>
      </w:pPr>
      <w:r>
        <w:t>The contract management planning strategy can be useful for strategic or complex contracts. Contract management for individual contracts is more than an administrative function.</w:t>
      </w:r>
    </w:p>
    <w:p w14:paraId="01F6DC09" w14:textId="77777777" w:rsidR="005F45F5" w:rsidRDefault="005F45F5" w:rsidP="005F45F5">
      <w:pPr>
        <w:pStyle w:val="BodyText"/>
        <w:spacing w:line="266" w:lineRule="exact"/>
        <w:ind w:left="112"/>
      </w:pPr>
      <w:r>
        <w:t>It should involve:</w:t>
      </w:r>
    </w:p>
    <w:p w14:paraId="7663EE1A"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hanging="357"/>
        <w:contextualSpacing w:val="0"/>
      </w:pPr>
      <w:r>
        <w:t>risk analysis (contract risk segmentation analysis, proximity to core</w:t>
      </w:r>
      <w:r>
        <w:rPr>
          <w:spacing w:val="-5"/>
        </w:rPr>
        <w:t xml:space="preserve"> </w:t>
      </w:r>
      <w:r>
        <w:t>analysis)</w:t>
      </w:r>
    </w:p>
    <w:p w14:paraId="72B25B6C" w14:textId="77777777" w:rsidR="005F45F5" w:rsidRDefault="005F45F5" w:rsidP="005F45F5">
      <w:pPr>
        <w:pStyle w:val="ListParagraph"/>
        <w:widowControl w:val="0"/>
        <w:numPr>
          <w:ilvl w:val="0"/>
          <w:numId w:val="35"/>
        </w:numPr>
        <w:tabs>
          <w:tab w:val="left" w:pos="470"/>
        </w:tabs>
        <w:autoSpaceDE w:val="0"/>
        <w:autoSpaceDN w:val="0"/>
        <w:spacing w:before="26" w:after="0" w:line="240" w:lineRule="auto"/>
        <w:ind w:hanging="357"/>
        <w:contextualSpacing w:val="0"/>
      </w:pPr>
      <w:r>
        <w:t>commercial analysis (benefits tracking, financial management, pricing reviews, financial</w:t>
      </w:r>
      <w:r>
        <w:rPr>
          <w:spacing w:val="-7"/>
        </w:rPr>
        <w:t xml:space="preserve"> </w:t>
      </w:r>
      <w:r>
        <w:t>risk)</w:t>
      </w:r>
    </w:p>
    <w:p w14:paraId="3F6A3871" w14:textId="77777777" w:rsidR="005F45F5" w:rsidRDefault="005F45F5" w:rsidP="005F45F5">
      <w:pPr>
        <w:pStyle w:val="ListParagraph"/>
        <w:widowControl w:val="0"/>
        <w:numPr>
          <w:ilvl w:val="0"/>
          <w:numId w:val="35"/>
        </w:numPr>
        <w:tabs>
          <w:tab w:val="left" w:pos="470"/>
        </w:tabs>
        <w:autoSpaceDE w:val="0"/>
        <w:autoSpaceDN w:val="0"/>
        <w:spacing w:before="27" w:after="0"/>
        <w:ind w:right="1802" w:hanging="357"/>
        <w:contextualSpacing w:val="0"/>
      </w:pPr>
      <w:r>
        <w:t>suppliers and contract analysis (contract management plan, supplier relationship management, transaction management,</w:t>
      </w:r>
      <w:r>
        <w:rPr>
          <w:spacing w:val="-1"/>
        </w:rPr>
        <w:t xml:space="preserve"> </w:t>
      </w:r>
      <w:r>
        <w:t>variations)</w:t>
      </w:r>
    </w:p>
    <w:p w14:paraId="69042AC7" w14:textId="77777777" w:rsidR="005F45F5" w:rsidRDefault="005F45F5" w:rsidP="005F45F5">
      <w:pPr>
        <w:pStyle w:val="ListParagraph"/>
        <w:widowControl w:val="0"/>
        <w:numPr>
          <w:ilvl w:val="0"/>
          <w:numId w:val="35"/>
        </w:numPr>
        <w:tabs>
          <w:tab w:val="left" w:pos="470"/>
        </w:tabs>
        <w:autoSpaceDE w:val="0"/>
        <w:autoSpaceDN w:val="0"/>
        <w:spacing w:before="0" w:after="0" w:line="364" w:lineRule="auto"/>
        <w:ind w:left="112" w:right="3110" w:firstLine="0"/>
        <w:contextualSpacing w:val="0"/>
      </w:pPr>
      <w:r>
        <w:t>reporting (key performance indicators, reporting frequency, reporting hierarchy) All contracts need appropriate consideration to security</w:t>
      </w:r>
      <w:r>
        <w:rPr>
          <w:spacing w:val="-5"/>
        </w:rPr>
        <w:t xml:space="preserve"> </w:t>
      </w:r>
      <w:r>
        <w:t>protocols.</w:t>
      </w:r>
    </w:p>
    <w:p w14:paraId="5FEA0B6D" w14:textId="77777777" w:rsidR="005F45F5" w:rsidRDefault="005F45F5" w:rsidP="005F45F5">
      <w:pPr>
        <w:pStyle w:val="Heading3"/>
        <w:keepNext w:val="0"/>
        <w:widowControl w:val="0"/>
        <w:numPr>
          <w:ilvl w:val="0"/>
          <w:numId w:val="38"/>
        </w:numPr>
        <w:tabs>
          <w:tab w:val="left" w:pos="474"/>
        </w:tabs>
        <w:autoSpaceDE w:val="0"/>
        <w:autoSpaceDN w:val="0"/>
        <w:spacing w:before="134" w:after="0"/>
        <w:ind w:left="473" w:hanging="361"/>
      </w:pPr>
      <w:r>
        <w:t>Contract</w:t>
      </w:r>
      <w:r>
        <w:rPr>
          <w:spacing w:val="-1"/>
        </w:rPr>
        <w:t xml:space="preserve"> </w:t>
      </w:r>
      <w:r>
        <w:t>register</w:t>
      </w:r>
    </w:p>
    <w:p w14:paraId="30C54D75" w14:textId="77777777" w:rsidR="005F45F5" w:rsidRDefault="005F45F5" w:rsidP="005F45F5">
      <w:pPr>
        <w:pStyle w:val="BodyText"/>
        <w:spacing w:before="150"/>
        <w:ind w:left="112" w:right="1263"/>
      </w:pPr>
      <w:r>
        <w:t xml:space="preserve">In line with </w:t>
      </w:r>
      <w:r>
        <w:rPr>
          <w:color w:val="53565A"/>
          <w:u w:val="single" w:color="53565A"/>
        </w:rPr>
        <w:t>Contract management and contract disclosure policy</w:t>
      </w:r>
      <w:r>
        <w:rPr>
          <w:color w:val="53565A"/>
        </w:rPr>
        <w:t xml:space="preserve"> </w:t>
      </w:r>
      <w:r>
        <w:t>‐ Mandatory requirements 1.2, agencies must:</w:t>
      </w:r>
    </w:p>
    <w:p w14:paraId="1C395AD2" w14:textId="77777777" w:rsidR="005F45F5" w:rsidRDefault="005F45F5" w:rsidP="005F45F5">
      <w:pPr>
        <w:pStyle w:val="ListParagraph"/>
        <w:widowControl w:val="0"/>
        <w:numPr>
          <w:ilvl w:val="0"/>
          <w:numId w:val="35"/>
        </w:numPr>
        <w:tabs>
          <w:tab w:val="left" w:pos="470"/>
        </w:tabs>
        <w:autoSpaceDE w:val="0"/>
        <w:autoSpaceDN w:val="0"/>
        <w:spacing w:before="119" w:after="0" w:line="240" w:lineRule="auto"/>
        <w:ind w:hanging="357"/>
        <w:contextualSpacing w:val="0"/>
      </w:pPr>
      <w:r>
        <w:t>keep an appropriate record of contracts on a contract</w:t>
      </w:r>
      <w:r>
        <w:rPr>
          <w:spacing w:val="-8"/>
        </w:rPr>
        <w:t xml:space="preserve"> </w:t>
      </w:r>
      <w:r>
        <w:t>register</w:t>
      </w:r>
    </w:p>
    <w:p w14:paraId="5F5DF18B"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have a process in place to ensure currency of all relevant insurance</w:t>
      </w:r>
      <w:r>
        <w:rPr>
          <w:spacing w:val="-8"/>
        </w:rPr>
        <w:t xml:space="preserve"> </w:t>
      </w:r>
      <w:r>
        <w:t>certificates</w:t>
      </w:r>
    </w:p>
    <w:p w14:paraId="320857BC" w14:textId="77777777" w:rsidR="005F45F5" w:rsidRDefault="005F45F5" w:rsidP="005F45F5">
      <w:pPr>
        <w:pStyle w:val="BodyText"/>
        <w:spacing w:before="147"/>
        <w:ind w:left="112" w:right="1270"/>
      </w:pPr>
      <w:r>
        <w:t>Agencies should collect and track enough information that allow them to conduct their planning, analysis and reporting activities. For example: agency process should include a prompt or a way of ensuring currency of relevant insurance certificates i.e. system alerts.</w:t>
      </w:r>
    </w:p>
    <w:p w14:paraId="678265F5" w14:textId="77777777" w:rsidR="005F45F5" w:rsidRDefault="005F45F5" w:rsidP="005F45F5">
      <w:pPr>
        <w:pStyle w:val="Heading3"/>
        <w:keepNext w:val="0"/>
        <w:widowControl w:val="0"/>
        <w:numPr>
          <w:ilvl w:val="0"/>
          <w:numId w:val="38"/>
        </w:numPr>
        <w:tabs>
          <w:tab w:val="left" w:pos="474"/>
        </w:tabs>
        <w:autoSpaceDE w:val="0"/>
        <w:autoSpaceDN w:val="0"/>
        <w:spacing w:before="52" w:after="0" w:line="264" w:lineRule="auto"/>
        <w:ind w:left="112" w:right="1284" w:firstLine="0"/>
      </w:pPr>
      <w:r>
        <w:t>Process to publish contracts greater than or equal to $100,000 inclusive of GST and greater than or equal $10 million inclusive of GST</w:t>
      </w:r>
    </w:p>
    <w:p w14:paraId="108E5122" w14:textId="77777777" w:rsidR="005F45F5" w:rsidRDefault="005F45F5" w:rsidP="005F45F5">
      <w:pPr>
        <w:pStyle w:val="BodyText"/>
        <w:ind w:left="112" w:right="1078"/>
      </w:pPr>
      <w:r>
        <w:t xml:space="preserve">Agencies need to establish a process that outlines requirements to publish contracts and contract variations on the </w:t>
      </w:r>
      <w:r>
        <w:rPr>
          <w:color w:val="53565A"/>
          <w:u w:val="single" w:color="53565A"/>
        </w:rPr>
        <w:t>Buying for Victoria Supplier Portal</w:t>
      </w:r>
      <w:r>
        <w:rPr>
          <w:color w:val="53565A"/>
        </w:rPr>
        <w:t xml:space="preserve"> </w:t>
      </w:r>
      <w:r>
        <w:t xml:space="preserve">consistent with the </w:t>
      </w:r>
      <w:r>
        <w:rPr>
          <w:color w:val="53565A"/>
          <w:u w:val="single" w:color="53565A"/>
        </w:rPr>
        <w:t>Contract management and contract</w:t>
      </w:r>
      <w:r>
        <w:rPr>
          <w:color w:val="53565A"/>
        </w:rPr>
        <w:t xml:space="preserve"> </w:t>
      </w:r>
      <w:r>
        <w:rPr>
          <w:color w:val="53565A"/>
          <w:u w:val="single" w:color="53565A"/>
        </w:rPr>
        <w:t>disclosure</w:t>
      </w:r>
      <w:r>
        <w:rPr>
          <w:color w:val="53565A"/>
          <w:spacing w:val="-2"/>
          <w:u w:val="single" w:color="53565A"/>
        </w:rPr>
        <w:t xml:space="preserve"> </w:t>
      </w:r>
      <w:r>
        <w:rPr>
          <w:color w:val="53565A"/>
          <w:u w:val="single" w:color="53565A"/>
        </w:rPr>
        <w:t>policy</w:t>
      </w:r>
      <w:r>
        <w:t>.</w:t>
      </w:r>
    </w:p>
    <w:p w14:paraId="3ECB32C2" w14:textId="77777777" w:rsidR="005F45F5" w:rsidRDefault="005F45F5" w:rsidP="005F45F5">
      <w:pPr>
        <w:pStyle w:val="BodyText"/>
        <w:spacing w:before="119"/>
        <w:ind w:left="112" w:right="1437"/>
      </w:pPr>
      <w:r>
        <w:t>For contracts greater than or equal to $100,000 inclusive of GST, within 60 days of awarding a contract, agencies need to provide key details:</w:t>
      </w:r>
    </w:p>
    <w:p w14:paraId="1467192A" w14:textId="77777777" w:rsidR="005F45F5" w:rsidRDefault="005F45F5" w:rsidP="005F45F5">
      <w:pPr>
        <w:pStyle w:val="ListParagraph"/>
        <w:widowControl w:val="0"/>
        <w:numPr>
          <w:ilvl w:val="0"/>
          <w:numId w:val="35"/>
        </w:numPr>
        <w:tabs>
          <w:tab w:val="left" w:pos="470"/>
        </w:tabs>
        <w:autoSpaceDE w:val="0"/>
        <w:autoSpaceDN w:val="0"/>
        <w:spacing w:before="121" w:after="0" w:line="240" w:lineRule="auto"/>
        <w:ind w:hanging="357"/>
        <w:contextualSpacing w:val="0"/>
      </w:pPr>
      <w:r>
        <w:t>type of contract – goods or</w:t>
      </w:r>
      <w:r>
        <w:rPr>
          <w:spacing w:val="-3"/>
        </w:rPr>
        <w:t xml:space="preserve"> </w:t>
      </w:r>
      <w:r>
        <w:t>services</w:t>
      </w:r>
    </w:p>
    <w:p w14:paraId="523D2E2F"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contract</w:t>
      </w:r>
      <w:r>
        <w:rPr>
          <w:spacing w:val="-2"/>
        </w:rPr>
        <w:t xml:space="preserve"> </w:t>
      </w:r>
      <w:r>
        <w:t>title</w:t>
      </w:r>
    </w:p>
    <w:p w14:paraId="10219752"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contract</w:t>
      </w:r>
      <w:r>
        <w:rPr>
          <w:spacing w:val="-2"/>
        </w:rPr>
        <w:t xml:space="preserve"> </w:t>
      </w:r>
      <w:r>
        <w:t>term</w:t>
      </w:r>
    </w:p>
    <w:p w14:paraId="73B6DAE2"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total estimated</w:t>
      </w:r>
      <w:r>
        <w:rPr>
          <w:spacing w:val="-3"/>
        </w:rPr>
        <w:t xml:space="preserve"> </w:t>
      </w:r>
      <w:r>
        <w:t>value</w:t>
      </w:r>
    </w:p>
    <w:p w14:paraId="48F815D9"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lastRenderedPageBreak/>
        <w:t>contract</w:t>
      </w:r>
      <w:r>
        <w:rPr>
          <w:spacing w:val="-2"/>
        </w:rPr>
        <w:t xml:space="preserve"> </w:t>
      </w:r>
      <w:r>
        <w:t>description</w:t>
      </w:r>
    </w:p>
    <w:p w14:paraId="706B0883" w14:textId="77777777" w:rsidR="005F45F5" w:rsidRDefault="005F45F5" w:rsidP="005F45F5">
      <w:pPr>
        <w:pStyle w:val="ListParagraph"/>
        <w:widowControl w:val="0"/>
        <w:numPr>
          <w:ilvl w:val="0"/>
          <w:numId w:val="35"/>
        </w:numPr>
        <w:tabs>
          <w:tab w:val="left" w:pos="470"/>
        </w:tabs>
        <w:autoSpaceDE w:val="0"/>
        <w:autoSpaceDN w:val="0"/>
        <w:spacing w:before="25" w:after="0" w:line="240" w:lineRule="auto"/>
        <w:ind w:hanging="357"/>
        <w:contextualSpacing w:val="0"/>
      </w:pPr>
      <w:r>
        <w:t>category</w:t>
      </w:r>
    </w:p>
    <w:p w14:paraId="55326BE5" w14:textId="77777777" w:rsidR="005F45F5" w:rsidRDefault="005F45F5" w:rsidP="005F45F5">
      <w:pPr>
        <w:pStyle w:val="BodyText"/>
        <w:spacing w:before="147"/>
        <w:ind w:left="112" w:right="1279"/>
      </w:pPr>
      <w:r>
        <w:t>For contracts greater than or equal to $10 million inclusive of GST, within 60 days of awarding a contract, agencies should provide full contract information, i.e. upload the full contract.</w:t>
      </w:r>
    </w:p>
    <w:p w14:paraId="0A621606" w14:textId="77777777" w:rsidR="005F45F5" w:rsidRDefault="005F45F5" w:rsidP="005F45F5">
      <w:pPr>
        <w:pStyle w:val="BodyText"/>
        <w:spacing w:before="121"/>
        <w:ind w:left="112" w:right="2184" w:hanging="1"/>
      </w:pPr>
      <w:r>
        <w:t>Agencies should establish protocols and procedures for approving exemptions from disclosure. For example:</w:t>
      </w:r>
    </w:p>
    <w:p w14:paraId="6FF391E2" w14:textId="77777777" w:rsidR="005F45F5" w:rsidRDefault="005F45F5" w:rsidP="005F45F5">
      <w:pPr>
        <w:pStyle w:val="ListParagraph"/>
        <w:widowControl w:val="0"/>
        <w:numPr>
          <w:ilvl w:val="0"/>
          <w:numId w:val="35"/>
        </w:numPr>
        <w:tabs>
          <w:tab w:val="left" w:pos="470"/>
        </w:tabs>
        <w:autoSpaceDE w:val="0"/>
        <w:autoSpaceDN w:val="0"/>
        <w:spacing w:after="0" w:line="240" w:lineRule="auto"/>
        <w:ind w:hanging="357"/>
        <w:contextualSpacing w:val="0"/>
      </w:pPr>
      <w:r>
        <w:t>trade</w:t>
      </w:r>
      <w:r>
        <w:rPr>
          <w:spacing w:val="-1"/>
        </w:rPr>
        <w:t xml:space="preserve"> </w:t>
      </w:r>
      <w:r>
        <w:t>secrets</w:t>
      </w:r>
    </w:p>
    <w:p w14:paraId="6E3083A9"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confidential business</w:t>
      </w:r>
      <w:r>
        <w:rPr>
          <w:spacing w:val="-1"/>
        </w:rPr>
        <w:t xml:space="preserve"> </w:t>
      </w:r>
      <w:r>
        <w:t>information</w:t>
      </w:r>
    </w:p>
    <w:p w14:paraId="5637CE46"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information that can harm the public good can be withheld from</w:t>
      </w:r>
      <w:r>
        <w:rPr>
          <w:spacing w:val="-5"/>
        </w:rPr>
        <w:t xml:space="preserve"> </w:t>
      </w:r>
      <w:r>
        <w:t>disclosure</w:t>
      </w:r>
    </w:p>
    <w:p w14:paraId="01203935" w14:textId="77777777" w:rsidR="005F45F5" w:rsidRDefault="005F45F5" w:rsidP="005F45F5">
      <w:pPr>
        <w:pStyle w:val="Heading3"/>
      </w:pPr>
      <w:r>
        <w:t>Step 3: Develop and implement a plan to meet the requirements</w:t>
      </w:r>
    </w:p>
    <w:p w14:paraId="4C3F55D5" w14:textId="77777777" w:rsidR="005F45F5" w:rsidRDefault="005F45F5" w:rsidP="005F45F5">
      <w:pPr>
        <w:pStyle w:val="BodyText"/>
        <w:spacing w:before="121"/>
        <w:ind w:left="111" w:right="1407"/>
      </w:pPr>
      <w:r>
        <w:t>After reviewing available information and guidance, agencies should be well placed to identify gaps and develop a transition plan linked to the implementation of various policies or requirements.</w:t>
      </w:r>
    </w:p>
    <w:p w14:paraId="34CCB355" w14:textId="77777777" w:rsidR="005F45F5" w:rsidRDefault="005F45F5" w:rsidP="005F45F5">
      <w:pPr>
        <w:pStyle w:val="BodyText"/>
        <w:spacing w:before="119"/>
        <w:ind w:left="111" w:right="1491"/>
      </w:pPr>
      <w:r>
        <w:t>In some cases, the arrangements agencies already have in place will meet or exceed the requirements. These agencies will be well placed to share their policies, processes and materials with other agencies.</w:t>
      </w:r>
    </w:p>
    <w:p w14:paraId="2C0898D9" w14:textId="77777777" w:rsidR="005F45F5" w:rsidRDefault="005F45F5" w:rsidP="005F45F5">
      <w:pPr>
        <w:pStyle w:val="BodyText"/>
        <w:spacing w:before="121"/>
        <w:ind w:left="112"/>
      </w:pPr>
      <w:r>
        <w:t>Agencies can approach their lead departments for advice and support.</w:t>
      </w:r>
    </w:p>
    <w:p w14:paraId="09705774" w14:textId="77777777" w:rsidR="005F45F5" w:rsidRDefault="005F45F5" w:rsidP="005F45F5">
      <w:pPr>
        <w:pStyle w:val="Heading3"/>
      </w:pPr>
      <w:r>
        <w:t xml:space="preserve">Step 4: Assess compliance annually </w:t>
      </w:r>
    </w:p>
    <w:p w14:paraId="35D7B304" w14:textId="67236F34" w:rsidR="005F45F5" w:rsidRDefault="005F45F5" w:rsidP="005F45F5">
      <w:pPr>
        <w:pStyle w:val="BodyText"/>
        <w:spacing w:before="121"/>
        <w:ind w:left="112" w:right="1643"/>
      </w:pPr>
      <w:r>
        <w:t xml:space="preserve">The accountable officer should be confident that the agency meets </w:t>
      </w:r>
      <w:r w:rsidR="00B6721C">
        <w:t>all</w:t>
      </w:r>
      <w:r>
        <w:t xml:space="preserve"> the requirements under the goods and services supply policies. Assessment against the VGPB policies occurs as part of annual Standing Directions reporting processes for applicable agencies only.</w:t>
      </w:r>
    </w:p>
    <w:p w14:paraId="7E421B6D" w14:textId="0D3A4B8D" w:rsidR="005F45F5" w:rsidRDefault="005F45F5" w:rsidP="005F45F5">
      <w:pPr>
        <w:pStyle w:val="Heading2"/>
      </w:pPr>
      <w:r>
        <w:t>Using this guide</w:t>
      </w:r>
    </w:p>
    <w:p w14:paraId="1071125A" w14:textId="471A3499" w:rsidR="002000FF" w:rsidRPr="002000FF" w:rsidRDefault="002000FF" w:rsidP="002000FF">
      <w:pPr>
        <w:rPr>
          <w:lang w:eastAsia="en-US"/>
        </w:rPr>
      </w:pPr>
      <w:r>
        <w:rPr>
          <w:lang w:eastAsia="en-US"/>
        </w:rPr>
        <w:t xml:space="preserve">This guide accompanies the </w:t>
      </w:r>
      <w:hyperlink r:id="rId15" w:history="1">
        <w:r w:rsidRPr="002000FF">
          <w:rPr>
            <w:rStyle w:val="Hyperlink"/>
            <w:lang w:eastAsia="en-US"/>
          </w:rPr>
          <w:t>goods and services supply policies</w:t>
        </w:r>
      </w:hyperlink>
      <w:r>
        <w:rPr>
          <w:lang w:eastAsia="en-US"/>
        </w:rPr>
        <w:t>. There are 5 supply policies:</w:t>
      </w:r>
    </w:p>
    <w:p w14:paraId="75585714" w14:textId="794A271F" w:rsidR="002000FF" w:rsidRPr="002000FF" w:rsidRDefault="002000FF" w:rsidP="002000FF">
      <w:pPr>
        <w:pStyle w:val="ListParagraph"/>
        <w:numPr>
          <w:ilvl w:val="0"/>
          <w:numId w:val="40"/>
        </w:numPr>
        <w:spacing w:before="5" w:line="240" w:lineRule="auto"/>
        <w:ind w:right="2240"/>
        <w:rPr>
          <w:rFonts w:asciiTheme="minorHAnsi" w:hAnsiTheme="minorHAnsi" w:cstheme="minorHAnsi"/>
        </w:rPr>
      </w:pPr>
      <w:r w:rsidRPr="002000FF">
        <w:rPr>
          <w:rFonts w:asciiTheme="minorHAnsi" w:hAnsiTheme="minorHAnsi" w:cstheme="minorHAnsi"/>
        </w:rPr>
        <w:t>Governance policy</w:t>
      </w:r>
    </w:p>
    <w:p w14:paraId="2CCBBC62" w14:textId="282B79A7" w:rsidR="002000FF" w:rsidRPr="002000FF" w:rsidRDefault="00B6721C" w:rsidP="002000FF">
      <w:pPr>
        <w:pStyle w:val="ListParagraph"/>
        <w:numPr>
          <w:ilvl w:val="0"/>
          <w:numId w:val="40"/>
        </w:numPr>
        <w:spacing w:before="5" w:line="240" w:lineRule="auto"/>
        <w:ind w:right="2240"/>
        <w:rPr>
          <w:rFonts w:asciiTheme="minorHAnsi" w:hAnsiTheme="minorHAnsi" w:cstheme="minorHAnsi"/>
        </w:rPr>
      </w:pPr>
      <w:r w:rsidRPr="002000FF">
        <w:rPr>
          <w:rFonts w:asciiTheme="minorHAnsi" w:hAnsiTheme="minorHAnsi" w:cstheme="minorHAnsi"/>
        </w:rPr>
        <w:t>Complexity</w:t>
      </w:r>
      <w:r w:rsidR="002000FF" w:rsidRPr="002000FF">
        <w:rPr>
          <w:rFonts w:asciiTheme="minorHAnsi" w:hAnsiTheme="minorHAnsi" w:cstheme="minorHAnsi"/>
        </w:rPr>
        <w:t xml:space="preserve"> and capability assessment policy</w:t>
      </w:r>
    </w:p>
    <w:p w14:paraId="23A78BA6" w14:textId="2267709F" w:rsidR="002000FF" w:rsidRPr="002000FF" w:rsidRDefault="002000FF" w:rsidP="002000FF">
      <w:pPr>
        <w:pStyle w:val="ListParagraph"/>
        <w:numPr>
          <w:ilvl w:val="0"/>
          <w:numId w:val="40"/>
        </w:numPr>
        <w:spacing w:before="5" w:line="240" w:lineRule="auto"/>
        <w:ind w:right="2240"/>
        <w:rPr>
          <w:rFonts w:asciiTheme="minorHAnsi" w:hAnsiTheme="minorHAnsi" w:cstheme="minorHAnsi"/>
        </w:rPr>
      </w:pPr>
      <w:r w:rsidRPr="002000FF">
        <w:rPr>
          <w:rFonts w:asciiTheme="minorHAnsi" w:hAnsiTheme="minorHAnsi" w:cstheme="minorHAnsi"/>
        </w:rPr>
        <w:t>Market analysis and review policy</w:t>
      </w:r>
    </w:p>
    <w:p w14:paraId="75584E04" w14:textId="31106AA1" w:rsidR="002000FF" w:rsidRPr="002000FF" w:rsidRDefault="002000FF" w:rsidP="002000FF">
      <w:pPr>
        <w:pStyle w:val="ListParagraph"/>
        <w:numPr>
          <w:ilvl w:val="0"/>
          <w:numId w:val="40"/>
        </w:numPr>
        <w:spacing w:before="5" w:line="240" w:lineRule="auto"/>
        <w:ind w:right="2240"/>
        <w:rPr>
          <w:rFonts w:asciiTheme="minorHAnsi" w:hAnsiTheme="minorHAnsi" w:cstheme="minorHAnsi"/>
        </w:rPr>
      </w:pPr>
      <w:r w:rsidRPr="002000FF">
        <w:rPr>
          <w:rFonts w:asciiTheme="minorHAnsi" w:hAnsiTheme="minorHAnsi" w:cstheme="minorHAnsi"/>
        </w:rPr>
        <w:t>Market approach policy</w:t>
      </w:r>
    </w:p>
    <w:p w14:paraId="5DD76014" w14:textId="1BBCE538" w:rsidR="002000FF" w:rsidRPr="002000FF" w:rsidRDefault="002000FF" w:rsidP="002000FF">
      <w:pPr>
        <w:pStyle w:val="ListParagraph"/>
        <w:numPr>
          <w:ilvl w:val="0"/>
          <w:numId w:val="40"/>
        </w:numPr>
        <w:spacing w:before="5" w:line="240" w:lineRule="auto"/>
        <w:ind w:right="2240"/>
        <w:rPr>
          <w:rFonts w:ascii="Segoe UI"/>
          <w:sz w:val="21"/>
        </w:rPr>
      </w:pPr>
      <w:r w:rsidRPr="002000FF">
        <w:rPr>
          <w:rFonts w:asciiTheme="minorHAnsi" w:hAnsiTheme="minorHAnsi" w:cstheme="minorHAnsi"/>
        </w:rPr>
        <w:t>Contract management and contract disclosure policy</w:t>
      </w:r>
    </w:p>
    <w:p w14:paraId="38B2642B" w14:textId="04E56D50" w:rsidR="001B0A1A" w:rsidRDefault="002000FF" w:rsidP="002000FF">
      <w:pPr>
        <w:rPr>
          <w:lang w:eastAsia="en-US"/>
        </w:rPr>
      </w:pPr>
      <w:r w:rsidRPr="002000FF">
        <w:rPr>
          <w:lang w:eastAsia="en-US"/>
        </w:rPr>
        <w:t xml:space="preserve">This guide supports all five goods and services policies </w:t>
      </w:r>
    </w:p>
    <w:p w14:paraId="709F4783" w14:textId="77777777" w:rsidR="001B0A1A" w:rsidRDefault="001B0A1A">
      <w:pPr>
        <w:spacing w:before="0" w:after="0" w:line="240" w:lineRule="auto"/>
        <w:rPr>
          <w:lang w:eastAsia="en-US"/>
        </w:rPr>
      </w:pPr>
      <w:r>
        <w:rPr>
          <w:lang w:eastAsia="en-US"/>
        </w:rPr>
        <w:br w:type="page"/>
      </w:r>
    </w:p>
    <w:p w14:paraId="2C475E57" w14:textId="77777777" w:rsidR="005F45F5" w:rsidRDefault="005F45F5" w:rsidP="005F45F5">
      <w:pPr>
        <w:pStyle w:val="Heading2"/>
      </w:pPr>
      <w:r>
        <w:lastRenderedPageBreak/>
        <w:t>Tools and support</w:t>
      </w:r>
    </w:p>
    <w:p w14:paraId="0FDB6292" w14:textId="706656B3" w:rsidR="005F45F5" w:rsidRDefault="005F45F5" w:rsidP="002000FF">
      <w:pPr>
        <w:ind w:left="111" w:right="1091"/>
        <w:rPr>
          <w:rFonts w:ascii="Segoe UI"/>
          <w:sz w:val="20"/>
        </w:rPr>
      </w:pPr>
      <w:r w:rsidRPr="002000FF">
        <w:rPr>
          <w:rFonts w:asciiTheme="minorHAnsi" w:hAnsiTheme="minorHAnsi" w:cstheme="minorHAnsi"/>
        </w:rPr>
        <w:t xml:space="preserve">For more information about using the Aligning with the Victorian Government Purchasing Board supply policies guide, please </w:t>
      </w:r>
      <w:r w:rsidRPr="002000FF">
        <w:rPr>
          <w:rFonts w:asciiTheme="minorHAnsi" w:hAnsiTheme="minorHAnsi" w:cstheme="minorHAnsi"/>
          <w:color w:val="53565A"/>
          <w:u w:val="single" w:color="53565A"/>
        </w:rPr>
        <w:t>contact the goods and services policy team</w:t>
      </w:r>
      <w:r w:rsidRPr="002000FF">
        <w:rPr>
          <w:rFonts w:asciiTheme="minorHAnsi" w:hAnsiTheme="minorHAnsi" w:cstheme="minorHAnsi"/>
        </w:rPr>
        <w:t>.</w:t>
      </w:r>
    </w:p>
    <w:p w14:paraId="6E6129CB" w14:textId="77777777" w:rsidR="005F45F5" w:rsidRDefault="005F45F5" w:rsidP="005F45F5">
      <w:pPr>
        <w:pStyle w:val="BodyText"/>
        <w:rPr>
          <w:rFonts w:ascii="Segoe UI"/>
          <w:sz w:val="20"/>
        </w:rPr>
      </w:pPr>
    </w:p>
    <w:p w14:paraId="208D37C6" w14:textId="77777777" w:rsidR="005F45F5" w:rsidRDefault="005F45F5" w:rsidP="005F45F5">
      <w:pPr>
        <w:pStyle w:val="BodyText"/>
        <w:rPr>
          <w:rFonts w:ascii="Segoe UI"/>
          <w:sz w:val="20"/>
        </w:rPr>
      </w:pPr>
    </w:p>
    <w:p w14:paraId="64A1777A" w14:textId="77777777" w:rsidR="005F45F5" w:rsidRDefault="005F45F5" w:rsidP="005F45F5">
      <w:pPr>
        <w:pStyle w:val="BodyText"/>
        <w:rPr>
          <w:rFonts w:ascii="Segoe UI"/>
          <w:sz w:val="20"/>
        </w:rPr>
      </w:pPr>
    </w:p>
    <w:p w14:paraId="21716747" w14:textId="77777777" w:rsidR="005F45F5" w:rsidRDefault="005F45F5" w:rsidP="005F45F5">
      <w:pPr>
        <w:pStyle w:val="BodyText"/>
        <w:rPr>
          <w:rFonts w:ascii="Segoe UI"/>
          <w:sz w:val="20"/>
        </w:rPr>
      </w:pPr>
    </w:p>
    <w:p w14:paraId="04FE8CED" w14:textId="7EEA90EC" w:rsidR="005F45F5" w:rsidRDefault="005F45F5" w:rsidP="005F45F5">
      <w:pPr>
        <w:pStyle w:val="BodyText"/>
        <w:rPr>
          <w:rFonts w:ascii="Segoe UI"/>
          <w:sz w:val="20"/>
        </w:rPr>
      </w:pPr>
    </w:p>
    <w:p w14:paraId="07C69B95" w14:textId="2E16DDFC" w:rsidR="001B0A1A" w:rsidRDefault="001B0A1A" w:rsidP="005F45F5">
      <w:pPr>
        <w:pStyle w:val="BodyText"/>
        <w:rPr>
          <w:rFonts w:ascii="Segoe UI"/>
          <w:sz w:val="20"/>
        </w:rPr>
      </w:pPr>
    </w:p>
    <w:p w14:paraId="3E4EDCB8" w14:textId="77777777" w:rsidR="001B0A1A" w:rsidRDefault="001B0A1A" w:rsidP="005F45F5">
      <w:pPr>
        <w:pStyle w:val="BodyText"/>
        <w:rPr>
          <w:rFonts w:ascii="Segoe UI"/>
          <w:sz w:val="20"/>
        </w:rPr>
      </w:pPr>
    </w:p>
    <w:p w14:paraId="347124CF" w14:textId="77777777" w:rsidR="005F45F5" w:rsidRDefault="005F45F5" w:rsidP="005F45F5">
      <w:pPr>
        <w:pStyle w:val="BodyText"/>
        <w:rPr>
          <w:rFonts w:ascii="Segoe UI"/>
          <w:sz w:val="20"/>
        </w:rPr>
      </w:pPr>
    </w:p>
    <w:p w14:paraId="739DE254" w14:textId="77777777" w:rsidR="005F45F5" w:rsidRDefault="005F45F5" w:rsidP="005F45F5">
      <w:pPr>
        <w:pStyle w:val="BodyText"/>
        <w:rPr>
          <w:rFonts w:ascii="Segoe UI"/>
          <w:sz w:val="20"/>
        </w:rPr>
      </w:pPr>
    </w:p>
    <w:p w14:paraId="0B009526" w14:textId="77777777" w:rsidR="005F45F5" w:rsidRDefault="005F45F5" w:rsidP="005F45F5">
      <w:pPr>
        <w:pStyle w:val="BodyText"/>
        <w:rPr>
          <w:rFonts w:ascii="Segoe UI"/>
          <w:sz w:val="20"/>
        </w:rPr>
      </w:pPr>
    </w:p>
    <w:p w14:paraId="35371DB3" w14:textId="081C1710" w:rsidR="00E14C9A" w:rsidRDefault="00E14C9A" w:rsidP="0092057D">
      <w:pPr>
        <w:rPr>
          <w:lang w:eastAsia="en-US"/>
        </w:rPr>
      </w:pPr>
    </w:p>
    <w:p w14:paraId="38AD6574" w14:textId="3DA650EA" w:rsidR="001B0A1A" w:rsidRDefault="001B0A1A" w:rsidP="0092057D">
      <w:pPr>
        <w:rPr>
          <w:lang w:eastAsia="en-US"/>
        </w:rPr>
      </w:pPr>
    </w:p>
    <w:p w14:paraId="307AF1B5" w14:textId="370A712D" w:rsidR="001B0A1A" w:rsidRDefault="001B0A1A" w:rsidP="0092057D">
      <w:pPr>
        <w:rPr>
          <w:lang w:eastAsia="en-US"/>
        </w:rPr>
      </w:pPr>
    </w:p>
    <w:p w14:paraId="26A4A5B7" w14:textId="77777777" w:rsidR="001B0A1A" w:rsidRDefault="001B0A1A" w:rsidP="0092057D">
      <w:pPr>
        <w:rPr>
          <w:lang w:eastAsia="en-US"/>
        </w:rPr>
      </w:pPr>
    </w:p>
    <w:p w14:paraId="2D9651EC" w14:textId="7E8EA611" w:rsidR="001B0A1A" w:rsidRDefault="001B0A1A" w:rsidP="0092057D">
      <w:pPr>
        <w:rPr>
          <w:lang w:eastAsia="en-US"/>
        </w:rPr>
      </w:pPr>
    </w:p>
    <w:p w14:paraId="4185DDE6" w14:textId="77777777" w:rsidR="001B0A1A" w:rsidRPr="007F1BA7" w:rsidRDefault="001B0A1A" w:rsidP="0092057D">
      <w:pPr>
        <w:rPr>
          <w:lang w:eastAsia="en-US"/>
        </w:rPr>
      </w:pPr>
    </w:p>
    <w:p w14:paraId="1E7B2EAD" w14:textId="77777777" w:rsidR="007F1BA7" w:rsidRDefault="007F1BA7" w:rsidP="0092057D">
      <w:pPr>
        <w:rPr>
          <w:lang w:eastAsia="en-US"/>
        </w:rPr>
      </w:pPr>
    </w:p>
    <w:p w14:paraId="76BA63BC" w14:textId="4CDD75E7" w:rsidR="007F1BA7" w:rsidRPr="00843160" w:rsidRDefault="00655AEA" w:rsidP="0092057D">
      <w:r>
        <w:t xml:space="preserve">© </w:t>
      </w:r>
      <w:r w:rsidR="007F1BA7" w:rsidRPr="00843160">
        <w:t xml:space="preserve">State of Victoria </w:t>
      </w:r>
      <w:r w:rsidR="00137EA8" w:rsidRPr="00137EA8">
        <w:rPr>
          <w:highlight w:val="yellow"/>
        </w:rPr>
        <w:t>202</w:t>
      </w:r>
      <w:r w:rsidR="001B0A1A">
        <w:rPr>
          <w:highlight w:val="yellow"/>
        </w:rPr>
        <w:t>2</w:t>
      </w:r>
      <w:r>
        <w:t xml:space="preserve"> (</w:t>
      </w:r>
      <w:r w:rsidR="001B0A1A">
        <w:t>Victorian Government Purchasing Board</w:t>
      </w:r>
      <w:r w:rsidR="00D32372">
        <w:t>)</w:t>
      </w:r>
    </w:p>
    <w:p w14:paraId="679108AC" w14:textId="77777777" w:rsidR="007F1BA7" w:rsidRPr="00843160" w:rsidRDefault="007F1BA7" w:rsidP="0092057D">
      <w:r w:rsidRPr="00843160">
        <w:rPr>
          <w:noProof/>
        </w:rPr>
        <w:drawing>
          <wp:inline distT="0" distB="0" distL="0" distR="0" wp14:anchorId="53CD2E66" wp14:editId="0179EC4E">
            <wp:extent cx="1117460" cy="390972"/>
            <wp:effectExtent l="0" t="0" r="6985" b="9525"/>
            <wp:docPr id="2" name="Picture 2">
              <a:hlinkClick xmlns:a="http://schemas.openxmlformats.org/drawingml/2006/main" r:id="rId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4206A58C" w14:textId="77777777" w:rsidR="007F1BA7" w:rsidRPr="00843160" w:rsidRDefault="007F1BA7" w:rsidP="0092057D">
      <w:r w:rsidRPr="00843160">
        <w:t xml:space="preserve">This work is licensed under a </w:t>
      </w:r>
      <w:hyperlink r:id="rId18" w:history="1">
        <w:r w:rsidRPr="00961335">
          <w:rPr>
            <w:rStyle w:val="Hyperlink"/>
            <w:rFonts w:asciiTheme="minorHAnsi" w:hAnsiTheme="minorHAnsi"/>
          </w:rPr>
          <w:t>Creative Commons Attribution 4.0 licence</w:t>
        </w:r>
      </w:hyperlink>
      <w:r w:rsidRPr="00961335">
        <w:rPr>
          <w:rFonts w:asciiTheme="minorHAnsi" w:hAnsiTheme="minorHAnsi"/>
        </w:rPr>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1409B764" w14:textId="77777777" w:rsidR="00EB0A46" w:rsidRPr="00337BFD" w:rsidRDefault="007F1BA7" w:rsidP="0092057D">
      <w:pPr>
        <w:rPr>
          <w:color w:val="660B68"/>
        </w:rPr>
      </w:pPr>
      <w:r w:rsidRPr="00843160">
        <w:t xml:space="preserve">Copyright queries may be directed to </w:t>
      </w:r>
      <w:hyperlink r:id="rId19" w:history="1">
        <w:r w:rsidRPr="00C551C4">
          <w:rPr>
            <w:rStyle w:val="Hyperlink"/>
          </w:rPr>
          <w:t>IPpolicy@dtf.vic.gov.au</w:t>
        </w:r>
      </w:hyperlink>
    </w:p>
    <w:sectPr w:rsidR="00EB0A46" w:rsidRPr="00337BFD" w:rsidSect="0092057D">
      <w:headerReference w:type="default" r:id="rId20"/>
      <w:footerReference w:type="default" r:id="rId21"/>
      <w:headerReference w:type="first" r:id="rId22"/>
      <w:footerReference w:type="first" r:id="rId23"/>
      <w:pgSz w:w="11901" w:h="16840" w:code="9"/>
      <w:pgMar w:top="1555" w:right="1152" w:bottom="1555" w:left="1152" w:header="432" w:footer="6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0F76A" w14:textId="77777777" w:rsidR="00B137E7" w:rsidRDefault="00B137E7" w:rsidP="0092057D">
      <w:r>
        <w:separator/>
      </w:r>
    </w:p>
    <w:p w14:paraId="25305362" w14:textId="77777777" w:rsidR="00B137E7" w:rsidRDefault="00B137E7" w:rsidP="0092057D"/>
  </w:endnote>
  <w:endnote w:type="continuationSeparator" w:id="0">
    <w:p w14:paraId="555F6B3C" w14:textId="77777777" w:rsidR="00B137E7" w:rsidRDefault="00B137E7" w:rsidP="0092057D">
      <w:r>
        <w:continuationSeparator/>
      </w:r>
    </w:p>
    <w:p w14:paraId="48A1B703" w14:textId="77777777" w:rsidR="00B137E7" w:rsidRDefault="00B137E7" w:rsidP="00920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8397" w14:textId="1FABBFF3" w:rsidR="00655AEA" w:rsidRDefault="00655AEA" w:rsidP="00E074C6">
    <w:pPr>
      <w:pStyle w:val="Footer"/>
      <w:tabs>
        <w:tab w:val="clear" w:pos="8220"/>
        <w:tab w:val="right" w:pos="9741"/>
      </w:tabs>
      <w:jc w:val="left"/>
    </w:pPr>
    <w:r>
      <w:t>Victorian Government Purchasing Board</w:t>
    </w:r>
  </w:p>
  <w:p w14:paraId="74DAEDF3" w14:textId="6A2A6FE8" w:rsidR="00E074C6" w:rsidRDefault="00A62523" w:rsidP="00E074C6">
    <w:pPr>
      <w:pStyle w:val="Footer"/>
      <w:tabs>
        <w:tab w:val="clear" w:pos="8220"/>
        <w:tab w:val="right" w:pos="9741"/>
      </w:tabs>
      <w:jc w:val="left"/>
    </w:pPr>
    <w:r>
      <mc:AlternateContent>
        <mc:Choice Requires="wps">
          <w:drawing>
            <wp:anchor distT="0" distB="0" distL="114300" distR="114300" simplePos="0" relativeHeight="251664896" behindDoc="1" locked="0" layoutInCell="0" allowOverlap="1" wp14:anchorId="7AD9F725" wp14:editId="16EB3F74">
              <wp:simplePos x="0" y="0"/>
              <wp:positionH relativeFrom="page">
                <wp:posOffset>0</wp:posOffset>
              </wp:positionH>
              <wp:positionV relativeFrom="page">
                <wp:posOffset>10238105</wp:posOffset>
              </wp:positionV>
              <wp:extent cx="7562088" cy="265176"/>
              <wp:effectExtent l="0" t="0" r="0" b="1905"/>
              <wp:wrapNone/>
              <wp:docPr id="1" name="MSIPCMb49045b984927744bf40ca7c"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90366" w14:textId="77777777" w:rsidR="00A62523" w:rsidRPr="0092057D" w:rsidRDefault="00A62523" w:rsidP="0092057D">
                          <w:pPr>
                            <w:spacing w:before="0" w:after="0"/>
                            <w:rPr>
                              <w:color w:val="000000"/>
                            </w:rPr>
                          </w:pPr>
                          <w:r w:rsidRPr="0092057D">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9F725" id="_x0000_t202" coordsize="21600,21600" o:spt="202" path="m,l,21600r21600,l21600,xe">
              <v:stroke joinstyle="miter"/>
              <v:path gradientshapeok="t" o:connecttype="rect"/>
            </v:shapetype>
            <v:shape id="MSIPCMb49045b984927744bf40ca7c" o:spid="_x0000_s1026" type="#_x0000_t202" alt="{&quot;HashCode&quot;:-1267603503,&quot;Height&quot;:842.0,&quot;Width&quot;:595.0,&quot;Placement&quot;:&quot;Footer&quot;,&quot;Index&quot;:&quot;Primary&quot;,&quot;Section&quot;:1,&quot;Top&quot;:0.0,&quot;Left&quot;:0.0}" style="position:absolute;margin-left:0;margin-top:806.15pt;width:595.45pt;height:20.9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" o:allowincell="f" filled="f" stroked="f" strokeweight=".5pt">
              <v:textbox inset="20pt,0,,0">
                <w:txbxContent>
                  <w:p w14:paraId="78B90366" w14:textId="77777777" w:rsidR="00A62523" w:rsidRPr="0092057D" w:rsidRDefault="00A62523" w:rsidP="0092057D">
                    <w:pPr>
                      <w:spacing w:before="0" w:after="0"/>
                      <w:rPr>
                        <w:color w:val="000000"/>
                      </w:rPr>
                    </w:pPr>
                    <w:r w:rsidRPr="0092057D">
                      <w:rPr>
                        <w:color w:val="000000"/>
                      </w:rPr>
                      <w:t>OFFICIAL</w:t>
                    </w:r>
                  </w:p>
                </w:txbxContent>
              </v:textbox>
              <w10:wrap anchorx="page" anchory="page"/>
            </v:shape>
          </w:pict>
        </mc:Fallback>
      </mc:AlternateContent>
    </w:r>
    <w:sdt>
      <w:sdtPr>
        <w:id w:val="1961605112"/>
        <w:docPartObj>
          <w:docPartGallery w:val="Page Numbers (Bottom of Page)"/>
          <w:docPartUnique/>
        </w:docPartObj>
      </w:sdtPr>
      <w:sdtContent>
        <w:sdt>
          <w:sdtPr>
            <w:id w:val="130982214"/>
            <w:docPartObj>
              <w:docPartGallery w:val="Page Numbers (Top of Page)"/>
              <w:docPartUnique/>
            </w:docPartObj>
          </w:sdtPr>
          <w:sdtContent>
            <w:fldSimple w:instr=" STYLEREF  &quot;Heading 1&quot;  \* MERGEFORMAT ">
              <w:r w:rsidR="00A049E3">
                <w:t>Align with the Victorian Government Purchasing Board supply policies:</w:t>
              </w:r>
              <w:r w:rsidR="00A049E3">
                <w:br/>
                <w:t>Goods and services guide</w:t>
              </w:r>
            </w:fldSimple>
            <w:r w:rsidR="00E074C6">
              <w:br/>
            </w:r>
            <w:r w:rsidR="001B0A1A">
              <w:t>September 2022</w:t>
            </w:r>
            <w:r w:rsidR="00E074C6">
              <w:tab/>
              <w:t xml:space="preserve">Page </w:t>
            </w:r>
            <w:r w:rsidR="00E074C6" w:rsidRPr="00C551C4">
              <w:rPr>
                <w:bCs/>
                <w:sz w:val="24"/>
                <w:szCs w:val="24"/>
              </w:rPr>
              <w:fldChar w:fldCharType="begin"/>
            </w:r>
            <w:r w:rsidR="00E074C6" w:rsidRPr="00C551C4">
              <w:rPr>
                <w:bCs/>
              </w:rPr>
              <w:instrText xml:space="preserve"> PAGE </w:instrText>
            </w:r>
            <w:r w:rsidR="00E074C6" w:rsidRPr="00C551C4">
              <w:rPr>
                <w:bCs/>
                <w:sz w:val="24"/>
                <w:szCs w:val="24"/>
              </w:rPr>
              <w:fldChar w:fldCharType="separate"/>
            </w:r>
            <w:r w:rsidR="00E074C6" w:rsidRPr="00C551C4">
              <w:rPr>
                <w:bCs/>
              </w:rPr>
              <w:t>2</w:t>
            </w:r>
            <w:r w:rsidR="00E074C6" w:rsidRPr="00C551C4">
              <w:rPr>
                <w:bCs/>
                <w:sz w:val="24"/>
                <w:szCs w:val="24"/>
              </w:rPr>
              <w:fldChar w:fldCharType="end"/>
            </w:r>
            <w:r w:rsidR="00E074C6" w:rsidRPr="00C551C4">
              <w:t xml:space="preserve"> of </w:t>
            </w:r>
            <w:r w:rsidR="00E074C6" w:rsidRPr="00C551C4">
              <w:rPr>
                <w:bCs/>
                <w:sz w:val="24"/>
                <w:szCs w:val="24"/>
              </w:rPr>
              <w:fldChar w:fldCharType="begin"/>
            </w:r>
            <w:r w:rsidR="00E074C6" w:rsidRPr="00C551C4">
              <w:rPr>
                <w:bCs/>
              </w:rPr>
              <w:instrText xml:space="preserve"> NUMPAGES  </w:instrText>
            </w:r>
            <w:r w:rsidR="00E074C6" w:rsidRPr="00C551C4">
              <w:rPr>
                <w:bCs/>
                <w:sz w:val="24"/>
                <w:szCs w:val="24"/>
              </w:rPr>
              <w:fldChar w:fldCharType="separate"/>
            </w:r>
            <w:r w:rsidR="00E074C6" w:rsidRPr="00C551C4">
              <w:rPr>
                <w:bCs/>
              </w:rPr>
              <w:t>2</w:t>
            </w:r>
            <w:r w:rsidR="00E074C6" w:rsidRPr="00C551C4">
              <w:rPr>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17DE5" w14:textId="77777777" w:rsidR="00EA2773" w:rsidRDefault="003A7B94" w:rsidP="003C0F49">
    <w:pPr>
      <w:pStyle w:val="Footer"/>
    </w:pPr>
    <w:r>
      <mc:AlternateContent>
        <mc:Choice Requires="wps">
          <w:drawing>
            <wp:anchor distT="0" distB="0" distL="114300" distR="114300" simplePos="0" relativeHeight="251666944" behindDoc="0" locked="0" layoutInCell="0" allowOverlap="1" wp14:anchorId="267B481C" wp14:editId="628A3270">
              <wp:simplePos x="0" y="0"/>
              <wp:positionH relativeFrom="page">
                <wp:posOffset>0</wp:posOffset>
              </wp:positionH>
              <wp:positionV relativeFrom="page">
                <wp:posOffset>10236200</wp:posOffset>
              </wp:positionV>
              <wp:extent cx="7557135" cy="266700"/>
              <wp:effectExtent l="0" t="0" r="0" b="0"/>
              <wp:wrapNone/>
              <wp:docPr id="5" name="MSIPCM258a407eb5ac21ca90ba299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26D2E6" w14:textId="77777777" w:rsidR="003A7B94" w:rsidRPr="003A7B94" w:rsidRDefault="003A7B94" w:rsidP="0092057D">
                          <w:r w:rsidRPr="003A7B94">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67B481C" id="_x0000_t202" coordsize="21600,21600" o:spt="202" path="m,l,21600r21600,l21600,xe">
              <v:stroke joinstyle="miter"/>
              <v:path gradientshapeok="t" o:connecttype="rect"/>
            </v:shapetype>
            <v:shape id="MSIPCM258a407eb5ac21ca90ba2999" o:spid="_x0000_s1027"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66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" o:allowincell="f" filled="f" stroked="f" strokeweight=".5pt">
              <v:textbox inset="20pt,0,,0">
                <w:txbxContent>
                  <w:p w14:paraId="4226D2E6" w14:textId="77777777" w:rsidR="003A7B94" w:rsidRPr="003A7B94" w:rsidRDefault="003A7B94" w:rsidP="0092057D">
                    <w:r w:rsidRPr="003A7B94">
                      <w:t>OFFICIAL</w:t>
                    </w:r>
                  </w:p>
                </w:txbxContent>
              </v:textbox>
              <w10:wrap anchorx="page" anchory="page"/>
            </v:shape>
          </w:pict>
        </mc:Fallback>
      </mc:AlternateContent>
    </w:r>
    <w:r w:rsidR="00EA2773">
      <w:drawing>
        <wp:anchor distT="0" distB="0" distL="114300" distR="114300" simplePos="0" relativeHeight="251649536" behindDoc="0" locked="0" layoutInCell="1" allowOverlap="1" wp14:anchorId="6ABDCB7A" wp14:editId="0E33EA87">
          <wp:simplePos x="0" y="0"/>
          <wp:positionH relativeFrom="column">
            <wp:posOffset>5861050</wp:posOffset>
          </wp:positionH>
          <wp:positionV relativeFrom="page">
            <wp:posOffset>10049510</wp:posOffset>
          </wp:positionV>
          <wp:extent cx="758952" cy="438912"/>
          <wp:effectExtent l="0" t="0" r="3175" b="0"/>
          <wp:wrapNone/>
          <wp:docPr id="12" name="Picture 12"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12CC3" w14:textId="77777777" w:rsidR="00B137E7" w:rsidRDefault="00B137E7" w:rsidP="0092057D">
      <w:r>
        <w:separator/>
      </w:r>
    </w:p>
    <w:p w14:paraId="374F23F6" w14:textId="77777777" w:rsidR="00B137E7" w:rsidRDefault="00B137E7" w:rsidP="0092057D"/>
  </w:footnote>
  <w:footnote w:type="continuationSeparator" w:id="0">
    <w:p w14:paraId="50AD0270" w14:textId="77777777" w:rsidR="00B137E7" w:rsidRDefault="00B137E7" w:rsidP="0092057D">
      <w:r>
        <w:continuationSeparator/>
      </w:r>
    </w:p>
    <w:p w14:paraId="18436EA9" w14:textId="77777777" w:rsidR="00B137E7" w:rsidRDefault="00B137E7" w:rsidP="00920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461C8" w14:textId="656191C7" w:rsidR="00EA2773" w:rsidRPr="00A049E3" w:rsidRDefault="00A049E3" w:rsidP="0092057D">
    <w:pPr>
      <w:pStyle w:val="Header"/>
      <w:spacing w:before="200" w:after="0"/>
      <w:ind w:right="-461"/>
      <w:rPr>
        <w:sz w:val="20"/>
        <w:szCs w:val="20"/>
      </w:rPr>
    </w:pPr>
    <w:r w:rsidRPr="00A049E3">
      <w:rPr>
        <w:sz w:val="20"/>
        <w:szCs w:val="20"/>
      </w:rPr>
      <w:t>Department of 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08DDD" w14:textId="77777777" w:rsidR="00EA2773" w:rsidRPr="007602D7" w:rsidRDefault="00EA2773" w:rsidP="0092057D">
    <w:pPr>
      <w:pStyle w:val="Header"/>
    </w:pPr>
    <w:r w:rsidRPr="000E286D">
      <w:drawing>
        <wp:anchor distT="0" distB="0" distL="114300" distR="114300" simplePos="0" relativeHeight="251650560" behindDoc="1" locked="0" layoutInCell="1" allowOverlap="1" wp14:anchorId="59EE061A" wp14:editId="1B6CFFCB">
          <wp:simplePos x="0" y="0"/>
          <wp:positionH relativeFrom="column">
            <wp:posOffset>-731520</wp:posOffset>
          </wp:positionH>
          <wp:positionV relativeFrom="paragraph">
            <wp:posOffset>-200133</wp:posOffset>
          </wp:positionV>
          <wp:extent cx="560717" cy="10717356"/>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3F9DDB40" wp14:editId="25F0EB30">
          <wp:extent cx="2162175" cy="13335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4A31468"/>
    <w:multiLevelType w:val="hybridMultilevel"/>
    <w:tmpl w:val="84CE3F8A"/>
    <w:lvl w:ilvl="0" w:tplc="F0EAF952">
      <w:start w:val="1"/>
      <w:numFmt w:val="decimal"/>
      <w:lvlText w:val="%1."/>
      <w:lvlJc w:val="left"/>
      <w:pPr>
        <w:ind w:left="472" w:hanging="360"/>
      </w:pPr>
      <w:rPr>
        <w:rFonts w:hint="default"/>
      </w:rPr>
    </w:lvl>
    <w:lvl w:ilvl="1" w:tplc="0C090019">
      <w:start w:val="1"/>
      <w:numFmt w:val="lowerLetter"/>
      <w:lvlText w:val="%2."/>
      <w:lvlJc w:val="left"/>
      <w:pPr>
        <w:ind w:left="1192" w:hanging="360"/>
      </w:pPr>
    </w:lvl>
    <w:lvl w:ilvl="2" w:tplc="0C09001B" w:tentative="1">
      <w:start w:val="1"/>
      <w:numFmt w:val="lowerRoman"/>
      <w:lvlText w:val="%3."/>
      <w:lvlJc w:val="right"/>
      <w:pPr>
        <w:ind w:left="1912" w:hanging="180"/>
      </w:pPr>
    </w:lvl>
    <w:lvl w:ilvl="3" w:tplc="0C09000F" w:tentative="1">
      <w:start w:val="1"/>
      <w:numFmt w:val="decimal"/>
      <w:lvlText w:val="%4."/>
      <w:lvlJc w:val="left"/>
      <w:pPr>
        <w:ind w:left="2632" w:hanging="360"/>
      </w:pPr>
    </w:lvl>
    <w:lvl w:ilvl="4" w:tplc="0C090019" w:tentative="1">
      <w:start w:val="1"/>
      <w:numFmt w:val="lowerLetter"/>
      <w:lvlText w:val="%5."/>
      <w:lvlJc w:val="left"/>
      <w:pPr>
        <w:ind w:left="3352" w:hanging="360"/>
      </w:pPr>
    </w:lvl>
    <w:lvl w:ilvl="5" w:tplc="0C09001B" w:tentative="1">
      <w:start w:val="1"/>
      <w:numFmt w:val="lowerRoman"/>
      <w:lvlText w:val="%6."/>
      <w:lvlJc w:val="right"/>
      <w:pPr>
        <w:ind w:left="4072" w:hanging="180"/>
      </w:pPr>
    </w:lvl>
    <w:lvl w:ilvl="6" w:tplc="0C09000F" w:tentative="1">
      <w:start w:val="1"/>
      <w:numFmt w:val="decimal"/>
      <w:lvlText w:val="%7."/>
      <w:lvlJc w:val="left"/>
      <w:pPr>
        <w:ind w:left="4792" w:hanging="360"/>
      </w:pPr>
    </w:lvl>
    <w:lvl w:ilvl="7" w:tplc="0C090019" w:tentative="1">
      <w:start w:val="1"/>
      <w:numFmt w:val="lowerLetter"/>
      <w:lvlText w:val="%8."/>
      <w:lvlJc w:val="left"/>
      <w:pPr>
        <w:ind w:left="5512" w:hanging="360"/>
      </w:pPr>
    </w:lvl>
    <w:lvl w:ilvl="8" w:tplc="0C09001B" w:tentative="1">
      <w:start w:val="1"/>
      <w:numFmt w:val="lowerRoman"/>
      <w:lvlText w:val="%9."/>
      <w:lvlJc w:val="right"/>
      <w:pPr>
        <w:ind w:left="6232" w:hanging="180"/>
      </w:pPr>
    </w:lvl>
  </w:abstractNum>
  <w:abstractNum w:abstractNumId="8"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9"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1"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2"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3"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4"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5"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775288"/>
    <w:multiLevelType w:val="hybridMultilevel"/>
    <w:tmpl w:val="F14215A0"/>
    <w:lvl w:ilvl="0" w:tplc="0C090001">
      <w:start w:val="1"/>
      <w:numFmt w:val="bullet"/>
      <w:lvlText w:val=""/>
      <w:lvlJc w:val="left"/>
      <w:pPr>
        <w:ind w:left="469" w:hanging="358"/>
      </w:pPr>
      <w:rPr>
        <w:rFonts w:ascii="Symbol" w:hAnsi="Symbol" w:hint="default"/>
        <w:w w:val="99"/>
        <w:sz w:val="22"/>
        <w:szCs w:val="22"/>
      </w:rPr>
    </w:lvl>
    <w:lvl w:ilvl="1" w:tplc="FFFFFFFF">
      <w:numFmt w:val="bullet"/>
      <w:lvlText w:val="–"/>
      <w:lvlJc w:val="left"/>
      <w:pPr>
        <w:ind w:left="832" w:hanging="360"/>
      </w:pPr>
      <w:rPr>
        <w:rFonts w:ascii="Calibri" w:eastAsia="Calibri" w:hAnsi="Calibri" w:cs="Calibri" w:hint="default"/>
        <w:w w:val="100"/>
        <w:sz w:val="22"/>
        <w:szCs w:val="22"/>
      </w:rPr>
    </w:lvl>
    <w:lvl w:ilvl="2" w:tplc="FFFFFFFF">
      <w:numFmt w:val="bullet"/>
      <w:lvlText w:val="•"/>
      <w:lvlJc w:val="left"/>
      <w:pPr>
        <w:ind w:left="1944" w:hanging="360"/>
      </w:pPr>
      <w:rPr>
        <w:rFonts w:hint="default"/>
      </w:rPr>
    </w:lvl>
    <w:lvl w:ilvl="3" w:tplc="FFFFFFFF">
      <w:numFmt w:val="bullet"/>
      <w:lvlText w:val="•"/>
      <w:lvlJc w:val="left"/>
      <w:pPr>
        <w:ind w:left="3049" w:hanging="360"/>
      </w:pPr>
      <w:rPr>
        <w:rFonts w:hint="default"/>
      </w:rPr>
    </w:lvl>
    <w:lvl w:ilvl="4" w:tplc="FFFFFFFF">
      <w:numFmt w:val="bullet"/>
      <w:lvlText w:val="•"/>
      <w:lvlJc w:val="left"/>
      <w:pPr>
        <w:ind w:left="4154" w:hanging="360"/>
      </w:pPr>
      <w:rPr>
        <w:rFonts w:hint="default"/>
      </w:rPr>
    </w:lvl>
    <w:lvl w:ilvl="5" w:tplc="FFFFFFFF">
      <w:numFmt w:val="bullet"/>
      <w:lvlText w:val="•"/>
      <w:lvlJc w:val="left"/>
      <w:pPr>
        <w:ind w:left="5259" w:hanging="360"/>
      </w:pPr>
      <w:rPr>
        <w:rFonts w:hint="default"/>
      </w:rPr>
    </w:lvl>
    <w:lvl w:ilvl="6" w:tplc="FFFFFFFF">
      <w:numFmt w:val="bullet"/>
      <w:lvlText w:val="•"/>
      <w:lvlJc w:val="left"/>
      <w:pPr>
        <w:ind w:left="6364" w:hanging="360"/>
      </w:pPr>
      <w:rPr>
        <w:rFonts w:hint="default"/>
      </w:rPr>
    </w:lvl>
    <w:lvl w:ilvl="7" w:tplc="FFFFFFFF">
      <w:numFmt w:val="bullet"/>
      <w:lvlText w:val="•"/>
      <w:lvlJc w:val="left"/>
      <w:pPr>
        <w:ind w:left="7469" w:hanging="360"/>
      </w:pPr>
      <w:rPr>
        <w:rFonts w:hint="default"/>
      </w:rPr>
    </w:lvl>
    <w:lvl w:ilvl="8" w:tplc="FFFFFFFF">
      <w:numFmt w:val="bullet"/>
      <w:lvlText w:val="•"/>
      <w:lvlJc w:val="left"/>
      <w:pPr>
        <w:ind w:left="8574" w:hanging="360"/>
      </w:pPr>
      <w:rPr>
        <w:rFonts w:hint="default"/>
      </w:rPr>
    </w:lvl>
  </w:abstractNum>
  <w:abstractNum w:abstractNumId="17" w15:restartNumberingAfterBreak="0">
    <w:nsid w:val="38932100"/>
    <w:multiLevelType w:val="hybridMultilevel"/>
    <w:tmpl w:val="6C603F3C"/>
    <w:lvl w:ilvl="0" w:tplc="0C090001">
      <w:start w:val="1"/>
      <w:numFmt w:val="bullet"/>
      <w:lvlText w:val=""/>
      <w:lvlJc w:val="left"/>
      <w:pPr>
        <w:ind w:left="831" w:hanging="360"/>
      </w:pPr>
      <w:rPr>
        <w:rFonts w:ascii="Symbol" w:hAnsi="Symbol" w:hint="default"/>
      </w:rPr>
    </w:lvl>
    <w:lvl w:ilvl="1" w:tplc="0C090003" w:tentative="1">
      <w:start w:val="1"/>
      <w:numFmt w:val="bullet"/>
      <w:lvlText w:val="o"/>
      <w:lvlJc w:val="left"/>
      <w:pPr>
        <w:ind w:left="1551" w:hanging="360"/>
      </w:pPr>
      <w:rPr>
        <w:rFonts w:ascii="Courier New" w:hAnsi="Courier New" w:cs="Courier New" w:hint="default"/>
      </w:rPr>
    </w:lvl>
    <w:lvl w:ilvl="2" w:tplc="0C090005" w:tentative="1">
      <w:start w:val="1"/>
      <w:numFmt w:val="bullet"/>
      <w:lvlText w:val=""/>
      <w:lvlJc w:val="left"/>
      <w:pPr>
        <w:ind w:left="2271" w:hanging="360"/>
      </w:pPr>
      <w:rPr>
        <w:rFonts w:ascii="Wingdings" w:hAnsi="Wingdings" w:hint="default"/>
      </w:rPr>
    </w:lvl>
    <w:lvl w:ilvl="3" w:tplc="0C090001" w:tentative="1">
      <w:start w:val="1"/>
      <w:numFmt w:val="bullet"/>
      <w:lvlText w:val=""/>
      <w:lvlJc w:val="left"/>
      <w:pPr>
        <w:ind w:left="2991" w:hanging="360"/>
      </w:pPr>
      <w:rPr>
        <w:rFonts w:ascii="Symbol" w:hAnsi="Symbol" w:hint="default"/>
      </w:rPr>
    </w:lvl>
    <w:lvl w:ilvl="4" w:tplc="0C090003" w:tentative="1">
      <w:start w:val="1"/>
      <w:numFmt w:val="bullet"/>
      <w:lvlText w:val="o"/>
      <w:lvlJc w:val="left"/>
      <w:pPr>
        <w:ind w:left="3711" w:hanging="360"/>
      </w:pPr>
      <w:rPr>
        <w:rFonts w:ascii="Courier New" w:hAnsi="Courier New" w:cs="Courier New" w:hint="default"/>
      </w:rPr>
    </w:lvl>
    <w:lvl w:ilvl="5" w:tplc="0C090005" w:tentative="1">
      <w:start w:val="1"/>
      <w:numFmt w:val="bullet"/>
      <w:lvlText w:val=""/>
      <w:lvlJc w:val="left"/>
      <w:pPr>
        <w:ind w:left="4431" w:hanging="360"/>
      </w:pPr>
      <w:rPr>
        <w:rFonts w:ascii="Wingdings" w:hAnsi="Wingdings" w:hint="default"/>
      </w:rPr>
    </w:lvl>
    <w:lvl w:ilvl="6" w:tplc="0C090001" w:tentative="1">
      <w:start w:val="1"/>
      <w:numFmt w:val="bullet"/>
      <w:lvlText w:val=""/>
      <w:lvlJc w:val="left"/>
      <w:pPr>
        <w:ind w:left="5151" w:hanging="360"/>
      </w:pPr>
      <w:rPr>
        <w:rFonts w:ascii="Symbol" w:hAnsi="Symbol" w:hint="default"/>
      </w:rPr>
    </w:lvl>
    <w:lvl w:ilvl="7" w:tplc="0C090003" w:tentative="1">
      <w:start w:val="1"/>
      <w:numFmt w:val="bullet"/>
      <w:lvlText w:val="o"/>
      <w:lvlJc w:val="left"/>
      <w:pPr>
        <w:ind w:left="5871" w:hanging="360"/>
      </w:pPr>
      <w:rPr>
        <w:rFonts w:ascii="Courier New" w:hAnsi="Courier New" w:cs="Courier New" w:hint="default"/>
      </w:rPr>
    </w:lvl>
    <w:lvl w:ilvl="8" w:tplc="0C090005" w:tentative="1">
      <w:start w:val="1"/>
      <w:numFmt w:val="bullet"/>
      <w:lvlText w:val=""/>
      <w:lvlJc w:val="left"/>
      <w:pPr>
        <w:ind w:left="6591" w:hanging="360"/>
      </w:pPr>
      <w:rPr>
        <w:rFonts w:ascii="Wingdings" w:hAnsi="Wingdings" w:hint="default"/>
      </w:rPr>
    </w:lvl>
  </w:abstractNum>
  <w:abstractNum w:abstractNumId="18"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9" w15:restartNumberingAfterBreak="0">
    <w:nsid w:val="3E2A2480"/>
    <w:multiLevelType w:val="hybridMultilevel"/>
    <w:tmpl w:val="F1DA0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1"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AC13E4"/>
    <w:multiLevelType w:val="hybridMultilevel"/>
    <w:tmpl w:val="D7547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4"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5"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6"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3011F43"/>
    <w:multiLevelType w:val="multilevel"/>
    <w:tmpl w:val="FE4073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9" w15:restartNumberingAfterBreak="0">
    <w:nsid w:val="572E3C94"/>
    <w:multiLevelType w:val="hybridMultilevel"/>
    <w:tmpl w:val="9664219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0"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2"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3"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35"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6"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7"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9"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40" w15:restartNumberingAfterBreak="0">
    <w:nsid w:val="73915D59"/>
    <w:multiLevelType w:val="hybridMultilevel"/>
    <w:tmpl w:val="F2E601EC"/>
    <w:lvl w:ilvl="0" w:tplc="0628B0DE">
      <w:numFmt w:val="bullet"/>
      <w:lvlText w:val=""/>
      <w:lvlJc w:val="left"/>
      <w:pPr>
        <w:ind w:left="469" w:hanging="358"/>
      </w:pPr>
      <w:rPr>
        <w:rFonts w:ascii="Symbol" w:eastAsia="Symbol" w:hAnsi="Symbol" w:cs="Symbol" w:hint="default"/>
        <w:w w:val="99"/>
        <w:sz w:val="22"/>
        <w:szCs w:val="22"/>
      </w:rPr>
    </w:lvl>
    <w:lvl w:ilvl="1" w:tplc="E662DDE8">
      <w:numFmt w:val="bullet"/>
      <w:lvlText w:val="–"/>
      <w:lvlJc w:val="left"/>
      <w:pPr>
        <w:ind w:left="832" w:hanging="360"/>
      </w:pPr>
      <w:rPr>
        <w:rFonts w:ascii="Calibri" w:eastAsia="Calibri" w:hAnsi="Calibri" w:cs="Calibri" w:hint="default"/>
        <w:w w:val="100"/>
        <w:sz w:val="22"/>
        <w:szCs w:val="22"/>
      </w:rPr>
    </w:lvl>
    <w:lvl w:ilvl="2" w:tplc="A8B009BC">
      <w:numFmt w:val="bullet"/>
      <w:lvlText w:val="•"/>
      <w:lvlJc w:val="left"/>
      <w:pPr>
        <w:ind w:left="1944" w:hanging="360"/>
      </w:pPr>
      <w:rPr>
        <w:rFonts w:hint="default"/>
      </w:rPr>
    </w:lvl>
    <w:lvl w:ilvl="3" w:tplc="F0FA456C">
      <w:numFmt w:val="bullet"/>
      <w:lvlText w:val="•"/>
      <w:lvlJc w:val="left"/>
      <w:pPr>
        <w:ind w:left="3049" w:hanging="360"/>
      </w:pPr>
      <w:rPr>
        <w:rFonts w:hint="default"/>
      </w:rPr>
    </w:lvl>
    <w:lvl w:ilvl="4" w:tplc="AD0AFF70">
      <w:numFmt w:val="bullet"/>
      <w:lvlText w:val="•"/>
      <w:lvlJc w:val="left"/>
      <w:pPr>
        <w:ind w:left="4154" w:hanging="360"/>
      </w:pPr>
      <w:rPr>
        <w:rFonts w:hint="default"/>
      </w:rPr>
    </w:lvl>
    <w:lvl w:ilvl="5" w:tplc="FAA4111A">
      <w:numFmt w:val="bullet"/>
      <w:lvlText w:val="•"/>
      <w:lvlJc w:val="left"/>
      <w:pPr>
        <w:ind w:left="5259" w:hanging="360"/>
      </w:pPr>
      <w:rPr>
        <w:rFonts w:hint="default"/>
      </w:rPr>
    </w:lvl>
    <w:lvl w:ilvl="6" w:tplc="6D22272A">
      <w:numFmt w:val="bullet"/>
      <w:lvlText w:val="•"/>
      <w:lvlJc w:val="left"/>
      <w:pPr>
        <w:ind w:left="6364" w:hanging="360"/>
      </w:pPr>
      <w:rPr>
        <w:rFonts w:hint="default"/>
      </w:rPr>
    </w:lvl>
    <w:lvl w:ilvl="7" w:tplc="D9E4807A">
      <w:numFmt w:val="bullet"/>
      <w:lvlText w:val="•"/>
      <w:lvlJc w:val="left"/>
      <w:pPr>
        <w:ind w:left="7469" w:hanging="360"/>
      </w:pPr>
      <w:rPr>
        <w:rFonts w:hint="default"/>
      </w:rPr>
    </w:lvl>
    <w:lvl w:ilvl="8" w:tplc="3E7EB8B4">
      <w:numFmt w:val="bullet"/>
      <w:lvlText w:val="•"/>
      <w:lvlJc w:val="left"/>
      <w:pPr>
        <w:ind w:left="8574" w:hanging="360"/>
      </w:pPr>
      <w:rPr>
        <w:rFonts w:hint="default"/>
      </w:rPr>
    </w:lvl>
  </w:abstractNum>
  <w:abstractNum w:abstractNumId="41"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2"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3"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4"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5"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6" w15:restartNumberingAfterBreak="0">
    <w:nsid w:val="7F790F22"/>
    <w:multiLevelType w:val="hybridMultilevel"/>
    <w:tmpl w:val="697AEB2C"/>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47"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2219342">
    <w:abstractNumId w:val="3"/>
  </w:num>
  <w:num w:numId="2" w16cid:durableId="1187214794">
    <w:abstractNumId w:val="0"/>
  </w:num>
  <w:num w:numId="3" w16cid:durableId="1060514863">
    <w:abstractNumId w:val="34"/>
  </w:num>
  <w:num w:numId="4" w16cid:durableId="224997074">
    <w:abstractNumId w:val="23"/>
  </w:num>
  <w:num w:numId="5" w16cid:durableId="990405589">
    <w:abstractNumId w:val="6"/>
  </w:num>
  <w:num w:numId="6" w16cid:durableId="2064712126">
    <w:abstractNumId w:val="5"/>
  </w:num>
  <w:num w:numId="7" w16cid:durableId="244732722">
    <w:abstractNumId w:val="4"/>
  </w:num>
  <w:num w:numId="8" w16cid:durableId="758597223">
    <w:abstractNumId w:val="39"/>
  </w:num>
  <w:num w:numId="9" w16cid:durableId="64575997">
    <w:abstractNumId w:val="25"/>
  </w:num>
  <w:num w:numId="10" w16cid:durableId="1188719251">
    <w:abstractNumId w:val="12"/>
  </w:num>
  <w:num w:numId="11" w16cid:durableId="1245526847">
    <w:abstractNumId w:val="14"/>
  </w:num>
  <w:num w:numId="12" w16cid:durableId="941959063">
    <w:abstractNumId w:val="38"/>
  </w:num>
  <w:num w:numId="13" w16cid:durableId="932934493">
    <w:abstractNumId w:val="15"/>
  </w:num>
  <w:num w:numId="14" w16cid:durableId="950208659">
    <w:abstractNumId w:val="30"/>
  </w:num>
  <w:num w:numId="15" w16cid:durableId="297611587">
    <w:abstractNumId w:val="26"/>
  </w:num>
  <w:num w:numId="16" w16cid:durableId="7654645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1581701">
    <w:abstractNumId w:val="35"/>
  </w:num>
  <w:num w:numId="18" w16cid:durableId="489492814">
    <w:abstractNumId w:val="13"/>
  </w:num>
  <w:num w:numId="19" w16cid:durableId="1580166509">
    <w:abstractNumId w:val="2"/>
  </w:num>
  <w:num w:numId="20" w16cid:durableId="2102097054">
    <w:abstractNumId w:val="1"/>
  </w:num>
  <w:num w:numId="21" w16cid:durableId="17855395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4612692">
    <w:abstractNumId w:val="31"/>
  </w:num>
  <w:num w:numId="23" w16cid:durableId="211962122">
    <w:abstractNumId w:val="31"/>
    <w:lvlOverride w:ilvl="0">
      <w:startOverride w:val="1"/>
    </w:lvlOverride>
  </w:num>
  <w:num w:numId="24" w16cid:durableId="811211347">
    <w:abstractNumId w:val="31"/>
    <w:lvlOverride w:ilvl="0">
      <w:startOverride w:val="1"/>
    </w:lvlOverride>
  </w:num>
  <w:num w:numId="25" w16cid:durableId="19680061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16518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4955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3246770">
    <w:abstractNumId w:val="9"/>
  </w:num>
  <w:num w:numId="29" w16cid:durableId="189270921">
    <w:abstractNumId w:val="33"/>
  </w:num>
  <w:num w:numId="30" w16cid:durableId="1872958039">
    <w:abstractNumId w:val="19"/>
  </w:num>
  <w:num w:numId="31" w16cid:durableId="50740618">
    <w:abstractNumId w:val="27"/>
  </w:num>
  <w:num w:numId="32" w16cid:durableId="1730836944">
    <w:abstractNumId w:val="35"/>
  </w:num>
  <w:num w:numId="33" w16cid:durableId="1862429071">
    <w:abstractNumId w:val="22"/>
  </w:num>
  <w:num w:numId="34" w16cid:durableId="646906475">
    <w:abstractNumId w:val="47"/>
  </w:num>
  <w:num w:numId="35" w16cid:durableId="1881016143">
    <w:abstractNumId w:val="40"/>
  </w:num>
  <w:num w:numId="36" w16cid:durableId="1032809052">
    <w:abstractNumId w:val="16"/>
  </w:num>
  <w:num w:numId="37" w16cid:durableId="75397823">
    <w:abstractNumId w:val="17"/>
  </w:num>
  <w:num w:numId="38" w16cid:durableId="1686202587">
    <w:abstractNumId w:val="7"/>
  </w:num>
  <w:num w:numId="39" w16cid:durableId="782767317">
    <w:abstractNumId w:val="46"/>
  </w:num>
  <w:num w:numId="40" w16cid:durableId="1998224183">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7AF"/>
    <w:rsid w:val="00006544"/>
    <w:rsid w:val="00010BD3"/>
    <w:rsid w:val="0001144C"/>
    <w:rsid w:val="00016492"/>
    <w:rsid w:val="00026C82"/>
    <w:rsid w:val="000316FC"/>
    <w:rsid w:val="0004698A"/>
    <w:rsid w:val="00055951"/>
    <w:rsid w:val="00063BFD"/>
    <w:rsid w:val="00086691"/>
    <w:rsid w:val="00090A8B"/>
    <w:rsid w:val="000949CB"/>
    <w:rsid w:val="000A12C1"/>
    <w:rsid w:val="000C141A"/>
    <w:rsid w:val="000C1C01"/>
    <w:rsid w:val="000C306C"/>
    <w:rsid w:val="000C3368"/>
    <w:rsid w:val="000C3814"/>
    <w:rsid w:val="000D0E2E"/>
    <w:rsid w:val="000E4881"/>
    <w:rsid w:val="000E5B4E"/>
    <w:rsid w:val="000F048A"/>
    <w:rsid w:val="000F54E7"/>
    <w:rsid w:val="00104077"/>
    <w:rsid w:val="00115857"/>
    <w:rsid w:val="0011789C"/>
    <w:rsid w:val="001213BE"/>
    <w:rsid w:val="001251C4"/>
    <w:rsid w:val="00126C86"/>
    <w:rsid w:val="00131480"/>
    <w:rsid w:val="00135230"/>
    <w:rsid w:val="00137EA8"/>
    <w:rsid w:val="00143A23"/>
    <w:rsid w:val="00157448"/>
    <w:rsid w:val="00164424"/>
    <w:rsid w:val="00181844"/>
    <w:rsid w:val="00184E1A"/>
    <w:rsid w:val="0018749C"/>
    <w:rsid w:val="001A1E3B"/>
    <w:rsid w:val="001A7B19"/>
    <w:rsid w:val="001B0A1A"/>
    <w:rsid w:val="001B0B3F"/>
    <w:rsid w:val="001C0319"/>
    <w:rsid w:val="001C26F5"/>
    <w:rsid w:val="001C351D"/>
    <w:rsid w:val="001C6970"/>
    <w:rsid w:val="001D0547"/>
    <w:rsid w:val="001D60E6"/>
    <w:rsid w:val="001E0A43"/>
    <w:rsid w:val="001E67A9"/>
    <w:rsid w:val="001F79B7"/>
    <w:rsid w:val="002000FF"/>
    <w:rsid w:val="00205B35"/>
    <w:rsid w:val="002063AC"/>
    <w:rsid w:val="002123EC"/>
    <w:rsid w:val="00225175"/>
    <w:rsid w:val="00230BF1"/>
    <w:rsid w:val="002344F7"/>
    <w:rsid w:val="00240DCA"/>
    <w:rsid w:val="00252D94"/>
    <w:rsid w:val="00252F44"/>
    <w:rsid w:val="002578C1"/>
    <w:rsid w:val="00260106"/>
    <w:rsid w:val="00264621"/>
    <w:rsid w:val="00267317"/>
    <w:rsid w:val="00267638"/>
    <w:rsid w:val="00283A24"/>
    <w:rsid w:val="002A18C2"/>
    <w:rsid w:val="002A4C3E"/>
    <w:rsid w:val="002C23A0"/>
    <w:rsid w:val="002C4EC9"/>
    <w:rsid w:val="002C6424"/>
    <w:rsid w:val="002E7EFC"/>
    <w:rsid w:val="002F2549"/>
    <w:rsid w:val="002F64DF"/>
    <w:rsid w:val="002F759B"/>
    <w:rsid w:val="002F7AEB"/>
    <w:rsid w:val="00307CC0"/>
    <w:rsid w:val="00322500"/>
    <w:rsid w:val="00337BFD"/>
    <w:rsid w:val="00351035"/>
    <w:rsid w:val="0035331C"/>
    <w:rsid w:val="00356750"/>
    <w:rsid w:val="00365045"/>
    <w:rsid w:val="00366405"/>
    <w:rsid w:val="003738EE"/>
    <w:rsid w:val="00386859"/>
    <w:rsid w:val="00391977"/>
    <w:rsid w:val="00392E0C"/>
    <w:rsid w:val="00394D1C"/>
    <w:rsid w:val="00394EA9"/>
    <w:rsid w:val="003969A2"/>
    <w:rsid w:val="003A32E0"/>
    <w:rsid w:val="003A4A87"/>
    <w:rsid w:val="003A7B94"/>
    <w:rsid w:val="003B0731"/>
    <w:rsid w:val="003B5700"/>
    <w:rsid w:val="003B5EDB"/>
    <w:rsid w:val="003B6A2C"/>
    <w:rsid w:val="003C0F49"/>
    <w:rsid w:val="003C3ED0"/>
    <w:rsid w:val="003D01BD"/>
    <w:rsid w:val="003E230C"/>
    <w:rsid w:val="003E66B9"/>
    <w:rsid w:val="003F016E"/>
    <w:rsid w:val="003F45D9"/>
    <w:rsid w:val="003F4E27"/>
    <w:rsid w:val="003F516F"/>
    <w:rsid w:val="004113E1"/>
    <w:rsid w:val="00422FAB"/>
    <w:rsid w:val="00427659"/>
    <w:rsid w:val="00430A03"/>
    <w:rsid w:val="00436091"/>
    <w:rsid w:val="004455A7"/>
    <w:rsid w:val="00451758"/>
    <w:rsid w:val="00462DB3"/>
    <w:rsid w:val="00466D77"/>
    <w:rsid w:val="00467979"/>
    <w:rsid w:val="00475FC8"/>
    <w:rsid w:val="00480708"/>
    <w:rsid w:val="004907E5"/>
    <w:rsid w:val="0049402F"/>
    <w:rsid w:val="004978FC"/>
    <w:rsid w:val="004A2DD7"/>
    <w:rsid w:val="004A460D"/>
    <w:rsid w:val="004B0978"/>
    <w:rsid w:val="004B534D"/>
    <w:rsid w:val="004C7E27"/>
    <w:rsid w:val="004D7D40"/>
    <w:rsid w:val="004F1A9B"/>
    <w:rsid w:val="004F4904"/>
    <w:rsid w:val="004F6237"/>
    <w:rsid w:val="005013B3"/>
    <w:rsid w:val="00505FD8"/>
    <w:rsid w:val="00506E38"/>
    <w:rsid w:val="00510293"/>
    <w:rsid w:val="0051295C"/>
    <w:rsid w:val="005155EC"/>
    <w:rsid w:val="00517919"/>
    <w:rsid w:val="00535B0C"/>
    <w:rsid w:val="00536699"/>
    <w:rsid w:val="0054032A"/>
    <w:rsid w:val="00542A7C"/>
    <w:rsid w:val="005530CD"/>
    <w:rsid w:val="00562809"/>
    <w:rsid w:val="005637F1"/>
    <w:rsid w:val="00564D54"/>
    <w:rsid w:val="005733B2"/>
    <w:rsid w:val="00573DFF"/>
    <w:rsid w:val="00574189"/>
    <w:rsid w:val="00576A56"/>
    <w:rsid w:val="00577C5A"/>
    <w:rsid w:val="00583851"/>
    <w:rsid w:val="005867F0"/>
    <w:rsid w:val="005A2294"/>
    <w:rsid w:val="005A51DC"/>
    <w:rsid w:val="005B39F7"/>
    <w:rsid w:val="005B4291"/>
    <w:rsid w:val="005B7317"/>
    <w:rsid w:val="005C60BE"/>
    <w:rsid w:val="005C69CC"/>
    <w:rsid w:val="005C754B"/>
    <w:rsid w:val="005D33BD"/>
    <w:rsid w:val="005D3801"/>
    <w:rsid w:val="005D4796"/>
    <w:rsid w:val="005D502E"/>
    <w:rsid w:val="005D5CB0"/>
    <w:rsid w:val="005E006C"/>
    <w:rsid w:val="005E32AE"/>
    <w:rsid w:val="005F0BBF"/>
    <w:rsid w:val="005F0BE7"/>
    <w:rsid w:val="005F45F5"/>
    <w:rsid w:val="005F6958"/>
    <w:rsid w:val="0060373E"/>
    <w:rsid w:val="00610AFF"/>
    <w:rsid w:val="0061436C"/>
    <w:rsid w:val="00621843"/>
    <w:rsid w:val="0062775C"/>
    <w:rsid w:val="006438F6"/>
    <w:rsid w:val="00645ADA"/>
    <w:rsid w:val="00647E27"/>
    <w:rsid w:val="00655AEA"/>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1FC6"/>
    <w:rsid w:val="006D53EF"/>
    <w:rsid w:val="006D5BDC"/>
    <w:rsid w:val="006E376A"/>
    <w:rsid w:val="006E6398"/>
    <w:rsid w:val="006E6C70"/>
    <w:rsid w:val="006F26D4"/>
    <w:rsid w:val="007003BC"/>
    <w:rsid w:val="00704015"/>
    <w:rsid w:val="0070452F"/>
    <w:rsid w:val="00706BFC"/>
    <w:rsid w:val="00715221"/>
    <w:rsid w:val="0071554E"/>
    <w:rsid w:val="00721AE2"/>
    <w:rsid w:val="007236B8"/>
    <w:rsid w:val="0072437E"/>
    <w:rsid w:val="00724EA7"/>
    <w:rsid w:val="007254AC"/>
    <w:rsid w:val="00731D56"/>
    <w:rsid w:val="0073778D"/>
    <w:rsid w:val="00745F07"/>
    <w:rsid w:val="00747EAA"/>
    <w:rsid w:val="00750B16"/>
    <w:rsid w:val="00752AD5"/>
    <w:rsid w:val="00753A37"/>
    <w:rsid w:val="0075637D"/>
    <w:rsid w:val="007602D7"/>
    <w:rsid w:val="00771EC3"/>
    <w:rsid w:val="0077373E"/>
    <w:rsid w:val="00773ACE"/>
    <w:rsid w:val="0077512D"/>
    <w:rsid w:val="007809B7"/>
    <w:rsid w:val="00782E8F"/>
    <w:rsid w:val="00782F61"/>
    <w:rsid w:val="00784401"/>
    <w:rsid w:val="00785F89"/>
    <w:rsid w:val="0078774E"/>
    <w:rsid w:val="00790E3E"/>
    <w:rsid w:val="007A6388"/>
    <w:rsid w:val="007A7F07"/>
    <w:rsid w:val="007B0E7B"/>
    <w:rsid w:val="007B4F5D"/>
    <w:rsid w:val="007B511D"/>
    <w:rsid w:val="007B546A"/>
    <w:rsid w:val="007C0F87"/>
    <w:rsid w:val="007C35C1"/>
    <w:rsid w:val="007C7C80"/>
    <w:rsid w:val="007D1B05"/>
    <w:rsid w:val="007D6194"/>
    <w:rsid w:val="007F1BA7"/>
    <w:rsid w:val="00801190"/>
    <w:rsid w:val="00803B4C"/>
    <w:rsid w:val="00810AB4"/>
    <w:rsid w:val="00813444"/>
    <w:rsid w:val="00813D23"/>
    <w:rsid w:val="00820D82"/>
    <w:rsid w:val="00821B10"/>
    <w:rsid w:val="0082311D"/>
    <w:rsid w:val="00840293"/>
    <w:rsid w:val="008410D5"/>
    <w:rsid w:val="008433CF"/>
    <w:rsid w:val="00846677"/>
    <w:rsid w:val="00850E55"/>
    <w:rsid w:val="008645CD"/>
    <w:rsid w:val="0086474A"/>
    <w:rsid w:val="00870531"/>
    <w:rsid w:val="0087108A"/>
    <w:rsid w:val="00872CD7"/>
    <w:rsid w:val="00886A1C"/>
    <w:rsid w:val="008A0907"/>
    <w:rsid w:val="008A3BC9"/>
    <w:rsid w:val="008A3BE3"/>
    <w:rsid w:val="008B00A2"/>
    <w:rsid w:val="008B7C35"/>
    <w:rsid w:val="008C5DD9"/>
    <w:rsid w:val="008D2825"/>
    <w:rsid w:val="008D74B1"/>
    <w:rsid w:val="008E5070"/>
    <w:rsid w:val="008E7403"/>
    <w:rsid w:val="008F1C0C"/>
    <w:rsid w:val="00900A09"/>
    <w:rsid w:val="009047F0"/>
    <w:rsid w:val="009074D9"/>
    <w:rsid w:val="00915450"/>
    <w:rsid w:val="0091711E"/>
    <w:rsid w:val="0092057D"/>
    <w:rsid w:val="00925CAA"/>
    <w:rsid w:val="00933996"/>
    <w:rsid w:val="009342B3"/>
    <w:rsid w:val="00951F3D"/>
    <w:rsid w:val="00956416"/>
    <w:rsid w:val="009572B6"/>
    <w:rsid w:val="0096064E"/>
    <w:rsid w:val="009647C8"/>
    <w:rsid w:val="00967F9A"/>
    <w:rsid w:val="0097681F"/>
    <w:rsid w:val="0098017E"/>
    <w:rsid w:val="0098787E"/>
    <w:rsid w:val="00992321"/>
    <w:rsid w:val="00993D1E"/>
    <w:rsid w:val="009A419F"/>
    <w:rsid w:val="009A488C"/>
    <w:rsid w:val="009A6A13"/>
    <w:rsid w:val="009C2652"/>
    <w:rsid w:val="009C2923"/>
    <w:rsid w:val="009C3719"/>
    <w:rsid w:val="009C51C5"/>
    <w:rsid w:val="009C759C"/>
    <w:rsid w:val="009D19FA"/>
    <w:rsid w:val="009D34EB"/>
    <w:rsid w:val="009E5467"/>
    <w:rsid w:val="009E5F72"/>
    <w:rsid w:val="00A011B7"/>
    <w:rsid w:val="00A049E3"/>
    <w:rsid w:val="00A135CF"/>
    <w:rsid w:val="00A13A1B"/>
    <w:rsid w:val="00A21A89"/>
    <w:rsid w:val="00A23384"/>
    <w:rsid w:val="00A26015"/>
    <w:rsid w:val="00A37A4F"/>
    <w:rsid w:val="00A40F98"/>
    <w:rsid w:val="00A5202A"/>
    <w:rsid w:val="00A52822"/>
    <w:rsid w:val="00A62523"/>
    <w:rsid w:val="00A6456E"/>
    <w:rsid w:val="00A67EEB"/>
    <w:rsid w:val="00A8571E"/>
    <w:rsid w:val="00A874BB"/>
    <w:rsid w:val="00A87845"/>
    <w:rsid w:val="00A9084A"/>
    <w:rsid w:val="00A90F14"/>
    <w:rsid w:val="00AC27DA"/>
    <w:rsid w:val="00AC476E"/>
    <w:rsid w:val="00AC748E"/>
    <w:rsid w:val="00AD2349"/>
    <w:rsid w:val="00AE6C2E"/>
    <w:rsid w:val="00AE7BC6"/>
    <w:rsid w:val="00AF07AF"/>
    <w:rsid w:val="00AF3197"/>
    <w:rsid w:val="00AF63CF"/>
    <w:rsid w:val="00AF7E39"/>
    <w:rsid w:val="00B10361"/>
    <w:rsid w:val="00B12BD8"/>
    <w:rsid w:val="00B137E7"/>
    <w:rsid w:val="00B217D9"/>
    <w:rsid w:val="00B329C5"/>
    <w:rsid w:val="00B3351E"/>
    <w:rsid w:val="00B44C41"/>
    <w:rsid w:val="00B54F88"/>
    <w:rsid w:val="00B5641B"/>
    <w:rsid w:val="00B57C72"/>
    <w:rsid w:val="00B60925"/>
    <w:rsid w:val="00B6721C"/>
    <w:rsid w:val="00B766F6"/>
    <w:rsid w:val="00B82136"/>
    <w:rsid w:val="00B96F20"/>
    <w:rsid w:val="00BA06BB"/>
    <w:rsid w:val="00BA277B"/>
    <w:rsid w:val="00BA7830"/>
    <w:rsid w:val="00BB13B7"/>
    <w:rsid w:val="00BC0072"/>
    <w:rsid w:val="00BC0888"/>
    <w:rsid w:val="00BC60A9"/>
    <w:rsid w:val="00BD157D"/>
    <w:rsid w:val="00BD45AA"/>
    <w:rsid w:val="00BD58B2"/>
    <w:rsid w:val="00BE09D0"/>
    <w:rsid w:val="00BE1393"/>
    <w:rsid w:val="00BE47AF"/>
    <w:rsid w:val="00BF45C5"/>
    <w:rsid w:val="00C01977"/>
    <w:rsid w:val="00C16FF3"/>
    <w:rsid w:val="00C252AE"/>
    <w:rsid w:val="00C3191D"/>
    <w:rsid w:val="00C41C46"/>
    <w:rsid w:val="00C54459"/>
    <w:rsid w:val="00C551C4"/>
    <w:rsid w:val="00C71D9D"/>
    <w:rsid w:val="00C763EB"/>
    <w:rsid w:val="00C76683"/>
    <w:rsid w:val="00C81316"/>
    <w:rsid w:val="00C850E0"/>
    <w:rsid w:val="00CA4310"/>
    <w:rsid w:val="00CB72F7"/>
    <w:rsid w:val="00CB793A"/>
    <w:rsid w:val="00CB7E04"/>
    <w:rsid w:val="00CC53FE"/>
    <w:rsid w:val="00CE2166"/>
    <w:rsid w:val="00CE3DDF"/>
    <w:rsid w:val="00CF1608"/>
    <w:rsid w:val="00D000C1"/>
    <w:rsid w:val="00D06C25"/>
    <w:rsid w:val="00D25125"/>
    <w:rsid w:val="00D31E02"/>
    <w:rsid w:val="00D32372"/>
    <w:rsid w:val="00D355EE"/>
    <w:rsid w:val="00D40B9E"/>
    <w:rsid w:val="00D456E5"/>
    <w:rsid w:val="00D57AA5"/>
    <w:rsid w:val="00D74C3E"/>
    <w:rsid w:val="00D75112"/>
    <w:rsid w:val="00D75501"/>
    <w:rsid w:val="00D80AEE"/>
    <w:rsid w:val="00D90B1F"/>
    <w:rsid w:val="00D9495D"/>
    <w:rsid w:val="00D9558C"/>
    <w:rsid w:val="00DA4453"/>
    <w:rsid w:val="00DA659B"/>
    <w:rsid w:val="00DB464D"/>
    <w:rsid w:val="00DB4C5B"/>
    <w:rsid w:val="00DB5A6E"/>
    <w:rsid w:val="00DB74A7"/>
    <w:rsid w:val="00DC3EAB"/>
    <w:rsid w:val="00DC4436"/>
    <w:rsid w:val="00DD2C1F"/>
    <w:rsid w:val="00DD4AC6"/>
    <w:rsid w:val="00DD6206"/>
    <w:rsid w:val="00DE3260"/>
    <w:rsid w:val="00DE6D90"/>
    <w:rsid w:val="00DE7990"/>
    <w:rsid w:val="00E03C3C"/>
    <w:rsid w:val="00E05F22"/>
    <w:rsid w:val="00E074C6"/>
    <w:rsid w:val="00E12836"/>
    <w:rsid w:val="00E14C9A"/>
    <w:rsid w:val="00E20BB5"/>
    <w:rsid w:val="00E23EC0"/>
    <w:rsid w:val="00E307C9"/>
    <w:rsid w:val="00E32254"/>
    <w:rsid w:val="00E35100"/>
    <w:rsid w:val="00E3726E"/>
    <w:rsid w:val="00E46801"/>
    <w:rsid w:val="00E500D1"/>
    <w:rsid w:val="00E5224A"/>
    <w:rsid w:val="00E53C85"/>
    <w:rsid w:val="00E557E9"/>
    <w:rsid w:val="00E7585E"/>
    <w:rsid w:val="00E8092E"/>
    <w:rsid w:val="00E9720E"/>
    <w:rsid w:val="00E97E50"/>
    <w:rsid w:val="00EA07C3"/>
    <w:rsid w:val="00EA24D2"/>
    <w:rsid w:val="00EA2773"/>
    <w:rsid w:val="00EB0A46"/>
    <w:rsid w:val="00EB2189"/>
    <w:rsid w:val="00EC0F51"/>
    <w:rsid w:val="00EC1C00"/>
    <w:rsid w:val="00EC708F"/>
    <w:rsid w:val="00ED03A1"/>
    <w:rsid w:val="00ED22BC"/>
    <w:rsid w:val="00ED26A1"/>
    <w:rsid w:val="00ED45BB"/>
    <w:rsid w:val="00EE7182"/>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5509"/>
    <w:rsid w:val="00F355BA"/>
    <w:rsid w:val="00F42424"/>
    <w:rsid w:val="00F42854"/>
    <w:rsid w:val="00F52F0F"/>
    <w:rsid w:val="00F56CE8"/>
    <w:rsid w:val="00F57633"/>
    <w:rsid w:val="00F64DD4"/>
    <w:rsid w:val="00F67E0A"/>
    <w:rsid w:val="00F75426"/>
    <w:rsid w:val="00F85551"/>
    <w:rsid w:val="00F96D72"/>
    <w:rsid w:val="00FA0273"/>
    <w:rsid w:val="00FB6B27"/>
    <w:rsid w:val="00FC023A"/>
    <w:rsid w:val="00FF1032"/>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6362BB19"/>
  <w15:docId w15:val="{98041BC1-08A3-4424-A67B-6EA57FCD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57D"/>
    <w:pPr>
      <w:spacing w:before="120" w:after="120" w:line="264" w:lineRule="auto"/>
    </w:pPr>
    <w:rPr>
      <w:rFonts w:ascii="Calibri" w:hAnsi="Calibri" w:cs="Calibri"/>
      <w:sz w:val="22"/>
      <w:szCs w:val="22"/>
    </w:rPr>
  </w:style>
  <w:style w:type="paragraph" w:styleId="Heading1">
    <w:name w:val="heading 1"/>
    <w:basedOn w:val="Normal"/>
    <w:next w:val="Normal"/>
    <w:uiPriority w:val="3"/>
    <w:qFormat/>
    <w:rsid w:val="0092057D"/>
    <w:pPr>
      <w:keepNext/>
      <w:spacing w:before="200" w:after="240" w:line="240" w:lineRule="auto"/>
      <w:outlineLvl w:val="0"/>
    </w:pPr>
    <w:rPr>
      <w:b/>
      <w:color w:val="7030A0"/>
      <w:sz w:val="36"/>
      <w:szCs w:val="36"/>
      <w:lang w:eastAsia="en-US"/>
    </w:rPr>
  </w:style>
  <w:style w:type="paragraph" w:styleId="Heading2">
    <w:name w:val="heading 2"/>
    <w:basedOn w:val="Normal"/>
    <w:next w:val="Normal"/>
    <w:uiPriority w:val="3"/>
    <w:qFormat/>
    <w:rsid w:val="0092057D"/>
    <w:pPr>
      <w:keepNext/>
      <w:spacing w:before="240" w:line="240" w:lineRule="auto"/>
      <w:outlineLvl w:val="1"/>
    </w:pPr>
    <w:rPr>
      <w:b/>
      <w:color w:val="7030A0"/>
      <w:sz w:val="28"/>
      <w:lang w:eastAsia="en-US"/>
    </w:rPr>
  </w:style>
  <w:style w:type="paragraph" w:styleId="Heading3">
    <w:name w:val="heading 3"/>
    <w:basedOn w:val="Heading2"/>
    <w:next w:val="Normal"/>
    <w:uiPriority w:val="3"/>
    <w:qFormat/>
    <w:rsid w:val="0092057D"/>
    <w:pPr>
      <w:outlineLvl w:val="2"/>
    </w:pPr>
    <w:rPr>
      <w:sz w:val="24"/>
    </w:rPr>
  </w:style>
  <w:style w:type="paragraph" w:styleId="Heading4">
    <w:name w:val="heading 4"/>
    <w:basedOn w:val="Heading3"/>
    <w:next w:val="Normal"/>
    <w:uiPriority w:val="3"/>
    <w:semiHidden/>
    <w:qFormat/>
    <w:rsid w:val="004F6237"/>
    <w:pPr>
      <w:numPr>
        <w:ilvl w:val="3"/>
      </w:numPr>
      <w:spacing w:before="160" w:line="280" w:lineRule="atLeast"/>
      <w:outlineLvl w:val="3"/>
    </w:pPr>
    <w:rPr>
      <w:sz w:val="22"/>
    </w:rPr>
  </w:style>
  <w:style w:type="paragraph" w:styleId="Heading5">
    <w:name w:val="heading 5"/>
    <w:basedOn w:val="Heading4"/>
    <w:next w:val="Normal"/>
    <w:uiPriority w:val="3"/>
    <w:semiHidden/>
    <w:qFormat/>
    <w:rsid w:val="004F6237"/>
    <w:pPr>
      <w:numPr>
        <w:ilvl w:val="4"/>
      </w:numPr>
      <w:outlineLvl w:val="4"/>
    </w:pPr>
    <w:rPr>
      <w:b w:val="0"/>
      <w:bCs/>
      <w:color w:val="404040"/>
    </w:rPr>
  </w:style>
  <w:style w:type="paragraph" w:styleId="Heading6">
    <w:name w:val="heading 6"/>
    <w:basedOn w:val="Heading5"/>
    <w:next w:val="Normal"/>
    <w:uiPriority w:val="3"/>
    <w:semiHidden/>
    <w:qFormat/>
    <w:rsid w:val="004F6237"/>
    <w:pPr>
      <w:numPr>
        <w:ilvl w:val="5"/>
      </w:numPr>
      <w:outlineLvl w:val="5"/>
    </w:pPr>
    <w:rPr>
      <w:iCs/>
    </w:rPr>
  </w:style>
  <w:style w:type="paragraph" w:styleId="Heading7">
    <w:name w:val="heading 7"/>
    <w:basedOn w:val="Heading6"/>
    <w:next w:val="Normal"/>
    <w:uiPriority w:val="3"/>
    <w:semiHidden/>
    <w:qFormat/>
    <w:rsid w:val="004F6237"/>
    <w:pPr>
      <w:numPr>
        <w:ilvl w:val="6"/>
      </w:numPr>
      <w:outlineLvl w:val="6"/>
    </w:pPr>
    <w:rPr>
      <w:i/>
    </w:rPr>
  </w:style>
  <w:style w:type="paragraph" w:styleId="Heading8">
    <w:name w:val="heading 8"/>
    <w:basedOn w:val="Heading7"/>
    <w:next w:val="Normal"/>
    <w:uiPriority w:val="3"/>
    <w:semiHidden/>
    <w:qFormat/>
    <w:rsid w:val="004F6237"/>
    <w:pPr>
      <w:numPr>
        <w:ilvl w:val="7"/>
      </w:numPr>
      <w:outlineLvl w:val="7"/>
    </w:pPr>
    <w:rPr>
      <w:b/>
    </w:rPr>
  </w:style>
  <w:style w:type="paragraph" w:styleId="Heading9">
    <w:name w:val="heading 9"/>
    <w:basedOn w:val="Heading8"/>
    <w:next w:val="Normal"/>
    <w:uiPriority w:val="3"/>
    <w:semiHidden/>
    <w:qFormat/>
    <w:rsid w:val="004F62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F6237"/>
  </w:style>
  <w:style w:type="paragraph" w:customStyle="1" w:styleId="Bullet1">
    <w:name w:val="Bullet 1"/>
    <w:basedOn w:val="Normal"/>
    <w:uiPriority w:val="11"/>
    <w:qFormat/>
    <w:rsid w:val="004F6237"/>
    <w:pPr>
      <w:numPr>
        <w:numId w:val="16"/>
      </w:numPr>
      <w:spacing w:before="0" w:after="0"/>
    </w:pPr>
  </w:style>
  <w:style w:type="character" w:styleId="CommentReference">
    <w:name w:val="annotation reference"/>
    <w:uiPriority w:val="99"/>
    <w:semiHidden/>
    <w:rsid w:val="004F6237"/>
    <w:rPr>
      <w:rFonts w:ascii="Calibri" w:hAnsi="Calibri"/>
      <w:sz w:val="16"/>
    </w:rPr>
  </w:style>
  <w:style w:type="paragraph" w:styleId="CommentText">
    <w:name w:val="annotation text"/>
    <w:basedOn w:val="Normal"/>
    <w:link w:val="CommentTextChar"/>
    <w:uiPriority w:val="99"/>
    <w:rsid w:val="004F6237"/>
  </w:style>
  <w:style w:type="character" w:styleId="EndnoteReference">
    <w:name w:val="endnote reference"/>
    <w:uiPriority w:val="49"/>
    <w:semiHidden/>
    <w:rsid w:val="004F6237"/>
    <w:rPr>
      <w:vertAlign w:val="superscript"/>
    </w:rPr>
  </w:style>
  <w:style w:type="paragraph" w:styleId="EndnoteText">
    <w:name w:val="endnote text"/>
    <w:basedOn w:val="Normal"/>
    <w:uiPriority w:val="49"/>
    <w:semiHidden/>
    <w:rsid w:val="004F6237"/>
  </w:style>
  <w:style w:type="paragraph" w:styleId="Footer">
    <w:name w:val="footer"/>
    <w:link w:val="FooterChar"/>
    <w:uiPriority w:val="99"/>
    <w:rsid w:val="004F6237"/>
    <w:pPr>
      <w:tabs>
        <w:tab w:val="right" w:pos="8220"/>
      </w:tabs>
      <w:jc w:val="right"/>
    </w:pPr>
    <w:rPr>
      <w:rFonts w:ascii="Calibri" w:hAnsi="Calibri" w:cs="Calibri"/>
      <w:noProof/>
      <w:szCs w:val="22"/>
    </w:rPr>
  </w:style>
  <w:style w:type="character" w:styleId="FootnoteReference">
    <w:name w:val="footnote reference"/>
    <w:uiPriority w:val="49"/>
    <w:semiHidden/>
    <w:rsid w:val="004F6237"/>
    <w:rPr>
      <w:vertAlign w:val="superscript"/>
    </w:rPr>
  </w:style>
  <w:style w:type="paragraph" w:styleId="FootnoteText">
    <w:name w:val="footnote text"/>
    <w:basedOn w:val="Normal"/>
    <w:uiPriority w:val="49"/>
    <w:semiHidden/>
    <w:rsid w:val="004F6237"/>
  </w:style>
  <w:style w:type="character" w:styleId="Hyperlink">
    <w:name w:val="Hyperlink"/>
    <w:uiPriority w:val="99"/>
    <w:rsid w:val="00C551C4"/>
    <w:rPr>
      <w:color w:val="53565A" w:themeColor="text2"/>
      <w:u w:val="single"/>
    </w:rPr>
  </w:style>
  <w:style w:type="character" w:styleId="LineNumber">
    <w:name w:val="line number"/>
    <w:basedOn w:val="DefaultParagraphFont"/>
    <w:uiPriority w:val="49"/>
    <w:semiHidden/>
    <w:rsid w:val="004F6237"/>
  </w:style>
  <w:style w:type="paragraph" w:styleId="MacroText">
    <w:name w:val="macro"/>
    <w:uiPriority w:val="49"/>
    <w:semiHidden/>
    <w:rsid w:val="004F6237"/>
    <w:rPr>
      <w:rFonts w:ascii="Calibri" w:hAnsi="Calibri" w:cs="Calibri"/>
      <w:sz w:val="22"/>
      <w:szCs w:val="22"/>
    </w:rPr>
  </w:style>
  <w:style w:type="character" w:styleId="PageNumber">
    <w:name w:val="page number"/>
    <w:uiPriority w:val="49"/>
    <w:semiHidden/>
    <w:rsid w:val="004F6237"/>
    <w:rPr>
      <w:b/>
      <w:color w:val="4C4C4C"/>
      <w:sz w:val="28"/>
    </w:rPr>
  </w:style>
  <w:style w:type="paragraph" w:customStyle="1" w:styleId="NormalIndentItalics">
    <w:name w:val="Normal Indent Italics"/>
    <w:basedOn w:val="NormalIndent"/>
    <w:uiPriority w:val="13"/>
    <w:semiHidden/>
    <w:qFormat/>
    <w:rsid w:val="004F6237"/>
    <w:rPr>
      <w:i/>
    </w:rPr>
  </w:style>
  <w:style w:type="paragraph" w:styleId="TableofAuthorities">
    <w:name w:val="table of authorities"/>
    <w:basedOn w:val="Normal"/>
    <w:next w:val="Normal"/>
    <w:uiPriority w:val="39"/>
    <w:semiHidden/>
    <w:rsid w:val="004F6237"/>
    <w:pPr>
      <w:tabs>
        <w:tab w:val="right" w:pos="9072"/>
      </w:tabs>
      <w:ind w:left="200" w:hanging="200"/>
    </w:pPr>
  </w:style>
  <w:style w:type="table" w:styleId="TableGrid">
    <w:name w:val="Table Grid"/>
    <w:basedOn w:val="TableNormal"/>
    <w:semiHidden/>
    <w:rsid w:val="004F6237"/>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4F6237"/>
    <w:pPr>
      <w:spacing w:before="0" w:line="240" w:lineRule="auto"/>
    </w:pPr>
    <w:rPr>
      <w:b/>
      <w:color w:val="660B68"/>
      <w:sz w:val="40"/>
    </w:rPr>
  </w:style>
  <w:style w:type="paragraph" w:styleId="TOC1">
    <w:name w:val="toc 1"/>
    <w:basedOn w:val="Normal"/>
    <w:next w:val="Normal"/>
    <w:uiPriority w:val="39"/>
    <w:semiHidden/>
    <w:rsid w:val="004F623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4F623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4F6237"/>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4F6237"/>
    <w:pPr>
      <w:tabs>
        <w:tab w:val="left" w:pos="1701"/>
      </w:tabs>
      <w:spacing w:before="0"/>
      <w:ind w:left="0" w:right="-7" w:firstLine="0"/>
    </w:pPr>
    <w:rPr>
      <w:caps/>
      <w:color w:val="800000"/>
    </w:rPr>
  </w:style>
  <w:style w:type="paragraph" w:styleId="Date">
    <w:name w:val="Date"/>
    <w:basedOn w:val="Normal"/>
    <w:next w:val="Normal"/>
    <w:uiPriority w:val="49"/>
    <w:semiHidden/>
    <w:rsid w:val="004F6237"/>
    <w:pPr>
      <w:ind w:left="1411"/>
    </w:pPr>
  </w:style>
  <w:style w:type="paragraph" w:customStyle="1" w:styleId="Quotation">
    <w:name w:val="Quotation"/>
    <w:basedOn w:val="Normal"/>
    <w:next w:val="Normal"/>
    <w:uiPriority w:val="49"/>
    <w:semiHidden/>
    <w:rsid w:val="004F6237"/>
    <w:pPr>
      <w:keepLines/>
      <w:spacing w:before="40"/>
      <w:jc w:val="center"/>
    </w:pPr>
    <w:rPr>
      <w:i/>
      <w:iCs/>
      <w:color w:val="003399"/>
      <w:sz w:val="18"/>
      <w:lang w:eastAsia="en-US"/>
    </w:rPr>
  </w:style>
  <w:style w:type="paragraph" w:styleId="TOC6">
    <w:name w:val="toc 6"/>
    <w:basedOn w:val="Normal"/>
    <w:next w:val="Normal"/>
    <w:autoRedefine/>
    <w:uiPriority w:val="49"/>
    <w:semiHidden/>
    <w:rsid w:val="004F6237"/>
    <w:pPr>
      <w:spacing w:before="40" w:after="20"/>
      <w:ind w:left="1418" w:hanging="1418"/>
    </w:pPr>
    <w:rPr>
      <w:b/>
      <w:sz w:val="16"/>
    </w:rPr>
  </w:style>
  <w:style w:type="paragraph" w:styleId="TOC7">
    <w:name w:val="toc 7"/>
    <w:basedOn w:val="Normal"/>
    <w:next w:val="Normal"/>
    <w:autoRedefine/>
    <w:uiPriority w:val="49"/>
    <w:semiHidden/>
    <w:rsid w:val="004F6237"/>
    <w:pPr>
      <w:ind w:left="1440"/>
    </w:pPr>
  </w:style>
  <w:style w:type="paragraph" w:styleId="TOC8">
    <w:name w:val="toc 8"/>
    <w:basedOn w:val="Normal"/>
    <w:next w:val="Normal"/>
    <w:autoRedefine/>
    <w:uiPriority w:val="49"/>
    <w:semiHidden/>
    <w:rsid w:val="004F6237"/>
    <w:pPr>
      <w:ind w:left="1680"/>
    </w:pPr>
  </w:style>
  <w:style w:type="paragraph" w:styleId="TOC9">
    <w:name w:val="toc 9"/>
    <w:basedOn w:val="Normal"/>
    <w:next w:val="Normal"/>
    <w:autoRedefine/>
    <w:uiPriority w:val="49"/>
    <w:semiHidden/>
    <w:rsid w:val="004F6237"/>
    <w:pPr>
      <w:ind w:left="2835" w:right="2835"/>
    </w:pPr>
  </w:style>
  <w:style w:type="numbering" w:styleId="111111">
    <w:name w:val="Outline List 2"/>
    <w:basedOn w:val="NoList"/>
    <w:uiPriority w:val="99"/>
    <w:semiHidden/>
    <w:unhideWhenUsed/>
    <w:rsid w:val="004F6237"/>
    <w:pPr>
      <w:numPr>
        <w:numId w:val="13"/>
      </w:numPr>
    </w:pPr>
  </w:style>
  <w:style w:type="paragraph" w:styleId="BodyText2">
    <w:name w:val="Body Text 2"/>
    <w:basedOn w:val="Normal"/>
    <w:semiHidden/>
    <w:rsid w:val="004F6237"/>
    <w:pPr>
      <w:spacing w:line="480" w:lineRule="auto"/>
    </w:pPr>
  </w:style>
  <w:style w:type="numbering" w:styleId="1ai">
    <w:name w:val="Outline List 1"/>
    <w:basedOn w:val="NoList"/>
    <w:uiPriority w:val="99"/>
    <w:semiHidden/>
    <w:unhideWhenUsed/>
    <w:rsid w:val="004F6237"/>
    <w:pPr>
      <w:numPr>
        <w:numId w:val="14"/>
      </w:numPr>
    </w:pPr>
  </w:style>
  <w:style w:type="paragraph" w:customStyle="1" w:styleId="ListBulletBold">
    <w:name w:val="List Bullet Bold"/>
    <w:basedOn w:val="Normal"/>
    <w:next w:val="Normal"/>
    <w:uiPriority w:val="49"/>
    <w:semiHidden/>
    <w:rsid w:val="004F6237"/>
    <w:rPr>
      <w:b/>
    </w:rPr>
  </w:style>
  <w:style w:type="paragraph" w:styleId="BalloonText">
    <w:name w:val="Balloon Text"/>
    <w:basedOn w:val="Normal"/>
    <w:uiPriority w:val="49"/>
    <w:semiHidden/>
    <w:rsid w:val="004F6237"/>
    <w:rPr>
      <w:sz w:val="16"/>
      <w:szCs w:val="16"/>
    </w:rPr>
  </w:style>
  <w:style w:type="paragraph" w:styleId="BlockText">
    <w:name w:val="Block Text"/>
    <w:basedOn w:val="Normal"/>
    <w:uiPriority w:val="49"/>
    <w:semiHidden/>
    <w:rsid w:val="004F6237"/>
    <w:pPr>
      <w:ind w:left="1440" w:right="1440"/>
    </w:pPr>
  </w:style>
  <w:style w:type="paragraph" w:styleId="BodyText3">
    <w:name w:val="Body Text 3"/>
    <w:basedOn w:val="Normal"/>
    <w:semiHidden/>
    <w:rsid w:val="004F6237"/>
    <w:rPr>
      <w:sz w:val="16"/>
      <w:szCs w:val="16"/>
    </w:rPr>
  </w:style>
  <w:style w:type="paragraph" w:styleId="BodyTextFirstIndent">
    <w:name w:val="Body Text First Indent"/>
    <w:basedOn w:val="BodyText"/>
    <w:semiHidden/>
    <w:rsid w:val="004F6237"/>
    <w:pPr>
      <w:ind w:firstLine="210"/>
    </w:pPr>
  </w:style>
  <w:style w:type="paragraph" w:styleId="BodyTextIndent">
    <w:name w:val="Body Text Indent"/>
    <w:basedOn w:val="Normal"/>
    <w:semiHidden/>
    <w:rsid w:val="004F6237"/>
    <w:pPr>
      <w:ind w:left="283"/>
    </w:pPr>
  </w:style>
  <w:style w:type="paragraph" w:styleId="BodyTextFirstIndent2">
    <w:name w:val="Body Text First Indent 2"/>
    <w:basedOn w:val="BodyTextIndent"/>
    <w:semiHidden/>
    <w:rsid w:val="004F6237"/>
    <w:pPr>
      <w:ind w:firstLine="210"/>
    </w:pPr>
  </w:style>
  <w:style w:type="paragraph" w:styleId="BodyTextIndent2">
    <w:name w:val="Body Text Indent 2"/>
    <w:basedOn w:val="Normal"/>
    <w:semiHidden/>
    <w:rsid w:val="004F6237"/>
    <w:pPr>
      <w:spacing w:line="480" w:lineRule="auto"/>
      <w:ind w:left="283"/>
    </w:pPr>
  </w:style>
  <w:style w:type="paragraph" w:styleId="BodyTextIndent3">
    <w:name w:val="Body Text Indent 3"/>
    <w:basedOn w:val="Normal"/>
    <w:semiHidden/>
    <w:rsid w:val="004F6237"/>
    <w:pPr>
      <w:ind w:left="283"/>
    </w:pPr>
    <w:rPr>
      <w:sz w:val="16"/>
      <w:szCs w:val="16"/>
    </w:rPr>
  </w:style>
  <w:style w:type="paragraph" w:styleId="NoteHeading">
    <w:name w:val="Note Heading"/>
    <w:basedOn w:val="Normal"/>
    <w:next w:val="Normal"/>
    <w:semiHidden/>
    <w:rsid w:val="004F6237"/>
  </w:style>
  <w:style w:type="paragraph" w:styleId="Closing">
    <w:name w:val="Closing"/>
    <w:basedOn w:val="Normal"/>
    <w:uiPriority w:val="49"/>
    <w:semiHidden/>
    <w:rsid w:val="004F6237"/>
    <w:pPr>
      <w:ind w:left="4252"/>
    </w:pPr>
  </w:style>
  <w:style w:type="paragraph" w:styleId="CommentSubject">
    <w:name w:val="annotation subject"/>
    <w:basedOn w:val="CommentText"/>
    <w:next w:val="CommentText"/>
    <w:uiPriority w:val="49"/>
    <w:semiHidden/>
    <w:rsid w:val="004F6237"/>
    <w:rPr>
      <w:b/>
      <w:bCs/>
    </w:rPr>
  </w:style>
  <w:style w:type="paragraph" w:styleId="DocumentMap">
    <w:name w:val="Document Map"/>
    <w:basedOn w:val="Normal"/>
    <w:uiPriority w:val="49"/>
    <w:semiHidden/>
    <w:rsid w:val="004F6237"/>
    <w:pPr>
      <w:shd w:val="clear" w:color="auto" w:fill="000080"/>
    </w:pPr>
  </w:style>
  <w:style w:type="paragraph" w:styleId="E-mailSignature">
    <w:name w:val="E-mail Signature"/>
    <w:basedOn w:val="Normal"/>
    <w:uiPriority w:val="49"/>
    <w:semiHidden/>
    <w:rsid w:val="004F6237"/>
  </w:style>
  <w:style w:type="paragraph" w:styleId="EnvelopeAddress">
    <w:name w:val="envelope address"/>
    <w:basedOn w:val="Normal"/>
    <w:uiPriority w:val="49"/>
    <w:semiHidden/>
    <w:rsid w:val="004F6237"/>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F6237"/>
  </w:style>
  <w:style w:type="paragraph" w:styleId="HTMLAddress">
    <w:name w:val="HTML Address"/>
    <w:basedOn w:val="Normal"/>
    <w:uiPriority w:val="49"/>
    <w:semiHidden/>
    <w:rsid w:val="004F6237"/>
    <w:rPr>
      <w:i/>
      <w:iCs/>
    </w:rPr>
  </w:style>
  <w:style w:type="paragraph" w:styleId="HTMLPreformatted">
    <w:name w:val="HTML Preformatted"/>
    <w:basedOn w:val="Normal"/>
    <w:uiPriority w:val="49"/>
    <w:semiHidden/>
    <w:rsid w:val="004F6237"/>
  </w:style>
  <w:style w:type="paragraph" w:styleId="Index1">
    <w:name w:val="index 1"/>
    <w:basedOn w:val="Normal"/>
    <w:next w:val="Normal"/>
    <w:autoRedefine/>
    <w:uiPriority w:val="49"/>
    <w:semiHidden/>
    <w:rsid w:val="004F6237"/>
    <w:pPr>
      <w:ind w:left="200" w:hanging="200"/>
    </w:pPr>
  </w:style>
  <w:style w:type="paragraph" w:styleId="Index2">
    <w:name w:val="index 2"/>
    <w:basedOn w:val="Normal"/>
    <w:next w:val="Normal"/>
    <w:autoRedefine/>
    <w:uiPriority w:val="49"/>
    <w:semiHidden/>
    <w:rsid w:val="004F6237"/>
    <w:pPr>
      <w:ind w:left="400" w:hanging="200"/>
    </w:pPr>
  </w:style>
  <w:style w:type="paragraph" w:styleId="Index3">
    <w:name w:val="index 3"/>
    <w:basedOn w:val="Normal"/>
    <w:next w:val="Normal"/>
    <w:autoRedefine/>
    <w:uiPriority w:val="49"/>
    <w:semiHidden/>
    <w:rsid w:val="004F6237"/>
    <w:pPr>
      <w:ind w:left="600" w:hanging="200"/>
    </w:pPr>
  </w:style>
  <w:style w:type="paragraph" w:styleId="Index4">
    <w:name w:val="index 4"/>
    <w:basedOn w:val="Normal"/>
    <w:next w:val="Normal"/>
    <w:autoRedefine/>
    <w:uiPriority w:val="49"/>
    <w:semiHidden/>
    <w:rsid w:val="004F6237"/>
    <w:pPr>
      <w:ind w:left="800" w:hanging="200"/>
    </w:pPr>
  </w:style>
  <w:style w:type="paragraph" w:styleId="Index5">
    <w:name w:val="index 5"/>
    <w:basedOn w:val="Normal"/>
    <w:next w:val="Normal"/>
    <w:autoRedefine/>
    <w:uiPriority w:val="49"/>
    <w:semiHidden/>
    <w:rsid w:val="004F6237"/>
    <w:pPr>
      <w:ind w:left="1000" w:hanging="200"/>
    </w:pPr>
  </w:style>
  <w:style w:type="paragraph" w:styleId="Index6">
    <w:name w:val="index 6"/>
    <w:basedOn w:val="Normal"/>
    <w:next w:val="Normal"/>
    <w:autoRedefine/>
    <w:uiPriority w:val="49"/>
    <w:semiHidden/>
    <w:rsid w:val="004F6237"/>
    <w:pPr>
      <w:ind w:left="1200" w:hanging="200"/>
    </w:pPr>
  </w:style>
  <w:style w:type="paragraph" w:styleId="Index7">
    <w:name w:val="index 7"/>
    <w:basedOn w:val="Normal"/>
    <w:next w:val="Normal"/>
    <w:autoRedefine/>
    <w:uiPriority w:val="49"/>
    <w:semiHidden/>
    <w:rsid w:val="004F6237"/>
    <w:pPr>
      <w:ind w:left="1400" w:hanging="200"/>
    </w:pPr>
  </w:style>
  <w:style w:type="paragraph" w:styleId="Index8">
    <w:name w:val="index 8"/>
    <w:basedOn w:val="Normal"/>
    <w:next w:val="Normal"/>
    <w:autoRedefine/>
    <w:uiPriority w:val="49"/>
    <w:semiHidden/>
    <w:rsid w:val="004F6237"/>
    <w:pPr>
      <w:ind w:left="1600" w:hanging="200"/>
    </w:pPr>
  </w:style>
  <w:style w:type="paragraph" w:styleId="Index9">
    <w:name w:val="index 9"/>
    <w:basedOn w:val="Normal"/>
    <w:next w:val="Normal"/>
    <w:autoRedefine/>
    <w:uiPriority w:val="49"/>
    <w:semiHidden/>
    <w:rsid w:val="004F6237"/>
    <w:pPr>
      <w:ind w:left="1800" w:hanging="200"/>
    </w:pPr>
  </w:style>
  <w:style w:type="paragraph" w:styleId="IndexHeading">
    <w:name w:val="index heading"/>
    <w:basedOn w:val="Normal"/>
    <w:next w:val="Index1"/>
    <w:uiPriority w:val="49"/>
    <w:semiHidden/>
    <w:rsid w:val="004F6237"/>
    <w:rPr>
      <w:b/>
      <w:bCs/>
    </w:rPr>
  </w:style>
  <w:style w:type="paragraph" w:styleId="List">
    <w:name w:val="List"/>
    <w:basedOn w:val="Normal"/>
    <w:uiPriority w:val="49"/>
    <w:semiHidden/>
    <w:rsid w:val="004F6237"/>
    <w:pPr>
      <w:ind w:left="283" w:hanging="283"/>
    </w:pPr>
  </w:style>
  <w:style w:type="paragraph" w:styleId="List2">
    <w:name w:val="List 2"/>
    <w:basedOn w:val="Normal"/>
    <w:uiPriority w:val="49"/>
    <w:semiHidden/>
    <w:rsid w:val="004F6237"/>
    <w:pPr>
      <w:ind w:left="566" w:hanging="283"/>
    </w:pPr>
  </w:style>
  <w:style w:type="paragraph" w:styleId="List3">
    <w:name w:val="List 3"/>
    <w:basedOn w:val="Normal"/>
    <w:uiPriority w:val="49"/>
    <w:semiHidden/>
    <w:rsid w:val="004F6237"/>
    <w:pPr>
      <w:ind w:left="849" w:hanging="283"/>
    </w:pPr>
  </w:style>
  <w:style w:type="paragraph" w:styleId="List4">
    <w:name w:val="List 4"/>
    <w:basedOn w:val="Normal"/>
    <w:uiPriority w:val="49"/>
    <w:semiHidden/>
    <w:rsid w:val="004F6237"/>
    <w:pPr>
      <w:ind w:left="1132" w:hanging="283"/>
    </w:pPr>
  </w:style>
  <w:style w:type="paragraph" w:styleId="List5">
    <w:name w:val="List 5"/>
    <w:basedOn w:val="Normal"/>
    <w:uiPriority w:val="49"/>
    <w:semiHidden/>
    <w:rsid w:val="004F6237"/>
    <w:pPr>
      <w:ind w:left="1415" w:hanging="283"/>
    </w:pPr>
  </w:style>
  <w:style w:type="paragraph" w:styleId="ListBullet4">
    <w:name w:val="List Bullet 4"/>
    <w:basedOn w:val="Normal"/>
    <w:uiPriority w:val="49"/>
    <w:semiHidden/>
    <w:rsid w:val="004F6237"/>
    <w:pPr>
      <w:tabs>
        <w:tab w:val="num" w:pos="1209"/>
      </w:tabs>
      <w:ind w:left="1209" w:hanging="360"/>
    </w:pPr>
  </w:style>
  <w:style w:type="paragraph" w:styleId="ListBullet5">
    <w:name w:val="List Bullet 5"/>
    <w:basedOn w:val="Normal"/>
    <w:uiPriority w:val="49"/>
    <w:semiHidden/>
    <w:rsid w:val="004F6237"/>
    <w:pPr>
      <w:tabs>
        <w:tab w:val="num" w:pos="1492"/>
      </w:tabs>
      <w:ind w:left="1492" w:hanging="360"/>
    </w:pPr>
  </w:style>
  <w:style w:type="paragraph" w:styleId="ListContinue4">
    <w:name w:val="List Continue 4"/>
    <w:basedOn w:val="Normal"/>
    <w:uiPriority w:val="49"/>
    <w:semiHidden/>
    <w:rsid w:val="004F6237"/>
    <w:pPr>
      <w:ind w:left="1132"/>
    </w:pPr>
  </w:style>
  <w:style w:type="paragraph" w:styleId="ListContinue5">
    <w:name w:val="List Continue 5"/>
    <w:basedOn w:val="Normal"/>
    <w:uiPriority w:val="49"/>
    <w:semiHidden/>
    <w:rsid w:val="004F6237"/>
    <w:pPr>
      <w:ind w:left="1415"/>
    </w:pPr>
  </w:style>
  <w:style w:type="paragraph" w:styleId="ListNumber4">
    <w:name w:val="List Number 4"/>
    <w:basedOn w:val="Normal"/>
    <w:uiPriority w:val="49"/>
    <w:semiHidden/>
    <w:rsid w:val="004F6237"/>
    <w:pPr>
      <w:tabs>
        <w:tab w:val="num" w:pos="1209"/>
      </w:tabs>
      <w:ind w:left="1209" w:hanging="360"/>
    </w:pPr>
  </w:style>
  <w:style w:type="paragraph" w:styleId="ListNumber5">
    <w:name w:val="List Number 5"/>
    <w:basedOn w:val="Normal"/>
    <w:uiPriority w:val="49"/>
    <w:semiHidden/>
    <w:rsid w:val="004F6237"/>
    <w:pPr>
      <w:tabs>
        <w:tab w:val="num" w:pos="1492"/>
      </w:tabs>
      <w:ind w:left="1492" w:hanging="360"/>
    </w:pPr>
  </w:style>
  <w:style w:type="paragraph" w:styleId="MessageHeader">
    <w:name w:val="Message Header"/>
    <w:basedOn w:val="Normal"/>
    <w:uiPriority w:val="49"/>
    <w:semiHidden/>
    <w:rsid w:val="004F623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4F6237"/>
    <w:rPr>
      <w:sz w:val="24"/>
      <w:szCs w:val="24"/>
    </w:rPr>
  </w:style>
  <w:style w:type="paragraph" w:styleId="PlainText">
    <w:name w:val="Plain Text"/>
    <w:basedOn w:val="Normal"/>
    <w:uiPriority w:val="49"/>
    <w:semiHidden/>
    <w:rsid w:val="004F6237"/>
  </w:style>
  <w:style w:type="paragraph" w:styleId="Salutation">
    <w:name w:val="Salutation"/>
    <w:basedOn w:val="Normal"/>
    <w:next w:val="Normal"/>
    <w:uiPriority w:val="49"/>
    <w:semiHidden/>
    <w:rsid w:val="004F6237"/>
  </w:style>
  <w:style w:type="paragraph" w:styleId="Signature">
    <w:name w:val="Signature"/>
    <w:basedOn w:val="Normal"/>
    <w:uiPriority w:val="49"/>
    <w:semiHidden/>
    <w:rsid w:val="004F6237"/>
    <w:pPr>
      <w:ind w:left="4252"/>
    </w:pPr>
  </w:style>
  <w:style w:type="paragraph" w:styleId="Subtitle">
    <w:name w:val="Subtitle"/>
    <w:basedOn w:val="Normal"/>
    <w:uiPriority w:val="29"/>
    <w:qFormat/>
    <w:rsid w:val="004F6237"/>
    <w:pPr>
      <w:spacing w:before="0" w:line="240" w:lineRule="auto"/>
    </w:pPr>
    <w:rPr>
      <w:color w:val="4C4C4C"/>
      <w:sz w:val="30"/>
      <w:szCs w:val="24"/>
      <w:lang w:eastAsia="en-US"/>
    </w:rPr>
  </w:style>
  <w:style w:type="paragraph" w:styleId="TOAHeading">
    <w:name w:val="toa heading"/>
    <w:basedOn w:val="Normal"/>
    <w:next w:val="Normal"/>
    <w:uiPriority w:val="39"/>
    <w:semiHidden/>
    <w:rsid w:val="004F6237"/>
    <w:rPr>
      <w:b/>
      <w:bCs/>
      <w:sz w:val="24"/>
      <w:szCs w:val="24"/>
    </w:rPr>
  </w:style>
  <w:style w:type="paragraph" w:styleId="TOCHeading">
    <w:name w:val="TOC Heading"/>
    <w:uiPriority w:val="29"/>
    <w:unhideWhenUsed/>
    <w:qFormat/>
    <w:rsid w:val="004F6237"/>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92057D"/>
    <w:pPr>
      <w:numPr>
        <w:numId w:val="17"/>
      </w:numPr>
      <w:ind w:left="230" w:hanging="230"/>
    </w:pPr>
  </w:style>
  <w:style w:type="paragraph" w:customStyle="1" w:styleId="QuoteName">
    <w:name w:val="Quote Name"/>
    <w:basedOn w:val="Normal"/>
    <w:uiPriority w:val="49"/>
    <w:semiHidden/>
    <w:rsid w:val="004F6237"/>
    <w:pPr>
      <w:spacing w:after="0" w:line="240" w:lineRule="auto"/>
      <w:ind w:left="902" w:right="822"/>
      <w:jc w:val="right"/>
    </w:pPr>
    <w:rPr>
      <w:caps/>
      <w:color w:val="800000"/>
      <w:sz w:val="16"/>
    </w:rPr>
  </w:style>
  <w:style w:type="paragraph" w:styleId="Header">
    <w:name w:val="header"/>
    <w:basedOn w:val="Normal"/>
    <w:uiPriority w:val="24"/>
    <w:semiHidden/>
    <w:rsid w:val="004F623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4F6237"/>
    <w:pPr>
      <w:keepNext/>
      <w:keepLines/>
      <w:tabs>
        <w:tab w:val="left" w:pos="851"/>
      </w:tabs>
      <w:spacing w:before="240" w:line="240" w:lineRule="auto"/>
    </w:pPr>
    <w:rPr>
      <w:b/>
    </w:rPr>
  </w:style>
  <w:style w:type="paragraph" w:customStyle="1" w:styleId="TableDash">
    <w:name w:val="Table Dash"/>
    <w:basedOn w:val="Normal"/>
    <w:uiPriority w:val="10"/>
    <w:rsid w:val="004F6237"/>
    <w:pPr>
      <w:numPr>
        <w:ilvl w:val="1"/>
        <w:numId w:val="17"/>
      </w:numPr>
      <w:spacing w:before="0" w:after="0"/>
    </w:pPr>
    <w:rPr>
      <w:sz w:val="20"/>
    </w:rPr>
  </w:style>
  <w:style w:type="paragraph" w:styleId="ListBullet">
    <w:name w:val="List Bullet"/>
    <w:basedOn w:val="Normal"/>
    <w:uiPriority w:val="99"/>
    <w:semiHidden/>
    <w:rsid w:val="004F6237"/>
    <w:pPr>
      <w:numPr>
        <w:numId w:val="5"/>
      </w:numPr>
      <w:contextualSpacing/>
    </w:pPr>
  </w:style>
  <w:style w:type="paragraph" w:styleId="ListBullet2">
    <w:name w:val="List Bullet 2"/>
    <w:basedOn w:val="Normal"/>
    <w:uiPriority w:val="99"/>
    <w:semiHidden/>
    <w:rsid w:val="004F6237"/>
    <w:pPr>
      <w:numPr>
        <w:numId w:val="6"/>
      </w:numPr>
      <w:contextualSpacing/>
    </w:pPr>
  </w:style>
  <w:style w:type="paragraph" w:styleId="ListContinue">
    <w:name w:val="List Continue"/>
    <w:basedOn w:val="Normal"/>
    <w:uiPriority w:val="8"/>
    <w:semiHidden/>
    <w:qFormat/>
    <w:rsid w:val="004F6237"/>
    <w:pPr>
      <w:spacing w:before="0" w:after="0"/>
      <w:ind w:left="1077"/>
    </w:pPr>
  </w:style>
  <w:style w:type="paragraph" w:styleId="ListContinue2">
    <w:name w:val="List Continue 2"/>
    <w:basedOn w:val="Normal"/>
    <w:uiPriority w:val="8"/>
    <w:semiHidden/>
    <w:rsid w:val="004F6237"/>
    <w:pPr>
      <w:spacing w:before="0" w:after="0"/>
      <w:ind w:left="1361"/>
    </w:pPr>
  </w:style>
  <w:style w:type="paragraph" w:customStyle="1" w:styleId="Spacer">
    <w:name w:val="Spacer"/>
    <w:basedOn w:val="Normal"/>
    <w:uiPriority w:val="13"/>
    <w:qFormat/>
    <w:rsid w:val="004F6237"/>
    <w:pPr>
      <w:spacing w:before="0" w:after="0" w:line="120" w:lineRule="atLeast"/>
    </w:pPr>
    <w:rPr>
      <w:sz w:val="12"/>
    </w:rPr>
  </w:style>
  <w:style w:type="paragraph" w:customStyle="1" w:styleId="Pictwide">
    <w:name w:val="Pict wide"/>
    <w:basedOn w:val="Normal"/>
    <w:next w:val="Normal"/>
    <w:uiPriority w:val="13"/>
    <w:semiHidden/>
    <w:qFormat/>
    <w:rsid w:val="004F6237"/>
    <w:pPr>
      <w:widowControl w:val="0"/>
      <w:spacing w:before="160" w:after="320" w:line="240" w:lineRule="auto"/>
    </w:pPr>
    <w:rPr>
      <w:sz w:val="24"/>
    </w:rPr>
  </w:style>
  <w:style w:type="paragraph" w:styleId="TOC4">
    <w:name w:val="toc 4"/>
    <w:basedOn w:val="Normal"/>
    <w:next w:val="Normal"/>
    <w:autoRedefine/>
    <w:uiPriority w:val="39"/>
    <w:semiHidden/>
    <w:unhideWhenUsed/>
    <w:rsid w:val="004F6237"/>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4F6237"/>
    <w:pPr>
      <w:spacing w:before="0" w:after="0"/>
      <w:ind w:left="1644"/>
    </w:pPr>
  </w:style>
  <w:style w:type="paragraph" w:styleId="ListBullet3">
    <w:name w:val="List Bullet 3"/>
    <w:basedOn w:val="Normal"/>
    <w:uiPriority w:val="99"/>
    <w:semiHidden/>
    <w:unhideWhenUsed/>
    <w:rsid w:val="004F6237"/>
    <w:pPr>
      <w:numPr>
        <w:numId w:val="7"/>
      </w:numPr>
      <w:contextualSpacing/>
    </w:pPr>
  </w:style>
  <w:style w:type="paragraph" w:customStyle="1" w:styleId="TableText">
    <w:name w:val="Table Text"/>
    <w:basedOn w:val="Normal"/>
    <w:uiPriority w:val="15"/>
    <w:qFormat/>
    <w:rsid w:val="004F6237"/>
    <w:pPr>
      <w:spacing w:before="60" w:after="60" w:line="240" w:lineRule="auto"/>
    </w:pPr>
    <w:rPr>
      <w:sz w:val="20"/>
    </w:rPr>
  </w:style>
  <w:style w:type="numbering" w:styleId="ArticleSection">
    <w:name w:val="Outline List 3"/>
    <w:basedOn w:val="NoList"/>
    <w:uiPriority w:val="99"/>
    <w:semiHidden/>
    <w:unhideWhenUsed/>
    <w:rsid w:val="004F6237"/>
    <w:pPr>
      <w:numPr>
        <w:numId w:val="15"/>
      </w:numPr>
    </w:pPr>
  </w:style>
  <w:style w:type="paragraph" w:styleId="ListNumber">
    <w:name w:val="List Number"/>
    <w:basedOn w:val="Normal"/>
    <w:uiPriority w:val="7"/>
    <w:semiHidden/>
    <w:qFormat/>
    <w:rsid w:val="004F6237"/>
    <w:pPr>
      <w:numPr>
        <w:numId w:val="18"/>
      </w:numPr>
      <w:contextualSpacing/>
    </w:pPr>
  </w:style>
  <w:style w:type="table" w:styleId="ColorfulGrid">
    <w:name w:val="Colorful Grid"/>
    <w:basedOn w:val="TableNormal"/>
    <w:uiPriority w:val="73"/>
    <w:semiHidden/>
    <w:rsid w:val="004F623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92057D"/>
    <w:pPr>
      <w:keepNext/>
      <w:spacing w:before="40" w:after="40"/>
    </w:pPr>
    <w:rPr>
      <w:rFonts w:asciiTheme="minorHAnsi" w:hAnsiTheme="minorHAnsi"/>
      <w:color w:val="53565A" w:themeColor="text2"/>
      <w:sz w:val="22"/>
    </w:rPr>
  </w:style>
  <w:style w:type="paragraph" w:customStyle="1" w:styleId="CaptionTable">
    <w:name w:val="Caption Table"/>
    <w:basedOn w:val="Normal"/>
    <w:uiPriority w:val="14"/>
    <w:semiHidden/>
    <w:rsid w:val="004F6237"/>
    <w:rPr>
      <w:b/>
    </w:rPr>
  </w:style>
  <w:style w:type="paragraph" w:styleId="ListNumber2">
    <w:name w:val="List Number 2"/>
    <w:basedOn w:val="Normal"/>
    <w:uiPriority w:val="7"/>
    <w:semiHidden/>
    <w:rsid w:val="004F6237"/>
    <w:pPr>
      <w:numPr>
        <w:ilvl w:val="1"/>
        <w:numId w:val="18"/>
      </w:numPr>
      <w:contextualSpacing/>
    </w:pPr>
  </w:style>
  <w:style w:type="table" w:styleId="ColorfulGrid-Accent2">
    <w:name w:val="Colorful Grid Accent 2"/>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4F6237"/>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623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4F6237"/>
    <w:pPr>
      <w:numPr>
        <w:ilvl w:val="1"/>
      </w:numPr>
    </w:pPr>
  </w:style>
  <w:style w:type="paragraph" w:customStyle="1" w:styleId="Bullet3">
    <w:name w:val="Bullet 3"/>
    <w:basedOn w:val="Bullet2"/>
    <w:uiPriority w:val="11"/>
    <w:qFormat/>
    <w:rsid w:val="004F6237"/>
    <w:pPr>
      <w:numPr>
        <w:ilvl w:val="2"/>
      </w:numPr>
    </w:pPr>
  </w:style>
  <w:style w:type="paragraph" w:styleId="TableofFigures">
    <w:name w:val="table of figures"/>
    <w:basedOn w:val="TOCHeading"/>
    <w:next w:val="Normal"/>
    <w:uiPriority w:val="99"/>
    <w:semiHidden/>
    <w:unhideWhenUsed/>
    <w:rsid w:val="004F6237"/>
    <w:pPr>
      <w:spacing w:after="0"/>
      <w:ind w:left="0"/>
    </w:pPr>
  </w:style>
  <w:style w:type="paragraph" w:styleId="ListNumber3">
    <w:name w:val="List Number 3"/>
    <w:basedOn w:val="Normal"/>
    <w:uiPriority w:val="7"/>
    <w:semiHidden/>
    <w:rsid w:val="004F6237"/>
    <w:pPr>
      <w:numPr>
        <w:ilvl w:val="2"/>
        <w:numId w:val="18"/>
      </w:numPr>
      <w:contextualSpacing/>
    </w:pPr>
  </w:style>
  <w:style w:type="table" w:styleId="LightShading-Accent1">
    <w:name w:val="Light Shading Accent 1"/>
    <w:basedOn w:val="TableNormal"/>
    <w:uiPriority w:val="60"/>
    <w:semiHidden/>
    <w:rsid w:val="004F6237"/>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4F6237"/>
    <w:pPr>
      <w:spacing w:line="240" w:lineRule="auto"/>
    </w:pPr>
    <w:rPr>
      <w:i/>
      <w:sz w:val="18"/>
    </w:rPr>
  </w:style>
  <w:style w:type="paragraph" w:customStyle="1" w:styleId="FrontPagesLeft">
    <w:name w:val="Front Pages Left"/>
    <w:basedOn w:val="Normal"/>
    <w:uiPriority w:val="31"/>
    <w:semiHidden/>
    <w:qFormat/>
    <w:rsid w:val="004F6237"/>
    <w:pPr>
      <w:spacing w:before="0" w:after="0" w:line="200" w:lineRule="atLeast"/>
      <w:ind w:right="6237"/>
    </w:pPr>
    <w:rPr>
      <w:color w:val="000000"/>
      <w:sz w:val="18"/>
      <w:lang w:eastAsia="en-US"/>
    </w:rPr>
  </w:style>
  <w:style w:type="paragraph" w:styleId="ListParagraph">
    <w:name w:val="List Paragraph"/>
    <w:basedOn w:val="Normal"/>
    <w:uiPriority w:val="1"/>
    <w:qFormat/>
    <w:rsid w:val="004F6237"/>
    <w:pPr>
      <w:ind w:left="720"/>
      <w:contextualSpacing/>
    </w:pPr>
  </w:style>
  <w:style w:type="paragraph" w:styleId="NormalIndent">
    <w:name w:val="Normal Indent"/>
    <w:basedOn w:val="Normal"/>
    <w:semiHidden/>
    <w:rsid w:val="004F6237"/>
    <w:pPr>
      <w:spacing w:line="240" w:lineRule="exact"/>
      <w:ind w:left="1077" w:right="284"/>
    </w:pPr>
  </w:style>
  <w:style w:type="table" w:styleId="ColorfulGrid-Accent3">
    <w:name w:val="Colorful Grid Accent 3"/>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4F623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4F6237"/>
    <w:rPr>
      <w:rFonts w:ascii="Calibri" w:hAnsi="Calibri"/>
      <w:b/>
      <w:bCs/>
      <w:smallCaps/>
      <w:spacing w:val="5"/>
    </w:rPr>
  </w:style>
  <w:style w:type="character" w:styleId="Emphasis">
    <w:name w:val="Emphasis"/>
    <w:uiPriority w:val="20"/>
    <w:semiHidden/>
    <w:qFormat/>
    <w:rsid w:val="004F6237"/>
    <w:rPr>
      <w:i/>
      <w:iCs/>
    </w:rPr>
  </w:style>
  <w:style w:type="character" w:styleId="FollowedHyperlink">
    <w:name w:val="FollowedHyperlink"/>
    <w:uiPriority w:val="99"/>
    <w:semiHidden/>
    <w:unhideWhenUsed/>
    <w:rsid w:val="004F6237"/>
    <w:rPr>
      <w:color w:val="800080"/>
      <w:u w:val="single"/>
    </w:rPr>
  </w:style>
  <w:style w:type="character" w:styleId="HTMLAcronym">
    <w:name w:val="HTML Acronym"/>
    <w:basedOn w:val="DefaultParagraphFont"/>
    <w:uiPriority w:val="99"/>
    <w:semiHidden/>
    <w:rsid w:val="004F6237"/>
  </w:style>
  <w:style w:type="character" w:styleId="HTMLCite">
    <w:name w:val="HTML Cite"/>
    <w:uiPriority w:val="99"/>
    <w:semiHidden/>
    <w:rsid w:val="004F6237"/>
    <w:rPr>
      <w:i/>
      <w:iCs/>
    </w:rPr>
  </w:style>
  <w:style w:type="character" w:styleId="HTMLCode">
    <w:name w:val="HTML Code"/>
    <w:uiPriority w:val="99"/>
    <w:semiHidden/>
    <w:rsid w:val="004F6237"/>
    <w:rPr>
      <w:sz w:val="20"/>
      <w:szCs w:val="20"/>
    </w:rPr>
  </w:style>
  <w:style w:type="character" w:styleId="HTMLDefinition">
    <w:name w:val="HTML Definition"/>
    <w:uiPriority w:val="99"/>
    <w:semiHidden/>
    <w:rsid w:val="004F6237"/>
    <w:rPr>
      <w:i/>
      <w:iCs/>
    </w:rPr>
  </w:style>
  <w:style w:type="character" w:styleId="HTMLKeyboard">
    <w:name w:val="HTML Keyboard"/>
    <w:uiPriority w:val="99"/>
    <w:semiHidden/>
    <w:rsid w:val="004F6237"/>
    <w:rPr>
      <w:sz w:val="20"/>
      <w:szCs w:val="20"/>
    </w:rPr>
  </w:style>
  <w:style w:type="character" w:styleId="HTMLSample">
    <w:name w:val="HTML Sample"/>
    <w:uiPriority w:val="99"/>
    <w:semiHidden/>
    <w:rsid w:val="004F6237"/>
    <w:rPr>
      <w:sz w:val="24"/>
      <w:szCs w:val="24"/>
    </w:rPr>
  </w:style>
  <w:style w:type="character" w:styleId="HTMLTypewriter">
    <w:name w:val="HTML Typewriter"/>
    <w:uiPriority w:val="99"/>
    <w:semiHidden/>
    <w:rsid w:val="004F6237"/>
    <w:rPr>
      <w:sz w:val="20"/>
      <w:szCs w:val="20"/>
    </w:rPr>
  </w:style>
  <w:style w:type="character" w:styleId="HTMLVariable">
    <w:name w:val="HTML Variable"/>
    <w:uiPriority w:val="99"/>
    <w:semiHidden/>
    <w:rsid w:val="004F6237"/>
    <w:rPr>
      <w:i/>
      <w:iCs/>
    </w:rPr>
  </w:style>
  <w:style w:type="character" w:styleId="PlaceholderText">
    <w:name w:val="Placeholder Text"/>
    <w:uiPriority w:val="99"/>
    <w:semiHidden/>
    <w:rsid w:val="004F6237"/>
    <w:rPr>
      <w:color w:val="808080"/>
    </w:rPr>
  </w:style>
  <w:style w:type="paragraph" w:customStyle="1" w:styleId="Attachment1">
    <w:name w:val="Attachment 1"/>
    <w:next w:val="Normal"/>
    <w:uiPriority w:val="19"/>
    <w:semiHidden/>
    <w:qFormat/>
    <w:rsid w:val="004F6237"/>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4F6237"/>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F6237"/>
    <w:pPr>
      <w:spacing w:line="240" w:lineRule="auto"/>
      <w:contextualSpacing/>
    </w:pPr>
    <w:rPr>
      <w:b w:val="0"/>
      <w:sz w:val="40"/>
      <w:szCs w:val="40"/>
    </w:rPr>
  </w:style>
  <w:style w:type="paragraph" w:customStyle="1" w:styleId="NoteNormal">
    <w:name w:val="Note Normal"/>
    <w:basedOn w:val="Normal"/>
    <w:next w:val="Normal"/>
    <w:uiPriority w:val="49"/>
    <w:rsid w:val="004F623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4F623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4F623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4F6237"/>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4F623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4F6237"/>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4F6237"/>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4F6237"/>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4F623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4F623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4F623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4F623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4F623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4F623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4F623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4F623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4F623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4F623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4F623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4F623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4F623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4F623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4F6237"/>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4F6237"/>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4F6237"/>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4F6237"/>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4F6237"/>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4F623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4F623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4F623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4F623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4F623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F623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F623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F6237"/>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6237"/>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6237"/>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6237"/>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6237"/>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6237"/>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6237"/>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6237"/>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F6237"/>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6237"/>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6237"/>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6237"/>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6237"/>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6237"/>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F6237"/>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6237"/>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6237"/>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6237"/>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6237"/>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6237"/>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F6237"/>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6237"/>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6237"/>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6237"/>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F6237"/>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6237"/>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6237"/>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6237"/>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6237"/>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F6237"/>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6237"/>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6237"/>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4F6237"/>
    <w:pPr>
      <w:numPr>
        <w:ilvl w:val="0"/>
      </w:numPr>
    </w:pPr>
  </w:style>
  <w:style w:type="paragraph" w:customStyle="1" w:styleId="Num1">
    <w:name w:val="Num1"/>
    <w:basedOn w:val="Normal"/>
    <w:rsid w:val="004F6237"/>
    <w:pPr>
      <w:numPr>
        <w:numId w:val="28"/>
      </w:numPr>
    </w:pPr>
  </w:style>
  <w:style w:type="character" w:customStyle="1" w:styleId="FooterChar">
    <w:name w:val="Footer Char"/>
    <w:basedOn w:val="DefaultParagraphFont"/>
    <w:link w:val="Footer"/>
    <w:uiPriority w:val="99"/>
    <w:rsid w:val="004F6237"/>
    <w:rPr>
      <w:rFonts w:ascii="Calibri" w:hAnsi="Calibri" w:cs="Calibri"/>
      <w:noProof/>
      <w:szCs w:val="22"/>
    </w:rPr>
  </w:style>
  <w:style w:type="paragraph" w:customStyle="1" w:styleId="Num2">
    <w:name w:val="Num2"/>
    <w:basedOn w:val="Normal"/>
    <w:rsid w:val="004F6237"/>
    <w:pPr>
      <w:numPr>
        <w:ilvl w:val="1"/>
        <w:numId w:val="28"/>
      </w:numPr>
    </w:pPr>
  </w:style>
  <w:style w:type="paragraph" w:customStyle="1" w:styleId="Num3">
    <w:name w:val="Num3"/>
    <w:basedOn w:val="Normal"/>
    <w:rsid w:val="004F6237"/>
    <w:pPr>
      <w:numPr>
        <w:ilvl w:val="2"/>
        <w:numId w:val="28"/>
      </w:numPr>
    </w:pPr>
  </w:style>
  <w:style w:type="paragraph" w:customStyle="1" w:styleId="NoteNormalshaded">
    <w:name w:val="Note Normal shaded"/>
    <w:basedOn w:val="NoteNormal"/>
    <w:qFormat/>
    <w:rsid w:val="004F6237"/>
    <w:pPr>
      <w:shd w:val="clear" w:color="auto" w:fill="D9D9D9" w:themeFill="background1" w:themeFillShade="D9"/>
    </w:pPr>
    <w:rPr>
      <w:sz w:val="20"/>
    </w:rPr>
  </w:style>
  <w:style w:type="paragraph" w:customStyle="1" w:styleId="NoteNormalshadedbullet">
    <w:name w:val="Note Normal shaded bullet"/>
    <w:basedOn w:val="NoteNormalshaded"/>
    <w:qFormat/>
    <w:rsid w:val="004F6237"/>
    <w:pPr>
      <w:numPr>
        <w:numId w:val="29"/>
      </w:numPr>
      <w:ind w:left="360"/>
    </w:pPr>
  </w:style>
  <w:style w:type="paragraph" w:customStyle="1" w:styleId="TableBulletDash">
    <w:name w:val="Table Bullet Dash"/>
    <w:basedOn w:val="Normal"/>
    <w:uiPriority w:val="10"/>
    <w:semiHidden/>
    <w:rsid w:val="004F6237"/>
    <w:pPr>
      <w:tabs>
        <w:tab w:val="num" w:pos="454"/>
      </w:tabs>
      <w:spacing w:before="0" w:after="0" w:line="240" w:lineRule="auto"/>
      <w:ind w:left="454" w:hanging="227"/>
    </w:pPr>
  </w:style>
  <w:style w:type="character" w:styleId="UnresolvedMention">
    <w:name w:val="Unresolved Mention"/>
    <w:basedOn w:val="DefaultParagraphFont"/>
    <w:uiPriority w:val="99"/>
    <w:semiHidden/>
    <w:unhideWhenUsed/>
    <w:rsid w:val="00CE3DDF"/>
    <w:rPr>
      <w:color w:val="808080"/>
      <w:shd w:val="clear" w:color="auto" w:fill="E6E6E6"/>
    </w:rPr>
  </w:style>
  <w:style w:type="character" w:customStyle="1" w:styleId="CommentTextChar">
    <w:name w:val="Comment Text Char"/>
    <w:basedOn w:val="DefaultParagraphFont"/>
    <w:link w:val="CommentText"/>
    <w:uiPriority w:val="99"/>
    <w:rsid w:val="004F4904"/>
    <w:rPr>
      <w:rFonts w:ascii="Calibri" w:hAnsi="Calibri" w:cs="Calibri"/>
      <w:sz w:val="22"/>
      <w:szCs w:val="22"/>
    </w:rPr>
  </w:style>
  <w:style w:type="table" w:styleId="PlainTable2">
    <w:name w:val="Plain Table 2"/>
    <w:basedOn w:val="TableNormal"/>
    <w:uiPriority w:val="42"/>
    <w:rsid w:val="00B329C5"/>
    <w:rPr>
      <w:rFonts w:asciiTheme="minorHAnsi" w:hAnsiTheme="minorHAnsi"/>
    </w:rPr>
    <w:tblPr>
      <w:tblStyleRowBandSize w:val="1"/>
      <w:tblStyleColBandSize w:val="1"/>
      <w:tblBorders>
        <w:top w:val="single" w:sz="4" w:space="0" w:color="87189D" w:themeColor="accent3"/>
        <w:bottom w:val="single" w:sz="4" w:space="0" w:color="87189D" w:themeColor="accent3"/>
        <w:insideH w:val="single" w:sz="4" w:space="0" w:color="87189D" w:themeColor="accent3"/>
      </w:tblBorders>
    </w:tblPr>
    <w:tblStylePr w:type="fir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la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V w:val="single" w:sz="4" w:space="0" w:color="87189D" w:themeColor="accent3"/>
        </w:tcBorders>
      </w:tcPr>
    </w:tblStylePr>
    <w:tblStylePr w:type="band2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style>
  <w:style w:type="table" w:styleId="PlainTable3">
    <w:name w:val="Plain Table 3"/>
    <w:basedOn w:val="TableNormal"/>
    <w:uiPriority w:val="43"/>
    <w:rsid w:val="009205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809122">
      <w:bodyDiv w:val="1"/>
      <w:marLeft w:val="0"/>
      <w:marRight w:val="0"/>
      <w:marTop w:val="0"/>
      <w:marBottom w:val="0"/>
      <w:divBdr>
        <w:top w:val="none" w:sz="0" w:space="0" w:color="auto"/>
        <w:left w:val="none" w:sz="0" w:space="0" w:color="auto"/>
        <w:bottom w:val="none" w:sz="0" w:space="0" w:color="auto"/>
        <w:right w:val="none" w:sz="0" w:space="0" w:color="auto"/>
      </w:divBdr>
    </w:div>
    <w:div w:id="20469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yingfor.vic.gov.au/emergency-procurement-plan-template-goods-and-services" TargetMode="External"/><Relationship Id="rId18" Type="http://schemas.openxmlformats.org/officeDocument/2006/relationships/hyperlink" Target="http://creativecommons.org/licenses/by/4.0/"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buyingfor.vic.gov.au/develop-emergency-procurement-plan-goods-and-service-guide"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yingfor.vic.gov.au/governance-goods-and-services-polic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buyingfor.vic.gov.au/goods-services-supply-policies" TargetMode="External"/><Relationship Id="rId23" Type="http://schemas.openxmlformats.org/officeDocument/2006/relationships/footer" Target="footer2.xml"/><Relationship Id="rId10" Type="http://schemas.openxmlformats.org/officeDocument/2006/relationships/hyperlink" Target="https://www.buyingfor.vic.gov.au/goods-and-services-mandated-agencies" TargetMode="External"/><Relationship Id="rId19" Type="http://schemas.openxmlformats.org/officeDocument/2006/relationships/hyperlink" Target="mailto:IPpolicy@dtf.vic.gov.au" TargetMode="External"/><Relationship Id="rId4" Type="http://schemas.openxmlformats.org/officeDocument/2006/relationships/styles" Target="styles.xml"/><Relationship Id="rId9" Type="http://schemas.openxmlformats.org/officeDocument/2006/relationships/hyperlink" Target="https://innovationnetwork.vic.gov.au/my-network/groups/vgpb-expansion-community-practice" TargetMode="External"/><Relationship Id="rId14" Type="http://schemas.openxmlformats.org/officeDocument/2006/relationships/hyperlink" Target="https://www.buyingfor.vic.gov.au/complaints-management-goods-and-services-procurement-guide"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rand Victoria - Purple">
      <a:dk1>
        <a:sysClr val="windowText" lastClr="000000"/>
      </a:dk1>
      <a:lt1>
        <a:sysClr val="window" lastClr="FFFFFF"/>
      </a:lt1>
      <a:dk2>
        <a:srgbClr val="53565A"/>
      </a:dk2>
      <a:lt2>
        <a:srgbClr val="D9D9D6"/>
      </a:lt2>
      <a:accent1>
        <a:srgbClr val="500778"/>
      </a:accent1>
      <a:accent2>
        <a:srgbClr val="642667"/>
      </a:accent2>
      <a:accent3>
        <a:srgbClr val="87189D"/>
      </a:accent3>
      <a:accent4>
        <a:srgbClr val="A783BB"/>
      </a:accent4>
      <a:accent5>
        <a:srgbClr val="C1A8C2"/>
      </a:accent5>
      <a:accent6>
        <a:srgbClr val="E7D1E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CFC0D-E1A9-4C89-9A41-297B6316B1C2}">
  <ds:schemaRefs>
    <ds:schemaRef ds:uri="http://www.w3.org/2001/XMLSchema"/>
  </ds:schemaRefs>
</ds:datastoreItem>
</file>

<file path=customXml/itemProps2.xml><?xml version="1.0" encoding="utf-8"?>
<ds:datastoreItem xmlns:ds="http://schemas.openxmlformats.org/officeDocument/2006/customXml" ds:itemID="{C5698F3B-A35D-4113-A29C-E921F836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4129</Words>
  <Characters>23537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27611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Meredith Anderson (DTF)</dc:creator>
  <dc:description>TRIM Record Number: in TRIM database:PT</dc:description>
  <cp:lastModifiedBy>Vanessa Coles (DGS)</cp:lastModifiedBy>
  <cp:revision>3</cp:revision>
  <cp:lastPrinted>2019-06-14T02:15:00Z</cp:lastPrinted>
  <dcterms:created xsi:type="dcterms:W3CDTF">2022-09-13T23:34:00Z</dcterms:created>
  <dcterms:modified xsi:type="dcterms:W3CDTF">2024-08-05T06:05:00Z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6a5a938b-e8b7-4c8b-bb27-ad6e6b6c5ac7</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etDate">
    <vt:lpwstr>2022-09-13T23:34:20Z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8a7ad1a7-22f1-446d-a943-cd4bd047735d</vt:lpwstr>
  </property>
  <property fmtid="{D5CDD505-2E9C-101B-9397-08002B2CF9AE}" pid="15" name="MSIP_Label_7158ebbd-6c5e-441f-bfc9-4eb8c11e3978_ContentBits">
    <vt:lpwstr>2</vt:lpwstr>
  </property>
</Properties>
</file>