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80B0F" w14:textId="77777777" w:rsidR="00AC04BA" w:rsidRPr="002E5BDD" w:rsidRDefault="00AC04BA" w:rsidP="00AC04BA">
      <w:pPr>
        <w:pStyle w:val="Heading1"/>
        <w:rPr>
          <w:color w:val="404040"/>
        </w:rPr>
      </w:pPr>
      <w:bookmarkStart w:id="0" w:name="_Toc413937028"/>
      <w:bookmarkStart w:id="1" w:name="_Toc61971445"/>
      <w:bookmarkStart w:id="2" w:name="_Ref61971905"/>
      <w:bookmarkStart w:id="3" w:name="_Ref61971907"/>
      <w:bookmarkStart w:id="4" w:name="_Ref61971911"/>
      <w:r w:rsidRPr="002E5BDD">
        <w:t>Policy Three: Market analysis and review</w:t>
      </w:r>
      <w:bookmarkEnd w:id="0"/>
      <w:bookmarkEnd w:id="1"/>
      <w:bookmarkEnd w:id="2"/>
      <w:bookmarkEnd w:id="3"/>
      <w:bookmarkEnd w:id="4"/>
      <w:r w:rsidRPr="002E5BDD">
        <w:t xml:space="preserve"> </w:t>
      </w:r>
    </w:p>
    <w:p w14:paraId="375CF55F" w14:textId="77777777" w:rsidR="00AC04BA" w:rsidRPr="002E5BDD" w:rsidRDefault="00AC04BA" w:rsidP="00AC04BA">
      <w:pPr>
        <w:keepNext/>
        <w:keepLines/>
        <w:widowControl w:val="0"/>
        <w:spacing w:before="280" w:after="120" w:line="216" w:lineRule="auto"/>
        <w:ind w:left="794"/>
        <w:outlineLvl w:val="1"/>
        <w:rPr>
          <w:color w:val="4D4D4D"/>
          <w:sz w:val="32"/>
          <w:lang w:eastAsia="en-US"/>
        </w:rPr>
      </w:pPr>
      <w:bookmarkStart w:id="5" w:name="_Toc413924138"/>
      <w:bookmarkStart w:id="6" w:name="_Toc413937029"/>
      <w:r w:rsidRPr="002E5BDD">
        <w:rPr>
          <w:color w:val="4D4D4D"/>
          <w:sz w:val="32"/>
          <w:lang w:eastAsia="en-US"/>
        </w:rPr>
        <w:t>Context</w:t>
      </w:r>
      <w:bookmarkEnd w:id="5"/>
      <w:bookmarkEnd w:id="6"/>
    </w:p>
    <w:p w14:paraId="043E1CD3" w14:textId="77777777" w:rsidR="00AC04BA" w:rsidRPr="00E329AC" w:rsidRDefault="00AC04BA" w:rsidP="00AC04BA">
      <w:pPr>
        <w:spacing w:line="240" w:lineRule="auto"/>
        <w:ind w:left="794"/>
        <w:rPr>
          <w:lang w:eastAsia="en-US"/>
        </w:rPr>
      </w:pPr>
      <w:r w:rsidRPr="00E329AC">
        <w:rPr>
          <w:lang w:eastAsia="en-US"/>
        </w:rPr>
        <w:t>This policy outlines the requirements for market analysis and review. It is mandatory for all Victorian Government departments and any public bodies (hereafter referred to as ‘organisations’) that are subject to the supply policies of the Victorian Government Purchasing Board (VGPB) except where supply policies are not mandatory for a public body in accordance with Policy One (Governance).</w:t>
      </w:r>
    </w:p>
    <w:p w14:paraId="5DE47FED" w14:textId="77777777" w:rsidR="00AC04BA" w:rsidRPr="00E329AC" w:rsidRDefault="00AC04BA" w:rsidP="00AC04BA">
      <w:pPr>
        <w:spacing w:line="240" w:lineRule="auto"/>
        <w:ind w:left="794"/>
        <w:rPr>
          <w:lang w:eastAsia="en-US"/>
        </w:rPr>
      </w:pPr>
      <w:r w:rsidRPr="00E329AC">
        <w:rPr>
          <w:lang w:eastAsia="en-US"/>
        </w:rPr>
        <w:t xml:space="preserve">In meeting the VGPB mandatory requirements, the level of detail in the organisation’s procurement policies and processes will be determined by the Chief Procurement Officer or equivalent and will be commensurate with the organisation’s procurement profile. </w:t>
      </w:r>
    </w:p>
    <w:p w14:paraId="220C868F" w14:textId="77777777" w:rsidR="00AC04BA" w:rsidRPr="002E5BDD" w:rsidRDefault="00AC04BA" w:rsidP="00AC04BA">
      <w:pPr>
        <w:spacing w:line="240" w:lineRule="auto"/>
        <w:ind w:left="794"/>
        <w:rPr>
          <w:lang w:eastAsia="en-US"/>
        </w:rPr>
      </w:pPr>
      <w:r w:rsidRPr="002E5BDD">
        <w:rPr>
          <w:lang w:eastAsia="en-US"/>
        </w:rPr>
        <w:t xml:space="preserve">The </w:t>
      </w:r>
      <w:r w:rsidRPr="002E5BDD">
        <w:rPr>
          <w:i/>
          <w:lang w:eastAsia="en-US"/>
        </w:rPr>
        <w:t>Market analysis and review policy</w:t>
      </w:r>
      <w:r w:rsidRPr="002E5BDD">
        <w:rPr>
          <w:lang w:eastAsia="en-US"/>
        </w:rPr>
        <w:t xml:space="preserve"> covers three components.</w:t>
      </w:r>
    </w:p>
    <w:p w14:paraId="5592DF29" w14:textId="77777777" w:rsidR="00AC04BA" w:rsidRPr="002E5BDD" w:rsidRDefault="00AC04BA" w:rsidP="00AC04BA">
      <w:pPr>
        <w:keepNext/>
        <w:keepLines/>
        <w:widowControl w:val="0"/>
        <w:numPr>
          <w:ilvl w:val="0"/>
          <w:numId w:val="12"/>
        </w:numPr>
        <w:spacing w:before="200" w:after="120" w:line="216" w:lineRule="auto"/>
        <w:ind w:left="1134"/>
        <w:outlineLvl w:val="2"/>
        <w:rPr>
          <w:b/>
          <w:color w:val="4D4D4D"/>
          <w:kern w:val="28"/>
          <w:sz w:val="26"/>
          <w:lang w:eastAsia="en-US"/>
        </w:rPr>
      </w:pPr>
      <w:bookmarkStart w:id="7" w:name="_Toc413924139"/>
      <w:bookmarkStart w:id="8" w:name="_Toc413937030"/>
      <w:r w:rsidRPr="002E5BDD">
        <w:rPr>
          <w:b/>
          <w:color w:val="4D4D4D"/>
          <w:kern w:val="28"/>
          <w:sz w:val="26"/>
          <w:lang w:eastAsia="en-US"/>
        </w:rPr>
        <w:t>Market analysis and review</w:t>
      </w:r>
      <w:bookmarkEnd w:id="7"/>
      <w:bookmarkEnd w:id="8"/>
      <w:r w:rsidRPr="002E5BDD">
        <w:rPr>
          <w:b/>
          <w:color w:val="4D4D4D"/>
          <w:kern w:val="28"/>
          <w:sz w:val="26"/>
          <w:lang w:eastAsia="en-US"/>
        </w:rPr>
        <w:t xml:space="preserve"> </w:t>
      </w:r>
    </w:p>
    <w:p w14:paraId="7E87FF1C" w14:textId="77777777" w:rsidR="00AC04BA" w:rsidRPr="002E5BDD" w:rsidRDefault="00AC04BA" w:rsidP="00AC04BA">
      <w:pPr>
        <w:spacing w:line="240" w:lineRule="auto"/>
        <w:ind w:left="794"/>
      </w:pPr>
      <w:r w:rsidRPr="002E5BDD">
        <w:t>Market analysis and review provides an understanding of market dynamics to determine the optimal market approach. It can also determine the viability of a procurement requirement.</w:t>
      </w:r>
    </w:p>
    <w:p w14:paraId="4252BF7F" w14:textId="77777777" w:rsidR="00AC04BA" w:rsidRPr="002E5BDD" w:rsidRDefault="00AC04BA" w:rsidP="00AC04BA">
      <w:pPr>
        <w:spacing w:line="240" w:lineRule="auto"/>
        <w:ind w:left="794"/>
      </w:pPr>
      <w:r w:rsidRPr="002E5BDD">
        <w:t xml:space="preserve">Figure 1 highlights where market analysis and review </w:t>
      </w:r>
      <w:proofErr w:type="gramStart"/>
      <w:r w:rsidRPr="002E5BDD">
        <w:t>takes</w:t>
      </w:r>
      <w:proofErr w:type="gramEnd"/>
      <w:r w:rsidRPr="002E5BDD">
        <w:t xml:space="preserve"> place in the procurement process. </w:t>
      </w:r>
    </w:p>
    <w:p w14:paraId="7B893B62" w14:textId="77777777" w:rsidR="00AC04BA" w:rsidRPr="002E5BDD" w:rsidRDefault="00AC04BA" w:rsidP="00AC04BA">
      <w:pPr>
        <w:keepNext/>
        <w:keepLines/>
        <w:tabs>
          <w:tab w:val="left" w:pos="851"/>
        </w:tabs>
        <w:spacing w:before="60" w:after="60" w:line="228" w:lineRule="auto"/>
        <w:ind w:left="794"/>
        <w:rPr>
          <w:b/>
        </w:rPr>
      </w:pPr>
      <w:r w:rsidRPr="002E5BDD">
        <w:rPr>
          <w:b/>
        </w:rPr>
        <w:t>Figure 1: Market analysis step in the procurement process</w:t>
      </w:r>
    </w:p>
    <w:p w14:paraId="5AB80D0B" w14:textId="77777777" w:rsidR="00AC04BA" w:rsidRPr="002E5BDD" w:rsidRDefault="00AC04BA" w:rsidP="00AC04BA">
      <w:pPr>
        <w:spacing w:line="240" w:lineRule="auto"/>
        <w:ind w:left="794"/>
      </w:pPr>
      <w:r w:rsidRPr="002E5BDD">
        <w:object w:dxaOrig="8895" w:dyaOrig="1440" w14:anchorId="63388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9pt;height:1in" o:ole="">
            <v:imagedata r:id="rId8" o:title=""/>
          </v:shape>
          <o:OLEObject Type="Embed" ProgID="Visio.Drawing.11" ShapeID="_x0000_i1025" DrawAspect="Content" ObjectID="_1784003405" r:id="rId9"/>
        </w:object>
      </w:r>
    </w:p>
    <w:p w14:paraId="61D9554E" w14:textId="1ECA3CB2" w:rsidR="00AC04BA" w:rsidRPr="002E5BDD" w:rsidRDefault="00B6710C" w:rsidP="00AC04BA">
      <w:pPr>
        <w:keepNext/>
        <w:keepLines/>
        <w:widowControl w:val="0"/>
        <w:numPr>
          <w:ilvl w:val="0"/>
          <w:numId w:val="12"/>
        </w:numPr>
        <w:spacing w:before="200" w:after="120" w:line="216" w:lineRule="auto"/>
        <w:ind w:left="1134"/>
        <w:outlineLvl w:val="2"/>
        <w:rPr>
          <w:b/>
          <w:color w:val="4D4D4D"/>
          <w:kern w:val="28"/>
          <w:sz w:val="26"/>
          <w:lang w:eastAsia="en-US"/>
        </w:rPr>
      </w:pPr>
      <w:r>
        <w:rPr>
          <w:b/>
          <w:color w:val="4D4D4D"/>
          <w:kern w:val="28"/>
          <w:sz w:val="26"/>
          <w:lang w:eastAsia="en-US"/>
        </w:rPr>
        <w:t>Collaborative procurement</w:t>
      </w:r>
    </w:p>
    <w:p w14:paraId="69AA8A45" w14:textId="1224CEF9" w:rsidR="00AC04BA" w:rsidRPr="002E5BDD" w:rsidRDefault="00B6710C" w:rsidP="00AC04BA">
      <w:pPr>
        <w:spacing w:line="240" w:lineRule="auto"/>
        <w:ind w:left="794"/>
        <w:rPr>
          <w:lang w:eastAsia="en-US"/>
        </w:rPr>
      </w:pPr>
      <w:r w:rsidRPr="00B6710C">
        <w:rPr>
          <w:lang w:eastAsia="en-US"/>
        </w:rPr>
        <w:t>Collaborative procurement is an important mechanism to improve value for money when procuring goods or services.</w:t>
      </w:r>
    </w:p>
    <w:p w14:paraId="4E875959" w14:textId="77777777" w:rsidR="00AC04BA" w:rsidRPr="002E5BDD" w:rsidRDefault="00AC04BA" w:rsidP="00AC04BA">
      <w:pPr>
        <w:keepNext/>
        <w:keepLines/>
        <w:widowControl w:val="0"/>
        <w:numPr>
          <w:ilvl w:val="0"/>
          <w:numId w:val="12"/>
        </w:numPr>
        <w:spacing w:before="200" w:after="120" w:line="216" w:lineRule="auto"/>
        <w:ind w:left="1134"/>
        <w:outlineLvl w:val="2"/>
        <w:rPr>
          <w:b/>
          <w:color w:val="4D4D4D"/>
          <w:kern w:val="28"/>
          <w:sz w:val="26"/>
          <w:lang w:eastAsia="en-US"/>
        </w:rPr>
      </w:pPr>
      <w:bookmarkStart w:id="9" w:name="_Toc413924141"/>
      <w:bookmarkStart w:id="10" w:name="_Toc413937032"/>
      <w:r w:rsidRPr="002E5BDD">
        <w:rPr>
          <w:b/>
          <w:color w:val="4D4D4D"/>
          <w:kern w:val="28"/>
          <w:sz w:val="26"/>
          <w:lang w:eastAsia="en-US"/>
        </w:rPr>
        <w:t>Disposal of assets</w:t>
      </w:r>
      <w:bookmarkEnd w:id="9"/>
      <w:bookmarkEnd w:id="10"/>
      <w:r w:rsidRPr="002E5BDD">
        <w:rPr>
          <w:b/>
          <w:color w:val="4D4D4D"/>
          <w:kern w:val="28"/>
          <w:sz w:val="26"/>
          <w:lang w:eastAsia="en-US"/>
        </w:rPr>
        <w:t xml:space="preserve"> </w:t>
      </w:r>
    </w:p>
    <w:p w14:paraId="397B94D5" w14:textId="77777777" w:rsidR="00AC04BA" w:rsidRPr="002E5BDD" w:rsidRDefault="00AC04BA" w:rsidP="00AC04BA">
      <w:pPr>
        <w:spacing w:line="240" w:lineRule="auto"/>
        <w:ind w:left="794"/>
      </w:pPr>
      <w:r w:rsidRPr="002E5BDD">
        <w:rPr>
          <w:lang w:eastAsia="en-US"/>
        </w:rPr>
        <w:t>As part of market analysis and review, an organisation will develop a whole</w:t>
      </w:r>
      <w:r w:rsidRPr="002E5BDD">
        <w:rPr>
          <w:lang w:eastAsia="en-US"/>
        </w:rPr>
        <w:noBreakHyphen/>
        <w:t>of</w:t>
      </w:r>
      <w:r w:rsidRPr="002E5BDD">
        <w:rPr>
          <w:lang w:eastAsia="en-US"/>
        </w:rPr>
        <w:noBreakHyphen/>
        <w:t xml:space="preserve">life appraisal and consider the best process for disposal of assets. </w:t>
      </w:r>
    </w:p>
    <w:p w14:paraId="55097FA0" w14:textId="77777777" w:rsidR="00AC04BA" w:rsidRPr="002E5BDD" w:rsidRDefault="00AC04BA" w:rsidP="00AC04BA">
      <w:pPr>
        <w:spacing w:line="240" w:lineRule="auto"/>
        <w:ind w:left="794"/>
        <w:rPr>
          <w:lang w:eastAsia="en-US"/>
        </w:rPr>
      </w:pPr>
    </w:p>
    <w:tbl>
      <w:tblPr>
        <w:tblW w:w="0" w:type="auto"/>
        <w:tblInd w:w="851" w:type="dxa"/>
        <w:tblBorders>
          <w:top w:val="single" w:sz="4" w:space="0" w:color="auto"/>
          <w:left w:val="single" w:sz="4" w:space="0" w:color="auto"/>
          <w:bottom w:val="single" w:sz="4" w:space="0" w:color="auto"/>
          <w:right w:val="single" w:sz="4" w:space="0" w:color="auto"/>
        </w:tblBorders>
        <w:tblCellMar>
          <w:left w:w="57" w:type="dxa"/>
          <w:right w:w="57" w:type="dxa"/>
        </w:tblCellMar>
        <w:tblLook w:val="01E0" w:firstRow="1" w:lastRow="1" w:firstColumn="1" w:lastColumn="1" w:noHBand="0" w:noVBand="0"/>
      </w:tblPr>
      <w:tblGrid>
        <w:gridCol w:w="8880"/>
      </w:tblGrid>
      <w:tr w:rsidR="00AC04BA" w:rsidRPr="002E5BDD" w14:paraId="7A32AFD6" w14:textId="77777777" w:rsidTr="00EE2704">
        <w:trPr>
          <w:cantSplit/>
        </w:trPr>
        <w:tc>
          <w:tcPr>
            <w:tcW w:w="9849" w:type="dxa"/>
            <w:tcBorders>
              <w:top w:val="single" w:sz="4" w:space="0" w:color="auto"/>
              <w:left w:val="single" w:sz="4" w:space="0" w:color="auto"/>
              <w:bottom w:val="single" w:sz="4" w:space="0" w:color="auto"/>
              <w:right w:val="single" w:sz="4" w:space="0" w:color="auto"/>
            </w:tcBorders>
            <w:shd w:val="clear" w:color="auto" w:fill="D9D9D9"/>
            <w:hideMark/>
          </w:tcPr>
          <w:p w14:paraId="68720B91" w14:textId="77777777" w:rsidR="00AC04BA" w:rsidRPr="002E5BDD" w:rsidRDefault="00AC04BA" w:rsidP="00EE2704">
            <w:pPr>
              <w:spacing w:before="0" w:after="0" w:line="240" w:lineRule="auto"/>
              <w:rPr>
                <w:color w:val="4C4C4C"/>
                <w:szCs w:val="20"/>
              </w:rPr>
            </w:pPr>
            <w:r w:rsidRPr="002E5BDD">
              <w:rPr>
                <w:color w:val="4C4C4C"/>
                <w:szCs w:val="20"/>
              </w:rPr>
              <w:t xml:space="preserve">For further information and advice on applying VGPB policies (including guides, tools and templates), visit the </w:t>
            </w:r>
            <w:r>
              <w:rPr>
                <w:color w:val="4C4C4C"/>
                <w:szCs w:val="20"/>
              </w:rPr>
              <w:t>Buying for Victoria</w:t>
            </w:r>
            <w:r w:rsidRPr="0015778A">
              <w:rPr>
                <w:color w:val="4C4C4C"/>
                <w:szCs w:val="20"/>
              </w:rPr>
              <w:t xml:space="preserve"> website at </w:t>
            </w:r>
            <w:hyperlink r:id="rId10" w:history="1">
              <w:r w:rsidRPr="00532610">
                <w:rPr>
                  <w:rStyle w:val="Hyperlink"/>
                  <w:szCs w:val="20"/>
                </w:rPr>
                <w:t>http://www.buyingfor.vic.gov.au</w:t>
              </w:r>
            </w:hyperlink>
            <w:r w:rsidRPr="002E5BDD">
              <w:rPr>
                <w:color w:val="4C4C4C"/>
                <w:szCs w:val="20"/>
              </w:rPr>
              <w:t>.</w:t>
            </w:r>
          </w:p>
        </w:tc>
      </w:tr>
    </w:tbl>
    <w:p w14:paraId="05908FBE" w14:textId="77777777" w:rsidR="00AC04BA" w:rsidRPr="002E5BDD" w:rsidRDefault="00AC04BA" w:rsidP="00AC04BA">
      <w:pPr>
        <w:spacing w:line="240" w:lineRule="auto"/>
        <w:ind w:left="794"/>
      </w:pPr>
    </w:p>
    <w:p w14:paraId="15E72E30" w14:textId="77777777" w:rsidR="00AC04BA" w:rsidRPr="002E5BDD" w:rsidRDefault="00AC04BA" w:rsidP="00AC04BA">
      <w:pPr>
        <w:keepNext/>
        <w:keepLines/>
        <w:pageBreakBefore/>
        <w:numPr>
          <w:ilvl w:val="0"/>
          <w:numId w:val="13"/>
        </w:numPr>
        <w:spacing w:before="0" w:after="360" w:line="216" w:lineRule="auto"/>
        <w:outlineLvl w:val="0"/>
        <w:rPr>
          <w:color w:val="404040"/>
          <w:sz w:val="40"/>
          <w:szCs w:val="40"/>
          <w:lang w:eastAsia="en-US"/>
        </w:rPr>
      </w:pPr>
      <w:bookmarkStart w:id="11" w:name="_Toc413924142"/>
      <w:bookmarkStart w:id="12" w:name="_Toc413937033"/>
      <w:bookmarkStart w:id="13" w:name="_Toc61971446"/>
      <w:r w:rsidRPr="002E5BDD">
        <w:rPr>
          <w:color w:val="404040"/>
          <w:sz w:val="40"/>
          <w:szCs w:val="40"/>
          <w:lang w:eastAsia="en-US"/>
        </w:rPr>
        <w:lastRenderedPageBreak/>
        <w:t>Market analysis</w:t>
      </w:r>
      <w:bookmarkEnd w:id="11"/>
      <w:bookmarkEnd w:id="12"/>
      <w:bookmarkEnd w:id="13"/>
    </w:p>
    <w:p w14:paraId="60E3A9D3" w14:textId="77777777" w:rsidR="00AC04BA" w:rsidRPr="002E5BDD" w:rsidRDefault="00AC04BA" w:rsidP="00AC04BA">
      <w:pPr>
        <w:spacing w:line="240" w:lineRule="auto"/>
        <w:ind w:left="794"/>
        <w:rPr>
          <w:lang w:eastAsia="en-US"/>
        </w:rPr>
      </w:pPr>
      <w:bookmarkStart w:id="14" w:name="_Toc323045922"/>
      <w:r w:rsidRPr="002E5BDD">
        <w:t>Market analysis and review follows the assessment of complexity of the procurement activity either at the category level or at the individual procurement level where the procurement activity falls outside of a category or is critical or high risk.</w:t>
      </w:r>
      <w:bookmarkEnd w:id="14"/>
    </w:p>
    <w:p w14:paraId="18F6DAF2" w14:textId="77777777" w:rsidR="00AC04BA" w:rsidRPr="002E5BDD" w:rsidRDefault="00AC04BA" w:rsidP="00AC04BA">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bookmarkStart w:id="15" w:name="_Toc277256574"/>
      <w:bookmarkStart w:id="16" w:name="_Toc323202807"/>
      <w:bookmarkStart w:id="17" w:name="_Toc413924143"/>
      <w:bookmarkStart w:id="18" w:name="_Toc413937034"/>
      <w:bookmarkEnd w:id="15"/>
      <w:r>
        <w:rPr>
          <w:color w:val="4D4D4D"/>
          <w:sz w:val="32"/>
          <w:lang w:eastAsia="en-US"/>
        </w:rPr>
        <w:t>1.1</w:t>
      </w:r>
      <w:r>
        <w:rPr>
          <w:color w:val="4D4D4D"/>
          <w:sz w:val="32"/>
          <w:lang w:eastAsia="en-US"/>
        </w:rPr>
        <w:tab/>
      </w:r>
      <w:r w:rsidRPr="002E5BDD">
        <w:rPr>
          <w:color w:val="4D4D4D"/>
          <w:sz w:val="32"/>
          <w:lang w:eastAsia="en-US"/>
        </w:rPr>
        <w:t>Mandatory requirements</w:t>
      </w:r>
      <w:bookmarkEnd w:id="16"/>
      <w:bookmarkEnd w:id="17"/>
      <w:bookmarkEnd w:id="18"/>
    </w:p>
    <w:p w14:paraId="513A40D7" w14:textId="77777777" w:rsidR="00AC04BA" w:rsidRPr="002E5BDD" w:rsidRDefault="00AC04BA" w:rsidP="00AC04BA">
      <w:pPr>
        <w:spacing w:line="240" w:lineRule="auto"/>
        <w:ind w:left="794"/>
      </w:pPr>
      <w:bookmarkStart w:id="19" w:name="_Toc323045926"/>
      <w:r w:rsidRPr="002E5BDD">
        <w:t>An organisation must:</w:t>
      </w:r>
      <w:bookmarkEnd w:id="19"/>
    </w:p>
    <w:p w14:paraId="42D66A85" w14:textId="2C2CCA6D" w:rsidR="00AC04BA" w:rsidRPr="002E5BDD" w:rsidRDefault="00AC04BA" w:rsidP="00AC04BA">
      <w:pPr>
        <w:numPr>
          <w:ilvl w:val="0"/>
          <w:numId w:val="1"/>
        </w:numPr>
        <w:tabs>
          <w:tab w:val="clear" w:pos="360"/>
          <w:tab w:val="num" w:pos="1077"/>
        </w:tabs>
        <w:spacing w:before="80" w:after="80" w:line="240" w:lineRule="auto"/>
        <w:ind w:left="1077" w:hanging="283"/>
      </w:pPr>
      <w:bookmarkStart w:id="20" w:name="_Toc323045927"/>
      <w:r w:rsidRPr="002E5BDD">
        <w:t>consider the outcome of the complexity assessment to determine if the assessment at the category level establishes the basis for being able to approach the market</w:t>
      </w:r>
      <w:bookmarkEnd w:id="20"/>
    </w:p>
    <w:p w14:paraId="36C1582B" w14:textId="4D5E83E0" w:rsidR="00AC04BA" w:rsidRPr="002E5BDD" w:rsidRDefault="00AC04BA" w:rsidP="00AC04BA">
      <w:pPr>
        <w:numPr>
          <w:ilvl w:val="0"/>
          <w:numId w:val="1"/>
        </w:numPr>
        <w:tabs>
          <w:tab w:val="clear" w:pos="360"/>
          <w:tab w:val="num" w:pos="1077"/>
        </w:tabs>
        <w:spacing w:before="80" w:after="80" w:line="240" w:lineRule="auto"/>
        <w:ind w:left="1077" w:hanging="283"/>
      </w:pPr>
      <w:bookmarkStart w:id="21" w:name="_Toc323045928"/>
      <w:r w:rsidRPr="002E5BDD">
        <w:t>undertake further complexity analysis at the level of the individual procurement activity where the category assessment provides insufficient detail to determine the optimal approach to market</w:t>
      </w:r>
      <w:bookmarkEnd w:id="21"/>
    </w:p>
    <w:p w14:paraId="32603A05" w14:textId="3DF5FEC5" w:rsidR="00AC04BA" w:rsidRPr="002E5BDD" w:rsidRDefault="00AC04BA" w:rsidP="00AC04BA">
      <w:pPr>
        <w:numPr>
          <w:ilvl w:val="0"/>
          <w:numId w:val="1"/>
        </w:numPr>
        <w:tabs>
          <w:tab w:val="clear" w:pos="360"/>
          <w:tab w:val="num" w:pos="1077"/>
        </w:tabs>
        <w:spacing w:before="80" w:after="80" w:line="240" w:lineRule="auto"/>
        <w:ind w:left="1077" w:hanging="283"/>
      </w:pPr>
      <w:bookmarkStart w:id="22" w:name="_Toc323045929"/>
      <w:r w:rsidRPr="002E5BDD">
        <w:t xml:space="preserve">conduct market analysis to identify the capability and capacity of the market to supply and identify opportunities for </w:t>
      </w:r>
      <w:proofErr w:type="gramStart"/>
      <w:r w:rsidRPr="002E5BDD">
        <w:t>market based</w:t>
      </w:r>
      <w:proofErr w:type="gramEnd"/>
      <w:r w:rsidRPr="002E5BDD">
        <w:t xml:space="preserve"> solutions</w:t>
      </w:r>
      <w:bookmarkEnd w:id="22"/>
    </w:p>
    <w:p w14:paraId="309EA7D6" w14:textId="59BE603A" w:rsidR="00AC04BA" w:rsidRPr="002E5BDD" w:rsidRDefault="00AC04BA" w:rsidP="00AC04BA">
      <w:pPr>
        <w:numPr>
          <w:ilvl w:val="0"/>
          <w:numId w:val="1"/>
        </w:numPr>
        <w:tabs>
          <w:tab w:val="clear" w:pos="360"/>
          <w:tab w:val="num" w:pos="1077"/>
        </w:tabs>
        <w:spacing w:before="80" w:after="80" w:line="240" w:lineRule="auto"/>
        <w:ind w:left="1077" w:hanging="283"/>
      </w:pPr>
      <w:bookmarkStart w:id="23" w:name="_Toc323045930"/>
      <w:r w:rsidRPr="002E5BDD">
        <w:t xml:space="preserve">reassess the procurement requirement </w:t>
      </w:r>
      <w:proofErr w:type="gramStart"/>
      <w:r w:rsidRPr="002E5BDD">
        <w:t>with regard to</w:t>
      </w:r>
      <w:proofErr w:type="gramEnd"/>
      <w:r w:rsidRPr="002E5BDD">
        <w:t xml:space="preserve"> the market analysis</w:t>
      </w:r>
      <w:bookmarkEnd w:id="23"/>
    </w:p>
    <w:p w14:paraId="5199844C" w14:textId="777E6882" w:rsidR="00AC04BA" w:rsidRPr="002E5BDD" w:rsidRDefault="00AC04BA" w:rsidP="00AC04BA">
      <w:pPr>
        <w:numPr>
          <w:ilvl w:val="0"/>
          <w:numId w:val="1"/>
        </w:numPr>
        <w:tabs>
          <w:tab w:val="clear" w:pos="360"/>
          <w:tab w:val="num" w:pos="1077"/>
        </w:tabs>
        <w:spacing w:before="80" w:after="80" w:line="240" w:lineRule="auto"/>
        <w:ind w:left="1077" w:hanging="283"/>
      </w:pPr>
      <w:bookmarkStart w:id="24" w:name="_Toc323045931"/>
      <w:r w:rsidRPr="002E5BDD">
        <w:t>prepare a statement of grounds, or business case, which supports the decision to proceed with the procurement and identify the optimal market engagement strategy</w:t>
      </w:r>
      <w:bookmarkEnd w:id="24"/>
    </w:p>
    <w:p w14:paraId="0975435C" w14:textId="77777777" w:rsidR="00AC04BA" w:rsidRPr="002E5BDD" w:rsidRDefault="00AC04BA" w:rsidP="00AC04BA">
      <w:pPr>
        <w:spacing w:before="0" w:after="0" w:line="120" w:lineRule="atLeast"/>
        <w:rPr>
          <w:sz w:val="12"/>
        </w:rPr>
      </w:pPr>
    </w:p>
    <w:tbl>
      <w:tblPr>
        <w:tblW w:w="0" w:type="auto"/>
        <w:tblInd w:w="794" w:type="dxa"/>
        <w:tblBorders>
          <w:top w:val="single" w:sz="2" w:space="0" w:color="auto"/>
          <w:bottom w:val="single" w:sz="2" w:space="0" w:color="auto"/>
          <w:insideH w:val="single" w:sz="2" w:space="0" w:color="auto"/>
        </w:tblBorders>
        <w:shd w:val="clear" w:color="auto" w:fill="D9D9D9"/>
        <w:tblCellMar>
          <w:left w:w="113" w:type="dxa"/>
          <w:right w:w="113" w:type="dxa"/>
        </w:tblCellMar>
        <w:tblLook w:val="04A0" w:firstRow="1" w:lastRow="0" w:firstColumn="1" w:lastColumn="0" w:noHBand="0" w:noVBand="1"/>
      </w:tblPr>
      <w:tblGrid>
        <w:gridCol w:w="8947"/>
      </w:tblGrid>
      <w:tr w:rsidR="00AC04BA" w:rsidRPr="002E5BDD" w14:paraId="5FE42309" w14:textId="77777777" w:rsidTr="00EE2704">
        <w:trPr>
          <w:cantSplit/>
        </w:trPr>
        <w:tc>
          <w:tcPr>
            <w:tcW w:w="9287" w:type="dxa"/>
            <w:tcBorders>
              <w:top w:val="single" w:sz="2" w:space="0" w:color="auto"/>
              <w:left w:val="nil"/>
              <w:bottom w:val="single" w:sz="2" w:space="0" w:color="auto"/>
              <w:right w:val="nil"/>
            </w:tcBorders>
            <w:shd w:val="clear" w:color="auto" w:fill="D9D9D9"/>
            <w:hideMark/>
          </w:tcPr>
          <w:p w14:paraId="72A5DB8A" w14:textId="45CD0B11" w:rsidR="00AC04BA" w:rsidRPr="002E5BDD" w:rsidRDefault="00AC04BA" w:rsidP="00EE2704">
            <w:pPr>
              <w:spacing w:before="20" w:after="20" w:line="240" w:lineRule="auto"/>
              <w:rPr>
                <w:color w:val="4C4C4C"/>
                <w:sz w:val="20"/>
              </w:rPr>
            </w:pPr>
            <w:bookmarkStart w:id="25" w:name="_Toc323045932"/>
            <w:r w:rsidRPr="002E5BDD">
              <w:rPr>
                <w:b/>
                <w:color w:val="4C4C4C"/>
                <w:sz w:val="20"/>
              </w:rPr>
              <w:t>Note:</w:t>
            </w:r>
            <w:r w:rsidRPr="002E5BDD">
              <w:rPr>
                <w:color w:val="4C4C4C"/>
                <w:sz w:val="20"/>
              </w:rPr>
              <w:t xml:space="preserve"> </w:t>
            </w:r>
            <w:bookmarkEnd w:id="25"/>
            <w:r w:rsidR="00FF03A9" w:rsidRPr="00FF03A9">
              <w:rPr>
                <w:color w:val="4C4C4C"/>
                <w:sz w:val="20"/>
              </w:rPr>
              <w:t>Organisations are not required to undertake a sourcing process when using a standing offer that is a sole supplier arrangement.</w:t>
            </w:r>
          </w:p>
        </w:tc>
      </w:tr>
    </w:tbl>
    <w:p w14:paraId="4E20EB4F" w14:textId="77777777" w:rsidR="00AC04BA" w:rsidRPr="002E5BDD" w:rsidRDefault="00AC04BA" w:rsidP="00AC04BA">
      <w:pPr>
        <w:spacing w:before="0" w:after="0" w:line="120" w:lineRule="atLeast"/>
        <w:rPr>
          <w:sz w:val="12"/>
          <w:lang w:eastAsia="en-US"/>
        </w:rPr>
      </w:pPr>
    </w:p>
    <w:p w14:paraId="5FF003C6" w14:textId="77777777" w:rsidR="00AC04BA" w:rsidRPr="002E5BDD" w:rsidRDefault="00AC04BA" w:rsidP="00AC04BA">
      <w:pPr>
        <w:spacing w:line="240" w:lineRule="auto"/>
        <w:ind w:left="794"/>
      </w:pPr>
    </w:p>
    <w:p w14:paraId="15CDA71D" w14:textId="37259281" w:rsidR="00AC04BA" w:rsidRPr="00D85A73" w:rsidRDefault="00D85A73" w:rsidP="00AC04BA">
      <w:pPr>
        <w:pStyle w:val="ListParagraph"/>
        <w:keepNext/>
        <w:keepLines/>
        <w:pageBreakBefore/>
        <w:numPr>
          <w:ilvl w:val="0"/>
          <w:numId w:val="13"/>
        </w:numPr>
        <w:spacing w:before="0" w:after="360" w:line="216" w:lineRule="auto"/>
        <w:outlineLvl w:val="0"/>
        <w:rPr>
          <w:rFonts w:asciiTheme="minorHAnsi" w:hAnsiTheme="minorHAnsi" w:cstheme="minorHAnsi"/>
          <w:color w:val="404040"/>
          <w:sz w:val="40"/>
          <w:szCs w:val="40"/>
          <w:lang w:eastAsia="en-US"/>
        </w:rPr>
      </w:pPr>
      <w:r w:rsidRPr="00D85A73">
        <w:rPr>
          <w:rFonts w:asciiTheme="minorHAnsi" w:hAnsiTheme="minorHAnsi" w:cstheme="minorHAnsi"/>
          <w:color w:val="404040"/>
          <w:sz w:val="40"/>
          <w:szCs w:val="40"/>
          <w:lang w:eastAsia="en-US"/>
        </w:rPr>
        <w:lastRenderedPageBreak/>
        <w:t>Collaborative procurement</w:t>
      </w:r>
    </w:p>
    <w:p w14:paraId="077543A2" w14:textId="77777777" w:rsidR="00D85A73" w:rsidRPr="00D85A73" w:rsidRDefault="00D85A73" w:rsidP="00D85A73">
      <w:pPr>
        <w:spacing w:before="120" w:after="120"/>
        <w:ind w:left="794"/>
        <w:outlineLvl w:val="1"/>
        <w:rPr>
          <w:rFonts w:asciiTheme="minorHAnsi" w:hAnsiTheme="minorHAnsi" w:cstheme="minorHAnsi"/>
        </w:rPr>
      </w:pPr>
      <w:bookmarkStart w:id="26" w:name="_Toc323202810"/>
      <w:bookmarkStart w:id="27" w:name="_Toc413924145"/>
      <w:bookmarkStart w:id="28" w:name="_Toc413937036"/>
      <w:r w:rsidRPr="00D85A73">
        <w:rPr>
          <w:rFonts w:asciiTheme="minorHAnsi" w:hAnsiTheme="minorHAnsi" w:cstheme="minorHAnsi"/>
        </w:rPr>
        <w:t>Collaborative procurement involves multiple organisations working together to improve value for money for goods and services.</w:t>
      </w:r>
    </w:p>
    <w:p w14:paraId="38B04231" w14:textId="77777777" w:rsidR="00D85A73" w:rsidRPr="00D85A73" w:rsidRDefault="00D85A73" w:rsidP="00D85A73">
      <w:pPr>
        <w:spacing w:before="120" w:after="120"/>
        <w:ind w:left="794"/>
        <w:rPr>
          <w:rFonts w:asciiTheme="minorHAnsi" w:hAnsiTheme="minorHAnsi" w:cstheme="minorHAnsi"/>
        </w:rPr>
      </w:pPr>
      <w:r w:rsidRPr="00D85A73">
        <w:rPr>
          <w:rFonts w:asciiTheme="minorHAnsi" w:hAnsiTheme="minorHAnsi" w:cstheme="minorHAnsi"/>
        </w:rPr>
        <w:t xml:space="preserve">Organisations typically collaborate by aggregating demand for commonly procured goods and services. </w:t>
      </w:r>
    </w:p>
    <w:p w14:paraId="5CE82F4F" w14:textId="77777777" w:rsidR="00D85A73" w:rsidRPr="00D85A73" w:rsidRDefault="00D85A73" w:rsidP="00D85A73">
      <w:pPr>
        <w:spacing w:before="120" w:after="120"/>
        <w:ind w:left="794"/>
        <w:rPr>
          <w:rFonts w:asciiTheme="minorHAnsi" w:hAnsiTheme="minorHAnsi" w:cstheme="minorHAnsi"/>
        </w:rPr>
      </w:pPr>
      <w:r w:rsidRPr="00D85A73">
        <w:rPr>
          <w:rFonts w:asciiTheme="minorHAnsi" w:hAnsiTheme="minorHAnsi" w:cstheme="minorHAnsi"/>
        </w:rPr>
        <w:t>Types of collaborative procurement include:</w:t>
      </w:r>
    </w:p>
    <w:p w14:paraId="526BDDEA" w14:textId="77777777" w:rsidR="00D85A73" w:rsidRPr="00D85A73" w:rsidRDefault="00D85A73" w:rsidP="00D85A73">
      <w:pPr>
        <w:pStyle w:val="ListParagraph"/>
        <w:numPr>
          <w:ilvl w:val="0"/>
          <w:numId w:val="16"/>
        </w:numPr>
        <w:spacing w:before="120" w:after="120" w:line="259" w:lineRule="auto"/>
        <w:ind w:left="1508" w:hanging="357"/>
        <w:contextualSpacing w:val="0"/>
        <w:rPr>
          <w:rFonts w:asciiTheme="minorHAnsi" w:hAnsiTheme="minorHAnsi" w:cstheme="minorHAnsi"/>
        </w:rPr>
      </w:pPr>
      <w:r w:rsidRPr="00D85A73">
        <w:rPr>
          <w:rFonts w:asciiTheme="minorHAnsi" w:hAnsiTheme="minorHAnsi" w:cstheme="minorHAnsi"/>
        </w:rPr>
        <w:t xml:space="preserve">state purchase contracts (SPCs) </w:t>
      </w:r>
    </w:p>
    <w:p w14:paraId="0F2D2949" w14:textId="77777777" w:rsidR="00D85A73" w:rsidRPr="00D85A73" w:rsidRDefault="00D85A73" w:rsidP="00D85A73">
      <w:pPr>
        <w:pStyle w:val="ListParagraph"/>
        <w:numPr>
          <w:ilvl w:val="0"/>
          <w:numId w:val="16"/>
        </w:numPr>
        <w:spacing w:before="120" w:after="120" w:line="259" w:lineRule="auto"/>
        <w:ind w:left="1508" w:hanging="357"/>
        <w:contextualSpacing w:val="0"/>
        <w:rPr>
          <w:rFonts w:asciiTheme="minorHAnsi" w:hAnsiTheme="minorHAnsi" w:cstheme="minorHAnsi"/>
        </w:rPr>
      </w:pPr>
      <w:r w:rsidRPr="00D85A73">
        <w:rPr>
          <w:rFonts w:asciiTheme="minorHAnsi" w:hAnsiTheme="minorHAnsi" w:cstheme="minorHAnsi"/>
        </w:rPr>
        <w:t>multi-agency arrangements</w:t>
      </w:r>
    </w:p>
    <w:p w14:paraId="52958FBD" w14:textId="77777777" w:rsidR="00D85A73" w:rsidRPr="00D85A73" w:rsidRDefault="00D85A73" w:rsidP="00D85A73">
      <w:pPr>
        <w:pStyle w:val="ListParagraph"/>
        <w:numPr>
          <w:ilvl w:val="0"/>
          <w:numId w:val="16"/>
        </w:numPr>
        <w:spacing w:before="120" w:after="120" w:line="259" w:lineRule="auto"/>
        <w:ind w:left="1508" w:hanging="357"/>
        <w:contextualSpacing w:val="0"/>
        <w:rPr>
          <w:rFonts w:asciiTheme="minorHAnsi" w:hAnsiTheme="minorHAnsi" w:cstheme="minorHAnsi"/>
        </w:rPr>
      </w:pPr>
      <w:r w:rsidRPr="00D85A73">
        <w:rPr>
          <w:rFonts w:asciiTheme="minorHAnsi" w:hAnsiTheme="minorHAnsi" w:cstheme="minorHAnsi"/>
        </w:rPr>
        <w:t>procuring with other organisations</w:t>
      </w:r>
    </w:p>
    <w:p w14:paraId="00024426" w14:textId="693340CB" w:rsidR="003E6171" w:rsidRPr="00DD4EB0" w:rsidRDefault="00D85A73" w:rsidP="00DD4EB0">
      <w:pPr>
        <w:pStyle w:val="ListParagraph"/>
        <w:numPr>
          <w:ilvl w:val="0"/>
          <w:numId w:val="16"/>
        </w:numPr>
        <w:spacing w:before="120" w:after="240" w:line="259" w:lineRule="auto"/>
        <w:ind w:left="1508" w:hanging="357"/>
        <w:contextualSpacing w:val="0"/>
        <w:rPr>
          <w:rFonts w:asciiTheme="minorHAnsi" w:hAnsiTheme="minorHAnsi" w:cstheme="minorHAnsi"/>
        </w:rPr>
      </w:pPr>
      <w:r w:rsidRPr="00D85A73">
        <w:rPr>
          <w:rFonts w:asciiTheme="minorHAnsi" w:hAnsiTheme="minorHAnsi" w:cstheme="minorHAnsi"/>
        </w:rPr>
        <w:t>procuring for other organisations</w:t>
      </w:r>
    </w:p>
    <w:p w14:paraId="02F22977" w14:textId="5485C70C" w:rsidR="00AC04BA" w:rsidRPr="00765E83" w:rsidRDefault="00AC04BA" w:rsidP="00DD4EB0">
      <w:pPr>
        <w:pStyle w:val="ListParagraph"/>
        <w:keepNext/>
        <w:keepLines/>
        <w:widowControl w:val="0"/>
        <w:numPr>
          <w:ilvl w:val="1"/>
          <w:numId w:val="13"/>
        </w:numPr>
        <w:spacing w:before="240" w:after="120" w:line="216" w:lineRule="auto"/>
        <w:outlineLvl w:val="1"/>
        <w:rPr>
          <w:color w:val="4D4D4D"/>
          <w:sz w:val="32"/>
          <w:lang w:eastAsia="en-US"/>
        </w:rPr>
      </w:pPr>
      <w:r w:rsidRPr="00765E83">
        <w:rPr>
          <w:color w:val="4D4D4D"/>
          <w:sz w:val="32"/>
          <w:lang w:eastAsia="en-US"/>
        </w:rPr>
        <w:t>Mandatory requirements</w:t>
      </w:r>
      <w:bookmarkEnd w:id="26"/>
      <w:bookmarkEnd w:id="27"/>
      <w:bookmarkEnd w:id="28"/>
    </w:p>
    <w:p w14:paraId="58DD69A7" w14:textId="71FD1CA6" w:rsidR="00F77FD7" w:rsidRPr="00532E37" w:rsidRDefault="00F77FD7" w:rsidP="00765E83">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r w:rsidRPr="00532E37">
        <w:rPr>
          <w:color w:val="4D4D4D"/>
          <w:sz w:val="32"/>
          <w:lang w:eastAsia="en-US"/>
        </w:rPr>
        <w:t xml:space="preserve">2.1.1 </w:t>
      </w:r>
      <w:r w:rsidR="003E6171">
        <w:rPr>
          <w:color w:val="4D4D4D"/>
          <w:sz w:val="32"/>
          <w:lang w:eastAsia="en-US"/>
        </w:rPr>
        <w:t xml:space="preserve"> </w:t>
      </w:r>
      <w:r w:rsidRPr="00532E37">
        <w:rPr>
          <w:color w:val="4D4D4D"/>
          <w:sz w:val="32"/>
          <w:lang w:eastAsia="en-US"/>
        </w:rPr>
        <w:t xml:space="preserve">State purchase contracts </w:t>
      </w:r>
    </w:p>
    <w:p w14:paraId="1D5A1D5E" w14:textId="77777777" w:rsidR="00D85A73" w:rsidRPr="003E6171" w:rsidRDefault="00D85A73" w:rsidP="002A77F9">
      <w:pPr>
        <w:spacing w:before="240" w:after="120"/>
        <w:ind w:left="720"/>
        <w:outlineLvl w:val="3"/>
        <w:rPr>
          <w:rFonts w:asciiTheme="minorHAnsi" w:hAnsiTheme="minorHAnsi" w:cstheme="minorHAnsi"/>
          <w:b/>
          <w:bCs/>
          <w:color w:val="3B3838" w:themeColor="background2" w:themeShade="40"/>
          <w:sz w:val="28"/>
          <w:szCs w:val="28"/>
        </w:rPr>
      </w:pPr>
      <w:bookmarkStart w:id="29" w:name="_Toc323202813"/>
      <w:r w:rsidRPr="003E6171">
        <w:rPr>
          <w:rFonts w:asciiTheme="minorHAnsi" w:hAnsiTheme="minorHAnsi" w:cstheme="minorHAnsi"/>
          <w:b/>
          <w:bCs/>
          <w:color w:val="3B3838" w:themeColor="background2" w:themeShade="40"/>
          <w:sz w:val="28"/>
          <w:szCs w:val="28"/>
        </w:rPr>
        <w:t>Establishing an SPC</w:t>
      </w:r>
    </w:p>
    <w:p w14:paraId="25256B34" w14:textId="77777777" w:rsidR="00D85A73" w:rsidRPr="00D85A73" w:rsidRDefault="00D85A73" w:rsidP="00532E37">
      <w:pPr>
        <w:spacing w:before="120" w:after="120"/>
        <w:ind w:left="720"/>
        <w:rPr>
          <w:rFonts w:asciiTheme="minorHAnsi" w:hAnsiTheme="minorHAnsi" w:cstheme="minorHAnsi"/>
        </w:rPr>
      </w:pPr>
      <w:r w:rsidRPr="00D85A73">
        <w:rPr>
          <w:rFonts w:asciiTheme="minorHAnsi" w:hAnsiTheme="minorHAnsi" w:cstheme="minorHAnsi"/>
        </w:rPr>
        <w:t>An SPC is a whole-of-government procurement arrangement established for repeated use by all organisations to procure common goods or services. This includes standing offers and registers.</w:t>
      </w:r>
    </w:p>
    <w:p w14:paraId="278E6B61" w14:textId="77777777" w:rsidR="00D85A73" w:rsidRPr="00D85A73" w:rsidRDefault="00D85A73" w:rsidP="00532E37">
      <w:pPr>
        <w:spacing w:before="120" w:after="120"/>
        <w:ind w:left="720"/>
        <w:rPr>
          <w:rFonts w:asciiTheme="minorHAnsi" w:hAnsiTheme="minorHAnsi" w:cstheme="minorHAnsi"/>
        </w:rPr>
      </w:pPr>
      <w:r w:rsidRPr="00D85A73">
        <w:rPr>
          <w:rFonts w:asciiTheme="minorHAnsi" w:hAnsiTheme="minorHAnsi" w:cstheme="minorHAnsi"/>
        </w:rPr>
        <w:t>To establish an SPC, one organisation (the lead agency) must:</w:t>
      </w:r>
    </w:p>
    <w:p w14:paraId="1DBA38A4" w14:textId="77777777" w:rsidR="00D85A73" w:rsidRPr="00D85A73" w:rsidRDefault="00D85A73" w:rsidP="00532E37">
      <w:pPr>
        <w:numPr>
          <w:ilvl w:val="0"/>
          <w:numId w:val="17"/>
        </w:numPr>
        <w:tabs>
          <w:tab w:val="clear" w:pos="720"/>
          <w:tab w:val="num" w:pos="1440"/>
        </w:tabs>
        <w:spacing w:before="120" w:after="120" w:line="259" w:lineRule="auto"/>
        <w:ind w:left="1440"/>
        <w:rPr>
          <w:rFonts w:asciiTheme="minorHAnsi" w:hAnsiTheme="minorHAnsi" w:cstheme="minorHAnsi"/>
        </w:rPr>
      </w:pPr>
      <w:r w:rsidRPr="00D85A73">
        <w:rPr>
          <w:rFonts w:asciiTheme="minorHAnsi" w:hAnsiTheme="minorHAnsi" w:cstheme="minorHAnsi"/>
        </w:rPr>
        <w:t>consult with the VGPB on the proposed arrangement</w:t>
      </w:r>
    </w:p>
    <w:p w14:paraId="0C1B9B3C" w14:textId="77777777" w:rsidR="00D85A73" w:rsidRPr="00D85A73" w:rsidRDefault="00D85A73" w:rsidP="00532E37">
      <w:pPr>
        <w:numPr>
          <w:ilvl w:val="0"/>
          <w:numId w:val="17"/>
        </w:numPr>
        <w:tabs>
          <w:tab w:val="clear" w:pos="720"/>
          <w:tab w:val="num" w:pos="1440"/>
        </w:tabs>
        <w:spacing w:before="120" w:after="120" w:line="259" w:lineRule="auto"/>
        <w:ind w:left="1440"/>
        <w:rPr>
          <w:rFonts w:asciiTheme="minorHAnsi" w:hAnsiTheme="minorHAnsi" w:cstheme="minorHAnsi"/>
        </w:rPr>
      </w:pPr>
      <w:r w:rsidRPr="00D85A73">
        <w:rPr>
          <w:rFonts w:asciiTheme="minorHAnsi" w:hAnsiTheme="minorHAnsi" w:cstheme="minorHAnsi"/>
        </w:rPr>
        <w:t xml:space="preserve">satisfy the VGPB that it has the capability to establish and manage the proposed arrangement </w:t>
      </w:r>
    </w:p>
    <w:p w14:paraId="1A1F145B" w14:textId="77777777" w:rsidR="00D85A73" w:rsidRPr="00D85A73" w:rsidRDefault="00D85A73" w:rsidP="00532E37">
      <w:pPr>
        <w:numPr>
          <w:ilvl w:val="0"/>
          <w:numId w:val="17"/>
        </w:numPr>
        <w:tabs>
          <w:tab w:val="clear" w:pos="720"/>
          <w:tab w:val="num" w:pos="1440"/>
        </w:tabs>
        <w:spacing w:before="120" w:after="120" w:line="259" w:lineRule="auto"/>
        <w:ind w:left="1440"/>
        <w:rPr>
          <w:rFonts w:asciiTheme="minorHAnsi" w:hAnsiTheme="minorHAnsi" w:cstheme="minorHAnsi"/>
        </w:rPr>
      </w:pPr>
      <w:bookmarkStart w:id="30" w:name="_Hlk152132864"/>
      <w:r w:rsidRPr="00D85A73">
        <w:rPr>
          <w:rFonts w:asciiTheme="minorHAnsi" w:hAnsiTheme="minorHAnsi" w:cstheme="minorHAnsi"/>
        </w:rPr>
        <w:t>have an SPC business case endorsed by the VGPB, then approved by the lead agency’s relevant Minister</w:t>
      </w:r>
    </w:p>
    <w:bookmarkEnd w:id="30"/>
    <w:p w14:paraId="355CAC71" w14:textId="77777777" w:rsidR="00D85A73" w:rsidRPr="00D85A73" w:rsidRDefault="00D85A73" w:rsidP="00532E37">
      <w:pPr>
        <w:numPr>
          <w:ilvl w:val="0"/>
          <w:numId w:val="17"/>
        </w:numPr>
        <w:tabs>
          <w:tab w:val="clear" w:pos="720"/>
          <w:tab w:val="num" w:pos="1440"/>
        </w:tabs>
        <w:spacing w:before="120" w:after="120" w:line="259" w:lineRule="auto"/>
        <w:ind w:left="1440"/>
        <w:rPr>
          <w:rFonts w:asciiTheme="minorHAnsi" w:hAnsiTheme="minorHAnsi" w:cstheme="minorHAnsi"/>
        </w:rPr>
      </w:pPr>
      <w:r w:rsidRPr="00D85A73">
        <w:rPr>
          <w:rFonts w:asciiTheme="minorHAnsi" w:hAnsiTheme="minorHAnsi" w:cstheme="minorHAnsi"/>
        </w:rPr>
        <w:t>obtain authorisation from its relevant Minister to enter an SPC agreement on behalf of the Victorian Government</w:t>
      </w:r>
    </w:p>
    <w:p w14:paraId="3F504C88" w14:textId="77777777" w:rsidR="00D85A73" w:rsidRPr="00D85A73" w:rsidRDefault="00D85A73" w:rsidP="00532E37">
      <w:pPr>
        <w:numPr>
          <w:ilvl w:val="0"/>
          <w:numId w:val="17"/>
        </w:numPr>
        <w:spacing w:before="120" w:after="120" w:line="259" w:lineRule="auto"/>
        <w:ind w:left="1440"/>
        <w:rPr>
          <w:rFonts w:asciiTheme="minorHAnsi" w:hAnsiTheme="minorHAnsi" w:cstheme="minorHAnsi"/>
        </w:rPr>
      </w:pPr>
      <w:r w:rsidRPr="00D85A73">
        <w:rPr>
          <w:rFonts w:asciiTheme="minorHAnsi" w:hAnsiTheme="minorHAnsi" w:cstheme="minorHAnsi"/>
        </w:rPr>
        <w:t>establish appropriate governance for the arrangement, including a contract management framework</w:t>
      </w:r>
    </w:p>
    <w:p w14:paraId="0694E350" w14:textId="77777777" w:rsidR="00D85A73" w:rsidRPr="00D85A73" w:rsidRDefault="00D85A73" w:rsidP="00532E37">
      <w:pPr>
        <w:numPr>
          <w:ilvl w:val="0"/>
          <w:numId w:val="17"/>
        </w:numPr>
        <w:spacing w:before="120" w:after="120" w:line="259" w:lineRule="auto"/>
        <w:ind w:left="1440"/>
        <w:rPr>
          <w:rFonts w:asciiTheme="minorHAnsi" w:hAnsiTheme="minorHAnsi" w:cstheme="minorHAnsi"/>
        </w:rPr>
      </w:pPr>
      <w:r w:rsidRPr="00D85A73">
        <w:rPr>
          <w:rFonts w:asciiTheme="minorHAnsi" w:hAnsiTheme="minorHAnsi" w:cstheme="minorHAnsi"/>
        </w:rPr>
        <w:t>establish rules of use that apply to buyers using the arrangement</w:t>
      </w:r>
    </w:p>
    <w:p w14:paraId="18E128BD" w14:textId="77777777" w:rsidR="00D85A73" w:rsidRPr="00D85A73" w:rsidRDefault="00D85A73" w:rsidP="00532E37">
      <w:pPr>
        <w:spacing w:before="120" w:after="120"/>
        <w:ind w:left="720"/>
        <w:rPr>
          <w:rFonts w:asciiTheme="minorHAnsi" w:hAnsiTheme="minorHAnsi" w:cstheme="minorHAnsi"/>
        </w:rPr>
      </w:pPr>
      <w:r w:rsidRPr="00D85A73">
        <w:rPr>
          <w:rFonts w:asciiTheme="minorHAnsi" w:hAnsiTheme="minorHAnsi" w:cstheme="minorHAnsi"/>
        </w:rPr>
        <w:t xml:space="preserve">The VGPB may determine that it will provide strategic oversight of the lead agency’s process for establishing an SPC. </w:t>
      </w:r>
    </w:p>
    <w:p w14:paraId="18B4DB35" w14:textId="2AB4C99D" w:rsidR="003E6171" w:rsidRPr="00E46954" w:rsidRDefault="00D85A73" w:rsidP="00E46954">
      <w:pPr>
        <w:spacing w:before="0" w:after="80"/>
        <w:ind w:left="720"/>
        <w:rPr>
          <w:rFonts w:asciiTheme="minorHAnsi" w:hAnsiTheme="minorHAnsi" w:cstheme="minorHAnsi"/>
        </w:rPr>
      </w:pPr>
      <w:r w:rsidRPr="00D85A73">
        <w:rPr>
          <w:rFonts w:asciiTheme="minorHAnsi" w:hAnsiTheme="minorHAnsi" w:cstheme="minorHAnsi"/>
        </w:rPr>
        <w:t xml:space="preserve">SPCs may be established as a mandatory or non-mandatory arrangement. </w:t>
      </w:r>
    </w:p>
    <w:p w14:paraId="77F9DF72" w14:textId="77777777" w:rsidR="00D85A73" w:rsidRPr="003E6171" w:rsidRDefault="00D85A73" w:rsidP="002A77F9">
      <w:pPr>
        <w:spacing w:before="240" w:after="120"/>
        <w:ind w:left="720"/>
        <w:outlineLvl w:val="3"/>
        <w:rPr>
          <w:rFonts w:asciiTheme="minorHAnsi" w:hAnsiTheme="minorHAnsi" w:cstheme="minorHAnsi"/>
          <w:b/>
          <w:bCs/>
          <w:color w:val="3B3838" w:themeColor="background2" w:themeShade="40"/>
          <w:sz w:val="28"/>
          <w:szCs w:val="28"/>
        </w:rPr>
      </w:pPr>
      <w:r w:rsidRPr="003E6171">
        <w:rPr>
          <w:rFonts w:asciiTheme="minorHAnsi" w:hAnsiTheme="minorHAnsi" w:cstheme="minorHAnsi"/>
          <w:b/>
          <w:bCs/>
          <w:color w:val="3B3838" w:themeColor="background2" w:themeShade="40"/>
          <w:sz w:val="28"/>
          <w:szCs w:val="28"/>
        </w:rPr>
        <w:t>Replacing or varying an SPC</w:t>
      </w:r>
    </w:p>
    <w:p w14:paraId="47FE12FF" w14:textId="77777777" w:rsidR="00D85A73" w:rsidRPr="00D85A73" w:rsidRDefault="00D85A73" w:rsidP="00532E37">
      <w:pPr>
        <w:spacing w:before="120" w:after="120"/>
        <w:ind w:left="720"/>
        <w:rPr>
          <w:rFonts w:asciiTheme="minorHAnsi" w:hAnsiTheme="minorHAnsi" w:cstheme="minorHAnsi"/>
        </w:rPr>
      </w:pPr>
      <w:r w:rsidRPr="00D85A73">
        <w:rPr>
          <w:rFonts w:asciiTheme="minorHAnsi" w:hAnsiTheme="minorHAnsi" w:cstheme="minorHAnsi"/>
        </w:rPr>
        <w:t>To replace or materially vary an SPC, the lead agency must:</w:t>
      </w:r>
    </w:p>
    <w:p w14:paraId="792BA0C4" w14:textId="77777777" w:rsidR="00D85A73" w:rsidRPr="00D85A73" w:rsidRDefault="00D85A73" w:rsidP="00532E37">
      <w:pPr>
        <w:pStyle w:val="ListParagraph"/>
        <w:numPr>
          <w:ilvl w:val="0"/>
          <w:numId w:val="18"/>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consult with the VGPB</w:t>
      </w:r>
    </w:p>
    <w:p w14:paraId="19C38122" w14:textId="77777777" w:rsidR="00D85A73" w:rsidRPr="00D85A73" w:rsidRDefault="00D85A73" w:rsidP="00532E37">
      <w:pPr>
        <w:pStyle w:val="ListParagraph"/>
        <w:numPr>
          <w:ilvl w:val="0"/>
          <w:numId w:val="18"/>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obtain approval from its relevant Minister</w:t>
      </w:r>
    </w:p>
    <w:p w14:paraId="07932EE5" w14:textId="77777777" w:rsidR="00D85A73" w:rsidRPr="00D85A73" w:rsidRDefault="00D85A73" w:rsidP="00532E37">
      <w:pPr>
        <w:pStyle w:val="ListParagraph"/>
        <w:numPr>
          <w:ilvl w:val="0"/>
          <w:numId w:val="18"/>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obtain authorisation from its relevant Minister to implement on behalf of the Victorian Government</w:t>
      </w:r>
    </w:p>
    <w:p w14:paraId="24FD49A9" w14:textId="74A76007" w:rsidR="00532E37" w:rsidRPr="00D85A73" w:rsidRDefault="00D85A73" w:rsidP="00E46954">
      <w:pPr>
        <w:spacing w:before="120" w:after="80"/>
        <w:ind w:left="720"/>
        <w:rPr>
          <w:rFonts w:asciiTheme="minorHAnsi" w:hAnsiTheme="minorHAnsi" w:cstheme="minorHAnsi"/>
        </w:rPr>
      </w:pPr>
      <w:r w:rsidRPr="00D85A73">
        <w:rPr>
          <w:rFonts w:asciiTheme="minorHAnsi" w:hAnsiTheme="minorHAnsi" w:cstheme="minorHAnsi"/>
        </w:rPr>
        <w:lastRenderedPageBreak/>
        <w:t xml:space="preserve">The VGPB may determine that it will provide strategic oversight of the lead agency’s process for replacing or materially varying an SPC. </w:t>
      </w:r>
    </w:p>
    <w:p w14:paraId="50EEC44B" w14:textId="77777777" w:rsidR="00D85A73" w:rsidRPr="003E6171" w:rsidRDefault="00D85A73" w:rsidP="002A77F9">
      <w:pPr>
        <w:spacing w:before="240" w:after="120"/>
        <w:ind w:left="720"/>
        <w:outlineLvl w:val="3"/>
        <w:rPr>
          <w:rFonts w:asciiTheme="minorHAnsi" w:hAnsiTheme="minorHAnsi" w:cstheme="minorHAnsi"/>
          <w:b/>
          <w:bCs/>
          <w:color w:val="3B3838" w:themeColor="background2" w:themeShade="40"/>
          <w:sz w:val="28"/>
          <w:szCs w:val="28"/>
        </w:rPr>
      </w:pPr>
      <w:r w:rsidRPr="003E6171">
        <w:rPr>
          <w:rFonts w:asciiTheme="minorHAnsi" w:hAnsiTheme="minorHAnsi" w:cstheme="minorHAnsi"/>
          <w:b/>
          <w:bCs/>
          <w:color w:val="3B3838" w:themeColor="background2" w:themeShade="40"/>
          <w:sz w:val="28"/>
          <w:szCs w:val="28"/>
        </w:rPr>
        <w:t>Reporting on an SPC</w:t>
      </w:r>
    </w:p>
    <w:p w14:paraId="72ED47C9" w14:textId="77777777" w:rsidR="00D85A73" w:rsidRPr="00D85A73" w:rsidRDefault="00D85A73" w:rsidP="00E46954">
      <w:pPr>
        <w:spacing w:before="80" w:after="120"/>
        <w:ind w:left="720"/>
        <w:rPr>
          <w:rFonts w:asciiTheme="minorHAnsi" w:hAnsiTheme="minorHAnsi" w:cstheme="minorHAnsi"/>
        </w:rPr>
      </w:pPr>
      <w:r w:rsidRPr="00D85A73">
        <w:rPr>
          <w:rFonts w:asciiTheme="minorHAnsi" w:hAnsiTheme="minorHAnsi" w:cstheme="minorHAnsi"/>
        </w:rPr>
        <w:t xml:space="preserve">The lead agency must: </w:t>
      </w:r>
    </w:p>
    <w:p w14:paraId="13E7E25B" w14:textId="77777777" w:rsidR="00D85A73" w:rsidRPr="00D85A73" w:rsidRDefault="00D85A73" w:rsidP="00E46954">
      <w:pPr>
        <w:pStyle w:val="ListParagraph"/>
        <w:numPr>
          <w:ilvl w:val="0"/>
          <w:numId w:val="19"/>
        </w:numPr>
        <w:spacing w:before="80" w:after="120" w:line="259" w:lineRule="auto"/>
        <w:contextualSpacing w:val="0"/>
        <w:rPr>
          <w:rFonts w:asciiTheme="minorHAnsi" w:hAnsiTheme="minorHAnsi" w:cstheme="minorHAnsi"/>
        </w:rPr>
      </w:pPr>
      <w:r w:rsidRPr="00D85A73">
        <w:rPr>
          <w:rFonts w:asciiTheme="minorHAnsi" w:hAnsiTheme="minorHAnsi" w:cstheme="minorHAnsi"/>
        </w:rPr>
        <w:t>report to the VGPB on the ongoing use of an SPC, including the achievement of value for money</w:t>
      </w:r>
    </w:p>
    <w:p w14:paraId="41E38C1C" w14:textId="77777777" w:rsidR="00D85A73" w:rsidRPr="00D85A73" w:rsidRDefault="00D85A73" w:rsidP="00E46954">
      <w:pPr>
        <w:pStyle w:val="ListParagraph"/>
        <w:numPr>
          <w:ilvl w:val="0"/>
          <w:numId w:val="19"/>
        </w:numPr>
        <w:spacing w:before="80" w:after="120" w:line="259" w:lineRule="auto"/>
        <w:contextualSpacing w:val="0"/>
        <w:rPr>
          <w:rFonts w:asciiTheme="minorHAnsi" w:hAnsiTheme="minorHAnsi" w:cstheme="minorHAnsi"/>
        </w:rPr>
      </w:pPr>
      <w:r w:rsidRPr="00D85A73">
        <w:rPr>
          <w:rFonts w:asciiTheme="minorHAnsi" w:hAnsiTheme="minorHAnsi" w:cstheme="minorHAnsi"/>
        </w:rPr>
        <w:t xml:space="preserve">provide information on the management and use of an SPC to organisations using the SPC </w:t>
      </w:r>
    </w:p>
    <w:p w14:paraId="6CCA787A" w14:textId="250DE99B" w:rsidR="00E46954" w:rsidRPr="00D85A73" w:rsidRDefault="00D85A73" w:rsidP="00E46954">
      <w:pPr>
        <w:spacing w:before="80" w:after="80"/>
        <w:ind w:left="720"/>
        <w:rPr>
          <w:rFonts w:asciiTheme="minorHAnsi" w:hAnsiTheme="minorHAnsi" w:cstheme="minorHAnsi"/>
        </w:rPr>
      </w:pPr>
      <w:r w:rsidRPr="00D85A73">
        <w:rPr>
          <w:rFonts w:asciiTheme="minorHAnsi" w:hAnsiTheme="minorHAnsi" w:cstheme="minorHAnsi"/>
        </w:rPr>
        <w:t>Organisations using an SPC must provide information to the lead agency as requested</w:t>
      </w:r>
    </w:p>
    <w:p w14:paraId="2DFCBDA2" w14:textId="77777777" w:rsidR="00D85A73" w:rsidRPr="003E6171" w:rsidRDefault="00D85A73" w:rsidP="002A77F9">
      <w:pPr>
        <w:spacing w:before="240" w:after="120"/>
        <w:ind w:left="720"/>
        <w:outlineLvl w:val="3"/>
        <w:rPr>
          <w:rFonts w:asciiTheme="minorHAnsi" w:hAnsiTheme="minorHAnsi" w:cstheme="minorHAnsi"/>
          <w:b/>
          <w:bCs/>
          <w:color w:val="3B3838" w:themeColor="background2" w:themeShade="40"/>
          <w:sz w:val="28"/>
          <w:szCs w:val="28"/>
        </w:rPr>
      </w:pPr>
      <w:r w:rsidRPr="003E6171">
        <w:rPr>
          <w:rFonts w:asciiTheme="minorHAnsi" w:hAnsiTheme="minorHAnsi" w:cstheme="minorHAnsi"/>
          <w:b/>
          <w:bCs/>
          <w:color w:val="3B3838" w:themeColor="background2" w:themeShade="40"/>
          <w:sz w:val="28"/>
          <w:szCs w:val="28"/>
        </w:rPr>
        <w:t>Using an SPC</w:t>
      </w:r>
    </w:p>
    <w:p w14:paraId="5403BAA1" w14:textId="77777777" w:rsidR="00D85A73" w:rsidRPr="00D85A73" w:rsidRDefault="00D85A73" w:rsidP="00E46954">
      <w:pPr>
        <w:spacing w:before="80" w:after="120"/>
        <w:ind w:left="720"/>
        <w:rPr>
          <w:rFonts w:asciiTheme="minorHAnsi" w:hAnsiTheme="minorHAnsi" w:cstheme="minorHAnsi"/>
        </w:rPr>
      </w:pPr>
      <w:r w:rsidRPr="00D85A73">
        <w:rPr>
          <w:rFonts w:asciiTheme="minorHAnsi" w:hAnsiTheme="minorHAnsi" w:cstheme="minorHAnsi"/>
        </w:rPr>
        <w:t>Organisations must use a mandatory SPC. They should use a non-mandatory SPC if it demonstrates value for money for the organisation.</w:t>
      </w:r>
    </w:p>
    <w:p w14:paraId="2E1B96F8" w14:textId="77777777" w:rsidR="00D85A73" w:rsidRPr="00D85A73" w:rsidRDefault="00D85A73" w:rsidP="00E46954">
      <w:pPr>
        <w:spacing w:before="80" w:after="120"/>
        <w:ind w:left="720"/>
        <w:rPr>
          <w:rFonts w:asciiTheme="minorHAnsi" w:hAnsiTheme="minorHAnsi" w:cstheme="minorHAnsi"/>
        </w:rPr>
      </w:pPr>
      <w:r w:rsidRPr="00D85A73">
        <w:rPr>
          <w:rFonts w:asciiTheme="minorHAnsi" w:hAnsiTheme="minorHAnsi" w:cstheme="minorHAnsi"/>
        </w:rPr>
        <w:t xml:space="preserve">When using an SPC, buyers must follow the rules of use for the arrangement. </w:t>
      </w:r>
    </w:p>
    <w:p w14:paraId="737B71D2" w14:textId="77777777" w:rsidR="00D85A73" w:rsidRPr="00D85A73" w:rsidRDefault="00D85A73" w:rsidP="00E46954">
      <w:pPr>
        <w:spacing w:before="80" w:after="120"/>
        <w:ind w:left="720"/>
        <w:rPr>
          <w:rFonts w:asciiTheme="minorHAnsi" w:hAnsiTheme="minorHAnsi" w:cstheme="minorHAnsi"/>
        </w:rPr>
      </w:pPr>
      <w:r w:rsidRPr="00D85A73">
        <w:rPr>
          <w:rFonts w:asciiTheme="minorHAnsi" w:hAnsiTheme="minorHAnsi" w:cstheme="minorHAnsi"/>
        </w:rPr>
        <w:t xml:space="preserve">An organisation must transition to using a mandatory SPC: </w:t>
      </w:r>
    </w:p>
    <w:p w14:paraId="61CA7B4D" w14:textId="081A5DA9" w:rsidR="00D85A73" w:rsidRPr="00D85A73" w:rsidRDefault="00D85A73" w:rsidP="00E46954">
      <w:pPr>
        <w:pStyle w:val="ListParagraph"/>
        <w:numPr>
          <w:ilvl w:val="0"/>
          <w:numId w:val="20"/>
        </w:numPr>
        <w:spacing w:before="80" w:after="120" w:line="259" w:lineRule="auto"/>
        <w:ind w:left="1440"/>
        <w:contextualSpacing w:val="0"/>
        <w:rPr>
          <w:rFonts w:asciiTheme="minorHAnsi" w:hAnsiTheme="minorHAnsi" w:cstheme="minorHAnsi"/>
        </w:rPr>
      </w:pPr>
      <w:r w:rsidRPr="00D85A73">
        <w:rPr>
          <w:rFonts w:asciiTheme="minorHAnsi" w:hAnsiTheme="minorHAnsi" w:cstheme="minorHAnsi"/>
        </w:rPr>
        <w:t>when the SPC commences, subject to any transition period determined by the lead agency</w:t>
      </w:r>
    </w:p>
    <w:p w14:paraId="2FE9161C" w14:textId="544B6EFE" w:rsidR="00D85A73" w:rsidRPr="00D85A73" w:rsidRDefault="00D85A73" w:rsidP="00E46954">
      <w:pPr>
        <w:pStyle w:val="ListParagraph"/>
        <w:numPr>
          <w:ilvl w:val="0"/>
          <w:numId w:val="20"/>
        </w:numPr>
        <w:spacing w:before="80" w:after="120" w:line="259" w:lineRule="auto"/>
        <w:ind w:left="1440"/>
        <w:contextualSpacing w:val="0"/>
        <w:rPr>
          <w:rFonts w:asciiTheme="minorHAnsi" w:hAnsiTheme="minorHAnsi" w:cstheme="minorHAnsi"/>
        </w:rPr>
      </w:pPr>
      <w:r w:rsidRPr="00D85A73">
        <w:rPr>
          <w:rFonts w:asciiTheme="minorHAnsi" w:hAnsiTheme="minorHAnsi" w:cstheme="minorHAnsi"/>
        </w:rPr>
        <w:t>when the term of a contract covered by the scope of the SPC expires</w:t>
      </w:r>
    </w:p>
    <w:p w14:paraId="1C02018C" w14:textId="5759BF89" w:rsidR="00D85A73" w:rsidRPr="00D85A73" w:rsidRDefault="00D85A73" w:rsidP="00E46954">
      <w:pPr>
        <w:pStyle w:val="ListParagraph"/>
        <w:numPr>
          <w:ilvl w:val="0"/>
          <w:numId w:val="20"/>
        </w:numPr>
        <w:spacing w:before="80" w:after="120" w:line="259" w:lineRule="auto"/>
        <w:ind w:left="1440"/>
        <w:contextualSpacing w:val="0"/>
        <w:rPr>
          <w:rFonts w:asciiTheme="minorHAnsi" w:hAnsiTheme="minorHAnsi" w:cstheme="minorHAnsi"/>
        </w:rPr>
      </w:pPr>
      <w:r w:rsidRPr="00D85A73">
        <w:rPr>
          <w:rFonts w:asciiTheme="minorHAnsi" w:hAnsiTheme="minorHAnsi" w:cstheme="minorHAnsi"/>
        </w:rPr>
        <w:t>when an exemption relating to the SPC no longer applies</w:t>
      </w:r>
    </w:p>
    <w:p w14:paraId="7E28378A" w14:textId="4C25A647" w:rsidR="003E6171" w:rsidRPr="00D85A73" w:rsidRDefault="00D85A73" w:rsidP="00E46954">
      <w:pPr>
        <w:spacing w:before="80" w:after="120"/>
        <w:ind w:left="720"/>
        <w:rPr>
          <w:rFonts w:asciiTheme="minorHAnsi" w:hAnsiTheme="minorHAnsi" w:cstheme="minorHAnsi"/>
        </w:rPr>
      </w:pPr>
      <w:r w:rsidRPr="00D85A73">
        <w:rPr>
          <w:rFonts w:asciiTheme="minorHAnsi" w:hAnsiTheme="minorHAnsi" w:cstheme="minorHAnsi"/>
        </w:rPr>
        <w:t xml:space="preserve">Other Victorian public bodies and some non-government entities may apply to the lead agency to use an SPC. </w:t>
      </w:r>
    </w:p>
    <w:p w14:paraId="6D4435F4" w14:textId="77777777" w:rsidR="00D85A73" w:rsidRPr="003E6171" w:rsidRDefault="00D85A73" w:rsidP="002A77F9">
      <w:pPr>
        <w:spacing w:before="240" w:after="120"/>
        <w:ind w:left="720"/>
        <w:outlineLvl w:val="3"/>
        <w:rPr>
          <w:rFonts w:asciiTheme="minorHAnsi" w:hAnsiTheme="minorHAnsi" w:cstheme="minorHAnsi"/>
          <w:b/>
          <w:bCs/>
          <w:color w:val="3B3838" w:themeColor="background2" w:themeShade="40"/>
          <w:sz w:val="28"/>
          <w:szCs w:val="28"/>
        </w:rPr>
      </w:pPr>
      <w:r w:rsidRPr="003E6171">
        <w:rPr>
          <w:rFonts w:asciiTheme="minorHAnsi" w:hAnsiTheme="minorHAnsi" w:cstheme="minorHAnsi"/>
          <w:b/>
          <w:bCs/>
          <w:color w:val="3B3838" w:themeColor="background2" w:themeShade="40"/>
          <w:sz w:val="28"/>
          <w:szCs w:val="28"/>
        </w:rPr>
        <w:t>SPC exemptions</w:t>
      </w:r>
    </w:p>
    <w:p w14:paraId="6CD6B0A6" w14:textId="77777777" w:rsidR="00D85A73" w:rsidRPr="00D85A73" w:rsidRDefault="00D85A73" w:rsidP="00E46954">
      <w:pPr>
        <w:spacing w:before="80" w:after="120"/>
        <w:ind w:left="720"/>
        <w:rPr>
          <w:rFonts w:asciiTheme="minorHAnsi" w:hAnsiTheme="minorHAnsi" w:cstheme="minorHAnsi"/>
        </w:rPr>
      </w:pPr>
      <w:r w:rsidRPr="00D85A73">
        <w:rPr>
          <w:rFonts w:asciiTheme="minorHAnsi" w:hAnsiTheme="minorHAnsi" w:cstheme="minorHAnsi"/>
        </w:rPr>
        <w:t xml:space="preserve">An organisation may apply for an exemption from using a mandatory SPC. </w:t>
      </w:r>
    </w:p>
    <w:p w14:paraId="0343B670" w14:textId="77777777" w:rsidR="00D85A73" w:rsidRPr="00D85A73" w:rsidRDefault="00D85A73" w:rsidP="00E46954">
      <w:pPr>
        <w:spacing w:before="80" w:after="120"/>
        <w:ind w:left="720"/>
        <w:rPr>
          <w:rFonts w:asciiTheme="minorHAnsi" w:hAnsiTheme="minorHAnsi" w:cstheme="minorHAnsi"/>
        </w:rPr>
      </w:pPr>
      <w:r w:rsidRPr="00D85A73">
        <w:rPr>
          <w:rFonts w:asciiTheme="minorHAnsi" w:hAnsiTheme="minorHAnsi" w:cstheme="minorHAnsi"/>
        </w:rPr>
        <w:t>An exemption may cover:</w:t>
      </w:r>
    </w:p>
    <w:p w14:paraId="57BA89FA" w14:textId="77777777" w:rsidR="00D85A73" w:rsidRPr="00D85A73" w:rsidRDefault="00D85A73" w:rsidP="00E46954">
      <w:pPr>
        <w:pStyle w:val="ListParagraph"/>
        <w:numPr>
          <w:ilvl w:val="0"/>
          <w:numId w:val="21"/>
        </w:numPr>
        <w:spacing w:before="80" w:after="120" w:line="259" w:lineRule="auto"/>
        <w:ind w:left="1440"/>
        <w:contextualSpacing w:val="0"/>
        <w:rPr>
          <w:rFonts w:asciiTheme="minorHAnsi" w:hAnsiTheme="minorHAnsi" w:cstheme="minorHAnsi"/>
        </w:rPr>
      </w:pPr>
      <w:r w:rsidRPr="00D85A73">
        <w:rPr>
          <w:rFonts w:asciiTheme="minorHAnsi" w:hAnsiTheme="minorHAnsi" w:cstheme="minorHAnsi"/>
        </w:rPr>
        <w:t>a specified period or one-off supply</w:t>
      </w:r>
    </w:p>
    <w:p w14:paraId="2A4C2ADE" w14:textId="77777777" w:rsidR="00D85A73" w:rsidRPr="00D85A73" w:rsidRDefault="00D85A73" w:rsidP="00E46954">
      <w:pPr>
        <w:pStyle w:val="ListParagraph"/>
        <w:numPr>
          <w:ilvl w:val="0"/>
          <w:numId w:val="21"/>
        </w:numPr>
        <w:spacing w:before="80" w:after="120" w:line="259" w:lineRule="auto"/>
        <w:ind w:left="1440"/>
        <w:contextualSpacing w:val="0"/>
        <w:rPr>
          <w:rFonts w:asciiTheme="minorHAnsi" w:hAnsiTheme="minorHAnsi" w:cstheme="minorHAnsi"/>
        </w:rPr>
      </w:pPr>
      <w:r w:rsidRPr="00D85A73">
        <w:rPr>
          <w:rFonts w:asciiTheme="minorHAnsi" w:hAnsiTheme="minorHAnsi" w:cstheme="minorHAnsi"/>
        </w:rPr>
        <w:t xml:space="preserve">the whole or part of an organisation </w:t>
      </w:r>
    </w:p>
    <w:p w14:paraId="47155878" w14:textId="77777777" w:rsidR="00D85A73" w:rsidRPr="00D85A73" w:rsidRDefault="00D85A73" w:rsidP="00E46954">
      <w:pPr>
        <w:pStyle w:val="ListParagraph"/>
        <w:numPr>
          <w:ilvl w:val="0"/>
          <w:numId w:val="21"/>
        </w:numPr>
        <w:spacing w:before="80" w:after="120" w:line="259" w:lineRule="auto"/>
        <w:ind w:left="1440"/>
        <w:contextualSpacing w:val="0"/>
        <w:rPr>
          <w:rFonts w:asciiTheme="minorHAnsi" w:hAnsiTheme="minorHAnsi" w:cstheme="minorHAnsi"/>
        </w:rPr>
      </w:pPr>
      <w:r w:rsidRPr="00D85A73">
        <w:rPr>
          <w:rFonts w:asciiTheme="minorHAnsi" w:hAnsiTheme="minorHAnsi" w:cstheme="minorHAnsi"/>
        </w:rPr>
        <w:t xml:space="preserve">the whole or part of the SPC </w:t>
      </w:r>
    </w:p>
    <w:p w14:paraId="18EFDAEC" w14:textId="0CED45D2" w:rsidR="00D85A73" w:rsidRPr="00D85A73" w:rsidRDefault="00D85A73" w:rsidP="00E46954">
      <w:pPr>
        <w:spacing w:before="80" w:after="120"/>
        <w:ind w:left="720"/>
        <w:rPr>
          <w:rFonts w:asciiTheme="minorHAnsi" w:hAnsiTheme="minorHAnsi" w:cstheme="minorHAnsi"/>
        </w:rPr>
      </w:pPr>
      <w:r w:rsidRPr="00D85A73">
        <w:rPr>
          <w:rFonts w:asciiTheme="minorHAnsi" w:hAnsiTheme="minorHAnsi" w:cstheme="minorHAnsi"/>
        </w:rPr>
        <w:t xml:space="preserve">To apply for an exemption, an organisation must submit an </w:t>
      </w:r>
      <w:hyperlink r:id="rId11" w:history="1">
        <w:r w:rsidRPr="003446A9">
          <w:rPr>
            <w:rStyle w:val="Hyperlink"/>
            <w:rFonts w:asciiTheme="minorHAnsi" w:hAnsiTheme="minorHAnsi" w:cstheme="minorHAnsi"/>
            <w:u w:val="single"/>
          </w:rPr>
          <w:t>exemption request form</w:t>
        </w:r>
      </w:hyperlink>
      <w:r w:rsidRPr="00D85A73">
        <w:rPr>
          <w:rFonts w:asciiTheme="minorHAnsi" w:hAnsiTheme="minorHAnsi" w:cstheme="minorHAnsi"/>
          <w:color w:val="7030A0"/>
        </w:rPr>
        <w:t xml:space="preserve"> </w:t>
      </w:r>
      <w:r w:rsidRPr="00D85A73">
        <w:rPr>
          <w:rFonts w:asciiTheme="minorHAnsi" w:hAnsiTheme="minorHAnsi" w:cstheme="minorHAnsi"/>
        </w:rPr>
        <w:t>to the lead agency. The lead agency may grant an exemption if special circumstances exist in relation to using the SPC.</w:t>
      </w:r>
    </w:p>
    <w:p w14:paraId="6558F207" w14:textId="5DF9FBCA" w:rsidR="003E6171" w:rsidRPr="00D85A73" w:rsidRDefault="00D85A73" w:rsidP="00E46954">
      <w:pPr>
        <w:spacing w:before="80" w:after="120"/>
        <w:ind w:left="720"/>
        <w:rPr>
          <w:rFonts w:asciiTheme="minorHAnsi" w:hAnsiTheme="minorHAnsi" w:cstheme="minorHAnsi"/>
        </w:rPr>
      </w:pPr>
      <w:r w:rsidRPr="00D85A73">
        <w:rPr>
          <w:rFonts w:asciiTheme="minorHAnsi" w:hAnsiTheme="minorHAnsi" w:cstheme="minorHAnsi"/>
        </w:rPr>
        <w:t>When establishing a mandatory SPC, the lead agency may recommend in the SPC business case that an organisation is exempted from the proposed arrangement and demonstrate how it would be unable to achieve value for money.</w:t>
      </w:r>
    </w:p>
    <w:p w14:paraId="31B16CD7" w14:textId="77777777" w:rsidR="00D85A73" w:rsidRPr="003B4EB3" w:rsidRDefault="00D85A73" w:rsidP="00765E83">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r w:rsidRPr="003B4EB3">
        <w:rPr>
          <w:color w:val="4D4D4D"/>
          <w:sz w:val="32"/>
          <w:lang w:eastAsia="en-US"/>
        </w:rPr>
        <w:t xml:space="preserve">2.1.2 </w:t>
      </w:r>
      <w:proofErr w:type="gramStart"/>
      <w:r w:rsidRPr="003B4EB3">
        <w:rPr>
          <w:color w:val="4D4D4D"/>
          <w:sz w:val="32"/>
          <w:lang w:eastAsia="en-US"/>
        </w:rPr>
        <w:t>Multi-agency</w:t>
      </w:r>
      <w:proofErr w:type="gramEnd"/>
      <w:r w:rsidRPr="003B4EB3">
        <w:rPr>
          <w:color w:val="4D4D4D"/>
          <w:sz w:val="32"/>
          <w:lang w:eastAsia="en-US"/>
        </w:rPr>
        <w:t xml:space="preserve"> arrangements</w:t>
      </w:r>
    </w:p>
    <w:p w14:paraId="7EA94134" w14:textId="77777777" w:rsidR="00D85A73" w:rsidRPr="00D85A73" w:rsidRDefault="00D85A73" w:rsidP="00532E37">
      <w:pPr>
        <w:spacing w:before="120" w:after="120"/>
        <w:ind w:left="720"/>
        <w:rPr>
          <w:rFonts w:asciiTheme="minorHAnsi" w:hAnsiTheme="minorHAnsi" w:cstheme="minorHAnsi"/>
        </w:rPr>
      </w:pPr>
      <w:r w:rsidRPr="00D85A73">
        <w:rPr>
          <w:rFonts w:asciiTheme="minorHAnsi" w:hAnsiTheme="minorHAnsi" w:cstheme="minorHAnsi"/>
        </w:rPr>
        <w:t>A multi-agency arrangement is a procurement arrangement established for repeated use by some organisations to procure common goods or services. This includes standing offers and registers.</w:t>
      </w:r>
    </w:p>
    <w:p w14:paraId="3E376492" w14:textId="3B1208C3" w:rsidR="00D85A73" w:rsidRPr="00D85A73" w:rsidRDefault="00D85A73" w:rsidP="00532E37">
      <w:pPr>
        <w:spacing w:before="120" w:after="120"/>
        <w:ind w:left="720"/>
        <w:rPr>
          <w:rFonts w:asciiTheme="minorHAnsi" w:hAnsiTheme="minorHAnsi" w:cstheme="minorHAnsi"/>
        </w:rPr>
      </w:pPr>
      <w:bookmarkStart w:id="31" w:name="_Hlk152123193"/>
      <w:r w:rsidRPr="00D85A73">
        <w:rPr>
          <w:rFonts w:asciiTheme="minorHAnsi" w:hAnsiTheme="minorHAnsi" w:cstheme="minorHAnsi"/>
        </w:rPr>
        <w:t xml:space="preserve">A multi-agency arrangement must specify which organisations can use the arrangement. These arrangements must not permit use by: </w:t>
      </w:r>
    </w:p>
    <w:p w14:paraId="6E1A1877" w14:textId="2AA5F0C2" w:rsidR="00D85A73" w:rsidRPr="00D85A73" w:rsidRDefault="00D85A73" w:rsidP="00532E37">
      <w:pPr>
        <w:pStyle w:val="ListParagraph"/>
        <w:numPr>
          <w:ilvl w:val="0"/>
          <w:numId w:val="24"/>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all organisations</w:t>
      </w:r>
    </w:p>
    <w:p w14:paraId="7A298EDA" w14:textId="5D99A002" w:rsidR="00D85A73" w:rsidRPr="00D85A73" w:rsidRDefault="00D85A73" w:rsidP="00532E37">
      <w:pPr>
        <w:pStyle w:val="ListParagraph"/>
        <w:numPr>
          <w:ilvl w:val="0"/>
          <w:numId w:val="24"/>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organisations that were not specified when the arrangement was established</w:t>
      </w:r>
    </w:p>
    <w:p w14:paraId="0E837023" w14:textId="77777777" w:rsidR="003E6171" w:rsidRDefault="00D85A73" w:rsidP="003E6171">
      <w:pPr>
        <w:spacing w:before="120" w:after="120"/>
        <w:ind w:left="720"/>
        <w:rPr>
          <w:rFonts w:asciiTheme="minorHAnsi" w:hAnsiTheme="minorHAnsi" w:cstheme="minorHAnsi"/>
        </w:rPr>
      </w:pPr>
      <w:r w:rsidRPr="00D85A73">
        <w:rPr>
          <w:rFonts w:asciiTheme="minorHAnsi" w:hAnsiTheme="minorHAnsi" w:cstheme="minorHAnsi"/>
        </w:rPr>
        <w:lastRenderedPageBreak/>
        <w:t xml:space="preserve">An organisation may consider establishing a multi-agency arrangement if it identifies an opportunity to aggregate demand across multiple organisations. </w:t>
      </w:r>
    </w:p>
    <w:p w14:paraId="4DF027C4" w14:textId="5F7B0BE0" w:rsidR="00D85A73" w:rsidRPr="00D85A73" w:rsidRDefault="00D85A73" w:rsidP="004C6A44">
      <w:pPr>
        <w:spacing w:before="240" w:after="120"/>
        <w:ind w:left="720"/>
        <w:rPr>
          <w:rFonts w:asciiTheme="minorHAnsi" w:hAnsiTheme="minorHAnsi" w:cstheme="minorHAnsi"/>
        </w:rPr>
      </w:pPr>
      <w:r w:rsidRPr="00D85A73">
        <w:rPr>
          <w:rFonts w:asciiTheme="minorHAnsi" w:hAnsiTheme="minorHAnsi" w:cstheme="minorHAnsi"/>
        </w:rPr>
        <w:t>To establish a multi-agency arrangement, one organisation (the lead agency) must:</w:t>
      </w:r>
    </w:p>
    <w:p w14:paraId="11325E47" w14:textId="77777777" w:rsidR="00D85A73" w:rsidRPr="00D85A73" w:rsidRDefault="00D85A73" w:rsidP="00532E37">
      <w:pPr>
        <w:pStyle w:val="ListParagraph"/>
        <w:numPr>
          <w:ilvl w:val="0"/>
          <w:numId w:val="23"/>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determine which organisations can use the proposed arrangement and their respective needs</w:t>
      </w:r>
    </w:p>
    <w:p w14:paraId="545775A0" w14:textId="77777777" w:rsidR="00D85A73" w:rsidRPr="00D85A73" w:rsidRDefault="00D85A73" w:rsidP="00532E37">
      <w:pPr>
        <w:pStyle w:val="ListParagraph"/>
        <w:numPr>
          <w:ilvl w:val="0"/>
          <w:numId w:val="23"/>
        </w:numPr>
        <w:spacing w:before="120" w:after="120" w:line="259" w:lineRule="auto"/>
        <w:ind w:left="1440"/>
        <w:contextualSpacing w:val="0"/>
        <w:rPr>
          <w:rFonts w:asciiTheme="minorHAnsi" w:hAnsiTheme="minorHAnsi" w:cstheme="minorHAnsi"/>
        </w:rPr>
      </w:pPr>
      <w:bookmarkStart w:id="32" w:name="_Hlk152115215"/>
      <w:bookmarkEnd w:id="31"/>
      <w:r w:rsidRPr="00D85A73">
        <w:rPr>
          <w:rFonts w:asciiTheme="minorHAnsi" w:hAnsiTheme="minorHAnsi" w:cstheme="minorHAnsi"/>
        </w:rPr>
        <w:t>confirm there are no plans to establish an SPC covering the goods or services</w:t>
      </w:r>
    </w:p>
    <w:bookmarkEnd w:id="32"/>
    <w:p w14:paraId="3A485EEE" w14:textId="77777777" w:rsidR="00D85A73" w:rsidRPr="00D85A73" w:rsidRDefault="00D85A73" w:rsidP="00532E37">
      <w:pPr>
        <w:pStyle w:val="ListParagraph"/>
        <w:numPr>
          <w:ilvl w:val="0"/>
          <w:numId w:val="23"/>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confirm it has the capability to establish and manage the proposed arrangement</w:t>
      </w:r>
    </w:p>
    <w:p w14:paraId="056EA835" w14:textId="77777777" w:rsidR="00D85A73" w:rsidRPr="00D85A73" w:rsidRDefault="00D85A73" w:rsidP="00532E37">
      <w:pPr>
        <w:pStyle w:val="ListParagraph"/>
        <w:numPr>
          <w:ilvl w:val="0"/>
          <w:numId w:val="23"/>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notify the VGPB of the proposed arrangement</w:t>
      </w:r>
    </w:p>
    <w:p w14:paraId="0137A145" w14:textId="77777777" w:rsidR="00D85A73" w:rsidRPr="00D85A73" w:rsidRDefault="00D85A73" w:rsidP="00532E37">
      <w:pPr>
        <w:pStyle w:val="ListParagraph"/>
        <w:numPr>
          <w:ilvl w:val="0"/>
          <w:numId w:val="23"/>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have a business case for the proposed arrangement approved by its accountable officer or delegate</w:t>
      </w:r>
    </w:p>
    <w:p w14:paraId="4E328764" w14:textId="77777777" w:rsidR="00D85A73" w:rsidRPr="00D85A73" w:rsidRDefault="00D85A73" w:rsidP="00532E37">
      <w:pPr>
        <w:pStyle w:val="ListParagraph"/>
        <w:numPr>
          <w:ilvl w:val="0"/>
          <w:numId w:val="23"/>
        </w:numPr>
        <w:spacing w:before="120" w:after="120" w:line="259" w:lineRule="auto"/>
        <w:ind w:left="1440"/>
        <w:contextualSpacing w:val="0"/>
        <w:rPr>
          <w:rFonts w:asciiTheme="minorHAnsi" w:hAnsiTheme="minorHAnsi" w:cstheme="minorHAnsi"/>
        </w:rPr>
      </w:pPr>
      <w:bookmarkStart w:id="33" w:name="_Hlk152115527"/>
      <w:r w:rsidRPr="00D85A73">
        <w:rPr>
          <w:rFonts w:asciiTheme="minorHAnsi" w:hAnsiTheme="minorHAnsi" w:cstheme="minorHAnsi"/>
        </w:rPr>
        <w:t>establish appropriate governance for the arrangement, including a contract management framework</w:t>
      </w:r>
    </w:p>
    <w:p w14:paraId="0380F16F" w14:textId="77777777" w:rsidR="00D85A73" w:rsidRPr="00D85A73" w:rsidRDefault="00D85A73" w:rsidP="00532E37">
      <w:pPr>
        <w:pStyle w:val="ListParagraph"/>
        <w:numPr>
          <w:ilvl w:val="0"/>
          <w:numId w:val="23"/>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establish rules of use that apply to buyers using the arrangement</w:t>
      </w:r>
    </w:p>
    <w:bookmarkEnd w:id="33"/>
    <w:p w14:paraId="04BACFB2" w14:textId="77777777" w:rsidR="00D85A73" w:rsidRPr="00D85A73" w:rsidRDefault="00D85A73" w:rsidP="004C6A44">
      <w:pPr>
        <w:spacing w:before="240" w:after="120"/>
        <w:ind w:left="720"/>
        <w:rPr>
          <w:rFonts w:asciiTheme="minorHAnsi" w:hAnsiTheme="minorHAnsi" w:cstheme="minorHAnsi"/>
        </w:rPr>
      </w:pPr>
      <w:r w:rsidRPr="00D85A73">
        <w:rPr>
          <w:rFonts w:asciiTheme="minorHAnsi" w:hAnsiTheme="minorHAnsi" w:cstheme="minorHAnsi"/>
        </w:rPr>
        <w:t>To replace or materially vary a multi-agency arrangement, the lead agency must:</w:t>
      </w:r>
    </w:p>
    <w:p w14:paraId="0DBEA520" w14:textId="77777777" w:rsidR="00D85A73" w:rsidRPr="00D85A73" w:rsidRDefault="00D85A73" w:rsidP="00532E37">
      <w:pPr>
        <w:pStyle w:val="ListParagraph"/>
        <w:numPr>
          <w:ilvl w:val="0"/>
          <w:numId w:val="22"/>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consult with the organisations using the arrangement</w:t>
      </w:r>
    </w:p>
    <w:p w14:paraId="65D17EB6" w14:textId="77777777" w:rsidR="00D85A73" w:rsidRPr="00D85A73" w:rsidRDefault="00D85A73" w:rsidP="00532E37">
      <w:pPr>
        <w:pStyle w:val="ListParagraph"/>
        <w:numPr>
          <w:ilvl w:val="0"/>
          <w:numId w:val="22"/>
        </w:numPr>
        <w:spacing w:before="120" w:after="120" w:line="259" w:lineRule="auto"/>
        <w:ind w:left="1440"/>
        <w:contextualSpacing w:val="0"/>
        <w:rPr>
          <w:rFonts w:asciiTheme="minorHAnsi" w:hAnsiTheme="minorHAnsi" w:cstheme="minorHAnsi"/>
        </w:rPr>
      </w:pPr>
      <w:r w:rsidRPr="00D85A73">
        <w:rPr>
          <w:rFonts w:asciiTheme="minorHAnsi" w:hAnsiTheme="minorHAnsi" w:cstheme="minorHAnsi"/>
        </w:rPr>
        <w:t>obtain approval from its accountable officer or delegate</w:t>
      </w:r>
    </w:p>
    <w:p w14:paraId="30F6EDE6" w14:textId="77777777" w:rsidR="00D85A73" w:rsidRPr="00D85A73" w:rsidRDefault="00D85A73" w:rsidP="004C6A44">
      <w:pPr>
        <w:spacing w:before="240" w:after="120"/>
        <w:ind w:left="720"/>
        <w:rPr>
          <w:rFonts w:asciiTheme="minorHAnsi" w:hAnsiTheme="minorHAnsi" w:cstheme="minorHAnsi"/>
        </w:rPr>
      </w:pPr>
      <w:bookmarkStart w:id="34" w:name="_Hlk152133507"/>
      <w:r w:rsidRPr="00D85A73">
        <w:rPr>
          <w:rFonts w:asciiTheme="minorHAnsi" w:hAnsiTheme="minorHAnsi" w:cstheme="minorHAnsi"/>
        </w:rPr>
        <w:t xml:space="preserve">The VGPB may determine that it will provide strategic oversight of the lead agency’s process for establishing, replacing, or materially varying a multi-agency </w:t>
      </w:r>
      <w:bookmarkEnd w:id="34"/>
      <w:r w:rsidRPr="00D85A73">
        <w:rPr>
          <w:rFonts w:asciiTheme="minorHAnsi" w:hAnsiTheme="minorHAnsi" w:cstheme="minorHAnsi"/>
        </w:rPr>
        <w:t>arrangement.</w:t>
      </w:r>
    </w:p>
    <w:p w14:paraId="0C116BF8" w14:textId="77777777" w:rsidR="00D85A73" w:rsidRPr="00D85A73" w:rsidRDefault="00D85A73" w:rsidP="00532E37">
      <w:pPr>
        <w:spacing w:before="120" w:after="120"/>
        <w:ind w:left="720"/>
        <w:rPr>
          <w:rFonts w:asciiTheme="minorHAnsi" w:hAnsiTheme="minorHAnsi" w:cstheme="minorHAnsi"/>
        </w:rPr>
      </w:pPr>
      <w:r w:rsidRPr="00D85A73">
        <w:rPr>
          <w:rFonts w:asciiTheme="minorHAnsi" w:hAnsiTheme="minorHAnsi" w:cstheme="minorHAnsi"/>
        </w:rPr>
        <w:t>When using a multi-agency arrangement, buyers must follow the rules of use for the arrangement.</w:t>
      </w:r>
    </w:p>
    <w:p w14:paraId="2624CB83" w14:textId="77777777" w:rsidR="00D85A73" w:rsidRPr="003B4EB3" w:rsidRDefault="00D85A73" w:rsidP="00765E83">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r w:rsidRPr="003B4EB3">
        <w:rPr>
          <w:color w:val="4D4D4D"/>
          <w:sz w:val="32"/>
          <w:lang w:eastAsia="en-US"/>
        </w:rPr>
        <w:t>2.1.3 Other collaborative procurement activities</w:t>
      </w:r>
    </w:p>
    <w:p w14:paraId="6CA03781" w14:textId="77777777" w:rsidR="00D85A73" w:rsidRPr="00D85A73" w:rsidRDefault="00D85A73" w:rsidP="00E46954">
      <w:pPr>
        <w:spacing w:before="120" w:after="80"/>
        <w:ind w:left="720"/>
        <w:outlineLvl w:val="3"/>
        <w:rPr>
          <w:rFonts w:asciiTheme="minorHAnsi" w:hAnsiTheme="minorHAnsi" w:cstheme="minorHAnsi"/>
        </w:rPr>
      </w:pPr>
      <w:r w:rsidRPr="00D85A73">
        <w:rPr>
          <w:rFonts w:asciiTheme="minorHAnsi" w:hAnsiTheme="minorHAnsi" w:cstheme="minorHAnsi"/>
        </w:rPr>
        <w:t xml:space="preserve">Multiple organisations may collaborate in relation to a one-off supply of goods or services. </w:t>
      </w:r>
    </w:p>
    <w:p w14:paraId="597E44AD" w14:textId="77777777" w:rsidR="00D85A73" w:rsidRPr="00D85A73" w:rsidRDefault="00D85A73" w:rsidP="00E46954">
      <w:pPr>
        <w:spacing w:before="120" w:after="80"/>
        <w:ind w:left="720"/>
        <w:outlineLvl w:val="3"/>
        <w:rPr>
          <w:rFonts w:asciiTheme="minorHAnsi" w:hAnsiTheme="minorHAnsi" w:cstheme="minorHAnsi"/>
        </w:rPr>
      </w:pPr>
      <w:r w:rsidRPr="00D85A73">
        <w:rPr>
          <w:rFonts w:asciiTheme="minorHAnsi" w:hAnsiTheme="minorHAnsi" w:cstheme="minorHAnsi"/>
        </w:rPr>
        <w:t xml:space="preserve">Unlike SPCs and multi-agency arrangements, these collaborative procurement activities do not: </w:t>
      </w:r>
    </w:p>
    <w:p w14:paraId="5C1D8194" w14:textId="77777777" w:rsidR="00D85A73" w:rsidRPr="00D85A73" w:rsidRDefault="00D85A73" w:rsidP="00E46954">
      <w:pPr>
        <w:pStyle w:val="ListParagraph"/>
        <w:numPr>
          <w:ilvl w:val="0"/>
          <w:numId w:val="25"/>
        </w:numPr>
        <w:spacing w:before="120" w:after="80" w:line="259" w:lineRule="auto"/>
        <w:ind w:left="1434" w:hanging="357"/>
        <w:contextualSpacing w:val="0"/>
        <w:outlineLvl w:val="3"/>
        <w:rPr>
          <w:rFonts w:asciiTheme="minorHAnsi" w:hAnsiTheme="minorHAnsi" w:cstheme="minorHAnsi"/>
        </w:rPr>
      </w:pPr>
      <w:r w:rsidRPr="00D85A73">
        <w:rPr>
          <w:rFonts w:asciiTheme="minorHAnsi" w:hAnsiTheme="minorHAnsi" w:cstheme="minorHAnsi"/>
        </w:rPr>
        <w:t>establish a procurement arrangement for repeated use by multiple organisations</w:t>
      </w:r>
    </w:p>
    <w:p w14:paraId="7300F7B5" w14:textId="77777777" w:rsidR="00D85A73" w:rsidRPr="00D85A73" w:rsidRDefault="00D85A73" w:rsidP="00E46954">
      <w:pPr>
        <w:pStyle w:val="ListParagraph"/>
        <w:numPr>
          <w:ilvl w:val="0"/>
          <w:numId w:val="25"/>
        </w:numPr>
        <w:spacing w:before="120" w:after="80" w:line="259" w:lineRule="auto"/>
        <w:ind w:left="1434" w:hanging="357"/>
        <w:contextualSpacing w:val="0"/>
        <w:outlineLvl w:val="3"/>
        <w:rPr>
          <w:rFonts w:asciiTheme="minorHAnsi" w:hAnsiTheme="minorHAnsi" w:cstheme="minorHAnsi"/>
        </w:rPr>
      </w:pPr>
      <w:r w:rsidRPr="00D85A73">
        <w:rPr>
          <w:rFonts w:asciiTheme="minorHAnsi" w:hAnsiTheme="minorHAnsi" w:cstheme="minorHAnsi"/>
        </w:rPr>
        <w:t>require a lead agency</w:t>
      </w:r>
    </w:p>
    <w:p w14:paraId="072BDF02" w14:textId="77777777" w:rsidR="00D85A73" w:rsidRPr="00D85A73" w:rsidRDefault="00D85A73" w:rsidP="00E46954">
      <w:pPr>
        <w:spacing w:before="120" w:after="80"/>
        <w:ind w:left="720"/>
        <w:outlineLvl w:val="3"/>
        <w:rPr>
          <w:rFonts w:asciiTheme="minorHAnsi" w:hAnsiTheme="minorHAnsi" w:cstheme="minorHAnsi"/>
        </w:rPr>
      </w:pPr>
      <w:r w:rsidRPr="00D85A73">
        <w:rPr>
          <w:rFonts w:asciiTheme="minorHAnsi" w:hAnsiTheme="minorHAnsi" w:cstheme="minorHAnsi"/>
        </w:rPr>
        <w:t>To undertake these activities, each participating organisation must follow its procurement governance framework and agree on appropriate governance for the activity.</w:t>
      </w:r>
    </w:p>
    <w:p w14:paraId="3916F3C5" w14:textId="740DC0B8" w:rsidR="00D85A73" w:rsidRPr="00D85A73" w:rsidRDefault="00D85A73" w:rsidP="00765E83">
      <w:pPr>
        <w:spacing w:before="200" w:after="80"/>
        <w:ind w:left="720"/>
        <w:outlineLvl w:val="3"/>
        <w:rPr>
          <w:rFonts w:asciiTheme="minorHAnsi" w:hAnsiTheme="minorHAnsi" w:cstheme="minorHAnsi"/>
        </w:rPr>
      </w:pPr>
      <w:r w:rsidRPr="00D85A73">
        <w:rPr>
          <w:rFonts w:asciiTheme="minorHAnsi" w:hAnsiTheme="minorHAnsi" w:cstheme="minorHAnsi"/>
        </w:rPr>
        <w:t>These activities include:</w:t>
      </w:r>
    </w:p>
    <w:p w14:paraId="40928E34" w14:textId="77777777" w:rsidR="00D85A73" w:rsidRPr="00FB5E18" w:rsidRDefault="00D85A73" w:rsidP="001920D2">
      <w:pPr>
        <w:spacing w:before="200" w:after="120"/>
        <w:ind w:left="720"/>
        <w:outlineLvl w:val="3"/>
        <w:rPr>
          <w:b/>
          <w:bCs/>
          <w:color w:val="3B3838" w:themeColor="background2" w:themeShade="40"/>
          <w:sz w:val="28"/>
          <w:szCs w:val="28"/>
        </w:rPr>
      </w:pPr>
      <w:r w:rsidRPr="00FB5E18">
        <w:rPr>
          <w:b/>
          <w:bCs/>
          <w:color w:val="3B3838" w:themeColor="background2" w:themeShade="40"/>
          <w:sz w:val="28"/>
          <w:szCs w:val="28"/>
        </w:rPr>
        <w:t>Procuring with other organisations</w:t>
      </w:r>
    </w:p>
    <w:p w14:paraId="51663F39" w14:textId="77777777" w:rsidR="00D85A73" w:rsidRPr="00D85A73" w:rsidRDefault="00D85A73" w:rsidP="00532E37">
      <w:pPr>
        <w:spacing w:before="120" w:after="120"/>
        <w:ind w:left="720"/>
        <w:outlineLvl w:val="3"/>
        <w:rPr>
          <w:rFonts w:asciiTheme="minorHAnsi" w:hAnsiTheme="minorHAnsi" w:cstheme="minorHAnsi"/>
        </w:rPr>
      </w:pPr>
      <w:r w:rsidRPr="00D85A73">
        <w:rPr>
          <w:rFonts w:asciiTheme="minorHAnsi" w:hAnsiTheme="minorHAnsi" w:cstheme="minorHAnsi"/>
        </w:rPr>
        <w:t xml:space="preserve">An organisation may procure goods or services with one or more other organisations by: </w:t>
      </w:r>
    </w:p>
    <w:p w14:paraId="5A9461D8" w14:textId="63AE321E" w:rsidR="00D85A73" w:rsidRPr="00D85A73" w:rsidRDefault="00D85A73" w:rsidP="00532E37">
      <w:pPr>
        <w:pStyle w:val="ListParagraph"/>
        <w:numPr>
          <w:ilvl w:val="0"/>
          <w:numId w:val="26"/>
        </w:numPr>
        <w:spacing w:before="120" w:after="120" w:line="259" w:lineRule="auto"/>
        <w:ind w:left="1434" w:hanging="357"/>
        <w:contextualSpacing w:val="0"/>
        <w:outlineLvl w:val="3"/>
        <w:rPr>
          <w:rFonts w:asciiTheme="minorHAnsi" w:hAnsiTheme="minorHAnsi" w:cstheme="minorHAnsi"/>
        </w:rPr>
      </w:pPr>
      <w:r w:rsidRPr="00D85A73">
        <w:rPr>
          <w:rFonts w:asciiTheme="minorHAnsi" w:hAnsiTheme="minorHAnsi" w:cstheme="minorHAnsi"/>
        </w:rPr>
        <w:t>approaching the market together using one invitation to supply</w:t>
      </w:r>
    </w:p>
    <w:p w14:paraId="097A8A24" w14:textId="2CC5A235" w:rsidR="00D85A73" w:rsidRPr="00D85A73" w:rsidRDefault="00D85A73" w:rsidP="00532E37">
      <w:pPr>
        <w:pStyle w:val="ListParagraph"/>
        <w:numPr>
          <w:ilvl w:val="0"/>
          <w:numId w:val="26"/>
        </w:numPr>
        <w:spacing w:before="120" w:after="120" w:line="259" w:lineRule="auto"/>
        <w:ind w:left="1434" w:hanging="357"/>
        <w:contextualSpacing w:val="0"/>
        <w:outlineLvl w:val="3"/>
        <w:rPr>
          <w:rFonts w:asciiTheme="minorHAnsi" w:hAnsiTheme="minorHAnsi" w:cstheme="minorHAnsi"/>
        </w:rPr>
      </w:pPr>
      <w:r w:rsidRPr="00D85A73">
        <w:rPr>
          <w:rFonts w:asciiTheme="minorHAnsi" w:hAnsiTheme="minorHAnsi" w:cstheme="minorHAnsi"/>
        </w:rPr>
        <w:t>entering a single contract or separate contracts with the selected supplier(s)</w:t>
      </w:r>
    </w:p>
    <w:p w14:paraId="3D12456B" w14:textId="77777777" w:rsidR="00D85A73" w:rsidRPr="00FB5E18" w:rsidRDefault="00D85A73" w:rsidP="002A77F9">
      <w:pPr>
        <w:spacing w:before="240" w:after="120"/>
        <w:ind w:left="720"/>
        <w:outlineLvl w:val="3"/>
        <w:rPr>
          <w:b/>
          <w:bCs/>
          <w:color w:val="3B3838" w:themeColor="background2" w:themeShade="40"/>
          <w:sz w:val="28"/>
          <w:szCs w:val="28"/>
        </w:rPr>
      </w:pPr>
      <w:r w:rsidRPr="00FB5E18">
        <w:rPr>
          <w:b/>
          <w:bCs/>
          <w:color w:val="3B3838" w:themeColor="background2" w:themeShade="40"/>
          <w:sz w:val="28"/>
          <w:szCs w:val="28"/>
        </w:rPr>
        <w:t>Procuring for other organisations</w:t>
      </w:r>
    </w:p>
    <w:p w14:paraId="00FDF882" w14:textId="77777777" w:rsidR="00D85A73" w:rsidRPr="00D85A73" w:rsidRDefault="00D85A73" w:rsidP="00E46954">
      <w:pPr>
        <w:spacing w:before="80" w:after="120"/>
        <w:ind w:left="720"/>
        <w:outlineLvl w:val="3"/>
        <w:rPr>
          <w:rFonts w:asciiTheme="minorHAnsi" w:hAnsiTheme="minorHAnsi" w:cstheme="minorHAnsi"/>
          <w:b/>
          <w:bCs/>
        </w:rPr>
      </w:pPr>
      <w:r w:rsidRPr="00D85A73">
        <w:rPr>
          <w:rFonts w:asciiTheme="minorHAnsi" w:hAnsiTheme="minorHAnsi" w:cstheme="minorHAnsi"/>
        </w:rPr>
        <w:t>An organisation may procure goods or services on behalf of one or more other organisations by:</w:t>
      </w:r>
    </w:p>
    <w:p w14:paraId="2A335684" w14:textId="7D748EAE" w:rsidR="00D85A73" w:rsidRPr="00D85A73" w:rsidRDefault="00D85A73" w:rsidP="00E46954">
      <w:pPr>
        <w:pStyle w:val="ListParagraph"/>
        <w:numPr>
          <w:ilvl w:val="0"/>
          <w:numId w:val="27"/>
        </w:numPr>
        <w:spacing w:before="80" w:after="120" w:line="259" w:lineRule="auto"/>
        <w:ind w:left="1434" w:hanging="357"/>
        <w:contextualSpacing w:val="0"/>
        <w:outlineLvl w:val="3"/>
        <w:rPr>
          <w:rFonts w:asciiTheme="minorHAnsi" w:hAnsiTheme="minorHAnsi" w:cstheme="minorHAnsi"/>
        </w:rPr>
      </w:pPr>
      <w:r w:rsidRPr="00D85A73">
        <w:rPr>
          <w:rFonts w:asciiTheme="minorHAnsi" w:hAnsiTheme="minorHAnsi" w:cstheme="minorHAnsi"/>
        </w:rPr>
        <w:t>undertaking a procurement process as their agent or representative, with the other organisation(s) contracting with the selected supplier(s)</w:t>
      </w:r>
    </w:p>
    <w:p w14:paraId="0E8ABDC7" w14:textId="7B929DB9" w:rsidR="00D85A73" w:rsidRPr="00D85A73" w:rsidRDefault="00D85A73" w:rsidP="00E46954">
      <w:pPr>
        <w:pStyle w:val="ListParagraph"/>
        <w:numPr>
          <w:ilvl w:val="0"/>
          <w:numId w:val="27"/>
        </w:numPr>
        <w:spacing w:before="80" w:after="120" w:line="259" w:lineRule="auto"/>
        <w:ind w:left="1434" w:hanging="357"/>
        <w:contextualSpacing w:val="0"/>
        <w:outlineLvl w:val="3"/>
        <w:rPr>
          <w:rFonts w:asciiTheme="minorHAnsi" w:hAnsiTheme="minorHAnsi" w:cstheme="minorHAnsi"/>
        </w:rPr>
      </w:pPr>
      <w:r w:rsidRPr="00D85A73">
        <w:rPr>
          <w:rFonts w:asciiTheme="minorHAnsi" w:hAnsiTheme="minorHAnsi" w:cstheme="minorHAnsi"/>
        </w:rPr>
        <w:lastRenderedPageBreak/>
        <w:t>undertaking a procurement process and contracting with the selected supplier(s), then distributing the goods or services to the other organisation(s)</w:t>
      </w:r>
    </w:p>
    <w:p w14:paraId="7B9F46A1" w14:textId="77777777" w:rsidR="00D85A73" w:rsidRPr="003B4EB3" w:rsidRDefault="00D85A73" w:rsidP="003B4EB3">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r w:rsidRPr="003B4EB3">
        <w:rPr>
          <w:color w:val="4D4D4D"/>
          <w:sz w:val="32"/>
          <w:lang w:eastAsia="en-US"/>
        </w:rPr>
        <w:t>2.1.4 Agency-specific arrangements</w:t>
      </w:r>
    </w:p>
    <w:p w14:paraId="2865940D" w14:textId="77777777" w:rsidR="00D85A73" w:rsidRPr="00D85A73" w:rsidRDefault="00D85A73" w:rsidP="00532E37">
      <w:pPr>
        <w:ind w:left="720"/>
        <w:rPr>
          <w:rFonts w:asciiTheme="minorHAnsi" w:hAnsiTheme="minorHAnsi" w:cstheme="minorHAnsi"/>
        </w:rPr>
      </w:pPr>
      <w:r w:rsidRPr="00D85A73">
        <w:rPr>
          <w:rFonts w:asciiTheme="minorHAnsi" w:hAnsiTheme="minorHAnsi" w:cstheme="minorHAnsi"/>
        </w:rPr>
        <w:t xml:space="preserve">An agency-specific arrangement is a procurement arrangement established by one organisation for its own repeated use. This includes standing offers and registers. </w:t>
      </w:r>
    </w:p>
    <w:p w14:paraId="5BED74D6" w14:textId="77777777" w:rsidR="00D85A73" w:rsidRDefault="00D85A73" w:rsidP="00532E37">
      <w:pPr>
        <w:ind w:left="720"/>
        <w:rPr>
          <w:rFonts w:asciiTheme="minorHAnsi" w:hAnsiTheme="minorHAnsi" w:cstheme="minorHAnsi"/>
        </w:rPr>
      </w:pPr>
      <w:r w:rsidRPr="00D85A73">
        <w:rPr>
          <w:rFonts w:asciiTheme="minorHAnsi" w:hAnsiTheme="minorHAnsi" w:cstheme="minorHAnsi"/>
        </w:rPr>
        <w:t xml:space="preserve">An organisation must follow its procurement governance framework to establish an agency-specific arrangement. </w:t>
      </w:r>
    </w:p>
    <w:p w14:paraId="763C79AF" w14:textId="77777777" w:rsidR="00CD5CEF" w:rsidRPr="00D85A73" w:rsidRDefault="00CD5CEF" w:rsidP="00532E37">
      <w:pPr>
        <w:ind w:left="720"/>
        <w:rPr>
          <w:rFonts w:asciiTheme="minorHAnsi" w:hAnsiTheme="minorHAnsi" w:cstheme="min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1"/>
      </w:tblGrid>
      <w:tr w:rsidR="00CD5CEF" w14:paraId="269D2582" w14:textId="77777777" w:rsidTr="00CD5CEF">
        <w:tc>
          <w:tcPr>
            <w:tcW w:w="9731" w:type="dxa"/>
            <w:shd w:val="clear" w:color="auto" w:fill="F2F2F2" w:themeFill="background1" w:themeFillShade="F2"/>
          </w:tcPr>
          <w:p w14:paraId="1BC318DA" w14:textId="582D31B4" w:rsidR="00CD5CEF" w:rsidRDefault="00CD5CEF" w:rsidP="00CD5CEF">
            <w:pPr>
              <w:spacing w:before="120" w:after="120"/>
              <w:rPr>
                <w:rFonts w:asciiTheme="minorHAnsi" w:hAnsiTheme="minorHAnsi" w:cstheme="minorHAnsi"/>
              </w:rPr>
            </w:pPr>
            <w:r w:rsidRPr="00CD5CEF">
              <w:rPr>
                <w:rFonts w:asciiTheme="minorHAnsi" w:hAnsiTheme="minorHAnsi" w:cstheme="minorHAnsi"/>
                <w:b/>
                <w:bCs/>
              </w:rPr>
              <w:t xml:space="preserve">Guidance </w:t>
            </w:r>
            <w:proofErr w:type="gramStart"/>
            <w:r w:rsidRPr="00CD5CEF">
              <w:rPr>
                <w:rFonts w:asciiTheme="minorHAnsi" w:hAnsiTheme="minorHAnsi" w:cstheme="minorHAnsi"/>
                <w:b/>
                <w:bCs/>
              </w:rPr>
              <w:t>note</w:t>
            </w:r>
            <w:proofErr w:type="gramEnd"/>
            <w:r w:rsidRPr="00CD5CEF">
              <w:rPr>
                <w:rFonts w:asciiTheme="minorHAnsi" w:hAnsiTheme="minorHAnsi" w:cstheme="minorHAnsi"/>
                <w:b/>
                <w:bCs/>
              </w:rPr>
              <w:t>:</w:t>
            </w:r>
          </w:p>
        </w:tc>
      </w:tr>
      <w:tr w:rsidR="00CD5CEF" w14:paraId="31B23C46" w14:textId="77777777" w:rsidTr="00CD5CEF">
        <w:tc>
          <w:tcPr>
            <w:tcW w:w="9731" w:type="dxa"/>
            <w:shd w:val="clear" w:color="auto" w:fill="F2F2F2" w:themeFill="background1" w:themeFillShade="F2"/>
          </w:tcPr>
          <w:p w14:paraId="58D8AADE" w14:textId="77777777" w:rsidR="00CD5CEF" w:rsidRPr="00CD5CEF" w:rsidRDefault="00CD5CEF" w:rsidP="00CD5CEF">
            <w:pPr>
              <w:spacing w:before="120" w:after="120"/>
              <w:rPr>
                <w:rFonts w:asciiTheme="minorHAnsi" w:hAnsiTheme="minorHAnsi" w:cstheme="minorHAnsi"/>
              </w:rPr>
            </w:pPr>
            <w:r w:rsidRPr="00CD5CEF">
              <w:rPr>
                <w:rFonts w:asciiTheme="minorHAnsi" w:hAnsiTheme="minorHAnsi" w:cstheme="minorHAnsi"/>
              </w:rPr>
              <w:t>Organisations must comply with applicable laws and policies when undertaking collaborative procurement, including the VGPB supply policies, procurement-related policies, and competition law. </w:t>
            </w:r>
          </w:p>
          <w:p w14:paraId="0B1FF6BF" w14:textId="77777777" w:rsidR="00CD5CEF" w:rsidRPr="00CD5CEF" w:rsidRDefault="00CD5CEF" w:rsidP="00CD5CEF">
            <w:pPr>
              <w:spacing w:before="120" w:after="120"/>
              <w:rPr>
                <w:rFonts w:asciiTheme="minorHAnsi" w:hAnsiTheme="minorHAnsi" w:cstheme="minorHAnsi"/>
              </w:rPr>
            </w:pPr>
            <w:r w:rsidRPr="00CD5CEF">
              <w:rPr>
                <w:rFonts w:asciiTheme="minorHAnsi" w:hAnsiTheme="minorHAnsi" w:cstheme="minorHAnsi"/>
              </w:rPr>
              <w:t>If an arrangement or activity raises any compliance concerns, organisations should seek specific policy or legal advice. </w:t>
            </w:r>
          </w:p>
          <w:p w14:paraId="6449A6AC" w14:textId="77777777" w:rsidR="00CD5CEF" w:rsidRPr="00CD5CEF" w:rsidRDefault="00CD5CEF" w:rsidP="00CD5CEF">
            <w:pPr>
              <w:spacing w:before="120" w:after="120"/>
              <w:rPr>
                <w:rFonts w:asciiTheme="minorHAnsi" w:hAnsiTheme="minorHAnsi" w:cstheme="minorHAnsi"/>
              </w:rPr>
            </w:pPr>
            <w:r w:rsidRPr="00CD5CEF">
              <w:rPr>
                <w:rFonts w:asciiTheme="minorHAnsi" w:hAnsiTheme="minorHAnsi" w:cstheme="minorHAnsi"/>
              </w:rPr>
              <w:t>For more information, See </w:t>
            </w:r>
            <w:hyperlink r:id="rId12" w:tooltip="Collaborative procurement: Goods and services guide" w:history="1">
              <w:r w:rsidRPr="00CD5CEF">
                <w:rPr>
                  <w:rStyle w:val="Hyperlink"/>
                  <w:rFonts w:asciiTheme="minorHAnsi" w:hAnsiTheme="minorHAnsi" w:cstheme="minorHAnsi"/>
                </w:rPr>
                <w:t>Collaborative procurement: Goods and services guide</w:t>
              </w:r>
            </w:hyperlink>
            <w:r w:rsidRPr="00CD5CEF">
              <w:rPr>
                <w:rFonts w:asciiTheme="minorHAnsi" w:hAnsiTheme="minorHAnsi" w:cstheme="minorHAnsi"/>
              </w:rPr>
              <w:t>.</w:t>
            </w:r>
          </w:p>
          <w:p w14:paraId="75B4BC8C" w14:textId="77777777" w:rsidR="00CD5CEF" w:rsidRDefault="00CD5CEF" w:rsidP="00532E37">
            <w:pPr>
              <w:spacing w:before="120" w:after="120"/>
              <w:rPr>
                <w:rFonts w:asciiTheme="minorHAnsi" w:hAnsiTheme="minorHAnsi" w:cstheme="minorHAnsi"/>
              </w:rPr>
            </w:pPr>
          </w:p>
        </w:tc>
      </w:tr>
    </w:tbl>
    <w:p w14:paraId="132FA6F5" w14:textId="77777777" w:rsidR="00D85A73" w:rsidRPr="00D85A73" w:rsidRDefault="00D85A73" w:rsidP="00532E37">
      <w:pPr>
        <w:spacing w:before="120" w:after="120"/>
        <w:ind w:left="720"/>
        <w:rPr>
          <w:rFonts w:asciiTheme="minorHAnsi" w:hAnsiTheme="minorHAnsi" w:cstheme="minorHAnsi"/>
        </w:rPr>
      </w:pPr>
    </w:p>
    <w:p w14:paraId="6D3F551F" w14:textId="77777777" w:rsidR="00D85A73" w:rsidRPr="00D85A73" w:rsidRDefault="00D85A73" w:rsidP="00D85A73">
      <w:pPr>
        <w:spacing w:before="120" w:after="120"/>
        <w:rPr>
          <w:rFonts w:asciiTheme="minorHAnsi" w:hAnsiTheme="minorHAnsi" w:cstheme="minorHAnsi"/>
        </w:rPr>
      </w:pPr>
    </w:p>
    <w:bookmarkEnd w:id="29"/>
    <w:p w14:paraId="7AFAED83" w14:textId="5254F464" w:rsidR="00AC04BA" w:rsidRPr="00D85A73" w:rsidRDefault="00AC04BA" w:rsidP="00D85A73">
      <w:pPr>
        <w:spacing w:before="0" w:after="0" w:line="240" w:lineRule="auto"/>
        <w:rPr>
          <w:b/>
          <w:color w:val="4D4D4D"/>
          <w:sz w:val="28"/>
          <w:lang w:eastAsia="en-US"/>
        </w:rPr>
      </w:pPr>
    </w:p>
    <w:p w14:paraId="0776B387" w14:textId="77777777" w:rsidR="00AC04BA" w:rsidRPr="005F20D4" w:rsidRDefault="00AC04BA" w:rsidP="00AC04BA">
      <w:pPr>
        <w:pStyle w:val="ListParagraph"/>
        <w:keepNext/>
        <w:keepLines/>
        <w:pageBreakBefore/>
        <w:numPr>
          <w:ilvl w:val="0"/>
          <w:numId w:val="13"/>
        </w:numPr>
        <w:spacing w:before="0" w:after="360" w:line="216" w:lineRule="auto"/>
        <w:outlineLvl w:val="0"/>
        <w:rPr>
          <w:color w:val="404040"/>
          <w:sz w:val="40"/>
          <w:szCs w:val="40"/>
          <w:lang w:eastAsia="en-US"/>
        </w:rPr>
      </w:pPr>
      <w:bookmarkStart w:id="35" w:name="_Toc413924153"/>
      <w:bookmarkStart w:id="36" w:name="_Toc413937044"/>
      <w:bookmarkStart w:id="37" w:name="_Toc61971448"/>
      <w:r w:rsidRPr="005F20D4">
        <w:rPr>
          <w:color w:val="404040"/>
          <w:sz w:val="40"/>
          <w:szCs w:val="40"/>
          <w:lang w:eastAsia="en-US"/>
        </w:rPr>
        <w:lastRenderedPageBreak/>
        <w:t>Disposal of assets</w:t>
      </w:r>
      <w:bookmarkEnd w:id="35"/>
      <w:bookmarkEnd w:id="36"/>
      <w:bookmarkEnd w:id="37"/>
    </w:p>
    <w:p w14:paraId="6FD1FC1C" w14:textId="77777777" w:rsidR="00AC04BA" w:rsidRPr="002E5BDD" w:rsidRDefault="00AC04BA" w:rsidP="00AC04BA">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bookmarkStart w:id="38" w:name="_Toc323202819"/>
      <w:bookmarkStart w:id="39" w:name="_Toc413924154"/>
      <w:bookmarkStart w:id="40" w:name="_Toc413937045"/>
      <w:r>
        <w:rPr>
          <w:color w:val="4D4D4D"/>
          <w:sz w:val="32"/>
          <w:lang w:eastAsia="en-US"/>
        </w:rPr>
        <w:t>3.1</w:t>
      </w:r>
      <w:r>
        <w:rPr>
          <w:color w:val="4D4D4D"/>
          <w:sz w:val="32"/>
          <w:lang w:eastAsia="en-US"/>
        </w:rPr>
        <w:tab/>
      </w:r>
      <w:r w:rsidRPr="002E5BDD">
        <w:rPr>
          <w:color w:val="4D4D4D"/>
          <w:sz w:val="32"/>
          <w:lang w:eastAsia="en-US"/>
        </w:rPr>
        <w:t>What is disposal of assets?</w:t>
      </w:r>
      <w:bookmarkEnd w:id="38"/>
      <w:bookmarkEnd w:id="39"/>
      <w:bookmarkEnd w:id="40"/>
    </w:p>
    <w:p w14:paraId="65C1B59B" w14:textId="77777777" w:rsidR="00AC04BA" w:rsidRPr="002E5BDD" w:rsidRDefault="00AC04BA" w:rsidP="00AC04BA">
      <w:pPr>
        <w:spacing w:line="240" w:lineRule="auto"/>
        <w:ind w:left="794"/>
        <w:rPr>
          <w:lang w:eastAsia="en-US"/>
        </w:rPr>
      </w:pPr>
      <w:r w:rsidRPr="002E5BDD">
        <w:rPr>
          <w:lang w:eastAsia="en-US"/>
        </w:rPr>
        <w:t>Disposal of assets should be considered when the asset is identified as being:</w:t>
      </w:r>
    </w:p>
    <w:p w14:paraId="5360E9D4" w14:textId="45A44CAD" w:rsidR="00AC04BA" w:rsidRDefault="00AC04BA" w:rsidP="00AC04BA">
      <w:pPr>
        <w:numPr>
          <w:ilvl w:val="0"/>
          <w:numId w:val="1"/>
        </w:numPr>
        <w:tabs>
          <w:tab w:val="clear" w:pos="360"/>
          <w:tab w:val="num" w:pos="1077"/>
        </w:tabs>
        <w:spacing w:before="80" w:after="80" w:line="240" w:lineRule="auto"/>
        <w:ind w:left="1077" w:hanging="283"/>
        <w:rPr>
          <w:lang w:eastAsia="en-US"/>
        </w:rPr>
      </w:pPr>
      <w:r>
        <w:rPr>
          <w:lang w:eastAsia="en-US"/>
        </w:rPr>
        <w:t xml:space="preserve">an </w:t>
      </w:r>
      <w:r w:rsidRPr="005A070C">
        <w:rPr>
          <w:lang w:eastAsia="en-US"/>
        </w:rPr>
        <w:t>unacceptable (e.g. security) risk to service</w:t>
      </w:r>
      <w:r>
        <w:rPr>
          <w:lang w:eastAsia="en-US"/>
        </w:rPr>
        <w:t xml:space="preserve"> delivery</w:t>
      </w:r>
    </w:p>
    <w:p w14:paraId="47F740C8" w14:textId="69635899"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obsolete due to changed procedures, functions or usage patterns</w:t>
      </w:r>
    </w:p>
    <w:p w14:paraId="737D1F88" w14:textId="06C0B6D9"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no longer complying with occupational health and safety standards</w:t>
      </w:r>
    </w:p>
    <w:p w14:paraId="222F8D4F" w14:textId="0F4EFD31"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reaching its optimum selling time to maximise returns</w:t>
      </w:r>
    </w:p>
    <w:p w14:paraId="154CCE91" w14:textId="6EC2F100"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beyond repair</w:t>
      </w:r>
    </w:p>
    <w:p w14:paraId="3E9D535D" w14:textId="4A866A2A"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surplus to requirements</w:t>
      </w:r>
    </w:p>
    <w:p w14:paraId="3493E396" w14:textId="77777777" w:rsidR="00AC04BA" w:rsidRPr="002E5BDD" w:rsidRDefault="00AC04BA" w:rsidP="00AC04BA">
      <w:pPr>
        <w:spacing w:line="240" w:lineRule="auto"/>
        <w:ind w:left="794"/>
        <w:rPr>
          <w:lang w:eastAsia="en-US"/>
        </w:rPr>
      </w:pPr>
      <w:r w:rsidRPr="002E5BDD">
        <w:rPr>
          <w:lang w:eastAsia="en-US"/>
        </w:rPr>
        <w:t xml:space="preserve">Disposal of assets can present the organisation with opportunities to optimise the use of an asset, including: </w:t>
      </w:r>
    </w:p>
    <w:p w14:paraId="288ED24D" w14:textId="0BAAB998"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extending the life of an asset by transferring it to another business unit or organisation</w:t>
      </w:r>
    </w:p>
    <w:p w14:paraId="0A26A187" w14:textId="49866A08"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recovering material for recycling prior to sending the asset to landfill</w:t>
      </w:r>
    </w:p>
    <w:p w14:paraId="070F6B73" w14:textId="449E99FC"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transferring assets to not</w:t>
      </w:r>
      <w:r w:rsidRPr="002E5BDD">
        <w:rPr>
          <w:lang w:eastAsia="en-US"/>
        </w:rPr>
        <w:noBreakHyphen/>
        <w:t>for</w:t>
      </w:r>
      <w:r w:rsidRPr="002E5BDD">
        <w:rPr>
          <w:lang w:eastAsia="en-US"/>
        </w:rPr>
        <w:noBreakHyphen/>
        <w:t>profit organisations</w:t>
      </w:r>
    </w:p>
    <w:p w14:paraId="7599BF1D" w14:textId="77777777" w:rsidR="00AC04BA" w:rsidRPr="002E5BDD" w:rsidRDefault="00AC04BA" w:rsidP="00AC04BA">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bookmarkStart w:id="41" w:name="_Toc323202820"/>
      <w:bookmarkStart w:id="42" w:name="_Toc413924155"/>
      <w:bookmarkStart w:id="43" w:name="_Toc413937046"/>
      <w:r>
        <w:rPr>
          <w:color w:val="4D4D4D"/>
          <w:sz w:val="32"/>
          <w:lang w:eastAsia="en-US"/>
        </w:rPr>
        <w:t>3.2</w:t>
      </w:r>
      <w:r>
        <w:rPr>
          <w:color w:val="4D4D4D"/>
          <w:sz w:val="32"/>
          <w:lang w:eastAsia="en-US"/>
        </w:rPr>
        <w:tab/>
      </w:r>
      <w:r w:rsidRPr="002E5BDD">
        <w:rPr>
          <w:color w:val="4D4D4D"/>
          <w:sz w:val="32"/>
          <w:lang w:eastAsia="en-US"/>
        </w:rPr>
        <w:t>Mandatory requirements</w:t>
      </w:r>
      <w:bookmarkEnd w:id="41"/>
      <w:bookmarkEnd w:id="42"/>
      <w:bookmarkEnd w:id="43"/>
    </w:p>
    <w:p w14:paraId="2645BF69" w14:textId="77777777" w:rsidR="00AC04BA" w:rsidRPr="002E5BDD" w:rsidRDefault="00AC04BA" w:rsidP="00AC04BA">
      <w:pPr>
        <w:spacing w:line="240" w:lineRule="auto"/>
        <w:ind w:left="794"/>
        <w:rPr>
          <w:lang w:eastAsia="en-US"/>
        </w:rPr>
      </w:pPr>
      <w:r w:rsidRPr="002E5BDD">
        <w:rPr>
          <w:lang w:eastAsia="en-US"/>
        </w:rPr>
        <w:t xml:space="preserve">The disposal of assets is a key consideration in the forward planning of any procurement activity. Assets of (or belonging to, or in the care, custody, or control of) an organisation are to be disposed of in a way that </w:t>
      </w:r>
      <w:proofErr w:type="gramStart"/>
      <w:r w:rsidRPr="002E5BDD">
        <w:rPr>
          <w:lang w:eastAsia="en-US"/>
        </w:rPr>
        <w:t>takes into account</w:t>
      </w:r>
      <w:proofErr w:type="gramEnd"/>
      <w:r w:rsidRPr="002E5BDD">
        <w:rPr>
          <w:lang w:eastAsia="en-US"/>
        </w:rPr>
        <w:t xml:space="preserve"> probity, security, sustainability and transparency, as well as environmental and social factors. An organisation must develop and apply an asset disposal process that details:</w:t>
      </w:r>
    </w:p>
    <w:p w14:paraId="5CCCECFE" w14:textId="138633AA" w:rsidR="00AC04BA" w:rsidRDefault="00AC04BA" w:rsidP="00AC04BA">
      <w:pPr>
        <w:numPr>
          <w:ilvl w:val="0"/>
          <w:numId w:val="1"/>
        </w:numPr>
        <w:tabs>
          <w:tab w:val="clear" w:pos="360"/>
          <w:tab w:val="num" w:pos="1077"/>
        </w:tabs>
        <w:spacing w:before="80" w:after="80" w:line="240" w:lineRule="auto"/>
        <w:ind w:left="1077" w:hanging="283"/>
        <w:rPr>
          <w:lang w:eastAsia="en-US"/>
        </w:rPr>
      </w:pPr>
      <w:r>
        <w:rPr>
          <w:lang w:eastAsia="en-US"/>
        </w:rPr>
        <w:t>the protection of public sector data and information assets</w:t>
      </w:r>
    </w:p>
    <w:p w14:paraId="3CACC1E9" w14:textId="16EF3BC0"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parties/business unit responsible for managing the process</w:t>
      </w:r>
    </w:p>
    <w:p w14:paraId="4A97E83A" w14:textId="2EADC011"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disposal options appropriate to the nature of the asset and broader government objective</w:t>
      </w:r>
      <w:r w:rsidR="006D6984">
        <w:rPr>
          <w:lang w:eastAsia="en-US"/>
        </w:rPr>
        <w:t>s</w:t>
      </w:r>
    </w:p>
    <w:p w14:paraId="40B4D814" w14:textId="66095838"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management of issues of risk, liability, safety and security</w:t>
      </w:r>
    </w:p>
    <w:p w14:paraId="74D25D64" w14:textId="535D3FB7"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the process for keeping the organisation’s assets register up to date</w:t>
      </w:r>
    </w:p>
    <w:p w14:paraId="4555B545" w14:textId="3B624232" w:rsidR="00AC04BA" w:rsidRPr="002E5BDD" w:rsidRDefault="00AC04BA" w:rsidP="00AC04BA">
      <w:pPr>
        <w:numPr>
          <w:ilvl w:val="0"/>
          <w:numId w:val="1"/>
        </w:numPr>
        <w:tabs>
          <w:tab w:val="clear" w:pos="360"/>
          <w:tab w:val="num" w:pos="1077"/>
        </w:tabs>
        <w:spacing w:before="80" w:after="80" w:line="240" w:lineRule="auto"/>
        <w:ind w:left="1077" w:hanging="283"/>
        <w:rPr>
          <w:lang w:eastAsia="en-US"/>
        </w:rPr>
      </w:pPr>
      <w:r w:rsidRPr="002E5BDD">
        <w:rPr>
          <w:lang w:eastAsia="en-US"/>
        </w:rPr>
        <w:t>issues of risk, liability, safety and security associated with the use of the asset by other parties when transferring an asset to another location or entity</w:t>
      </w:r>
    </w:p>
    <w:p w14:paraId="0418004C" w14:textId="77777777" w:rsidR="00AC04BA" w:rsidRPr="002E5BDD" w:rsidRDefault="00AC04BA" w:rsidP="00AC04BA">
      <w:pPr>
        <w:spacing w:line="240" w:lineRule="auto"/>
        <w:ind w:left="794"/>
      </w:pPr>
      <w:r w:rsidRPr="002E5BDD">
        <w:rPr>
          <w:lang w:eastAsia="en-US"/>
        </w:rPr>
        <w:t>If the evaluation of disposal options does not warrant modification to extend the life of the asset or transferring it to another party or recycling, the asset must ordinarily be disposed of by way of public auction or public tender. An alternative approach must be sought where cost of disposal process exceeds residual value of the asset.</w:t>
      </w:r>
    </w:p>
    <w:p w14:paraId="0635A97A" w14:textId="77777777" w:rsidR="00E46954" w:rsidRDefault="00E46954" w:rsidP="00E46954">
      <w:pPr>
        <w:spacing w:before="0" w:after="0" w:line="240" w:lineRule="auto"/>
        <w:rPr>
          <w:lang w:eastAsia="en-US"/>
        </w:rPr>
      </w:pPr>
    </w:p>
    <w:p w14:paraId="73212F09" w14:textId="5EF2084F" w:rsidR="00AC04BA" w:rsidRPr="00E46954" w:rsidRDefault="00AC04BA" w:rsidP="00765E83">
      <w:pPr>
        <w:spacing w:before="0" w:after="0" w:line="240" w:lineRule="auto"/>
        <w:ind w:left="794"/>
        <w:rPr>
          <w:lang w:eastAsia="en-US"/>
        </w:rPr>
      </w:pPr>
      <w:r>
        <w:rPr>
          <w:rFonts w:asciiTheme="minorHAnsi" w:eastAsiaTheme="minorHAnsi" w:hAnsiTheme="minorHAnsi" w:cstheme="minorBidi"/>
          <w:lang w:eastAsia="en-US"/>
        </w:rPr>
        <w:t>This policy is one of</w:t>
      </w:r>
      <w:r w:rsidRPr="001E3B8B">
        <w:rPr>
          <w:rFonts w:asciiTheme="minorHAnsi" w:eastAsiaTheme="minorHAnsi" w:hAnsiTheme="minorHAnsi" w:cstheme="minorBidi"/>
          <w:lang w:eastAsia="en-US"/>
        </w:rPr>
        <w:t xml:space="preserve"> five Victorian Government Purchasing Board (VGPB) policies.  </w:t>
      </w:r>
    </w:p>
    <w:p w14:paraId="5B165C10" w14:textId="77777777" w:rsidR="00AC04BA" w:rsidRPr="001E3B8B" w:rsidRDefault="00AC04BA" w:rsidP="00765E83">
      <w:pPr>
        <w:spacing w:before="0" w:after="200" w:line="276" w:lineRule="auto"/>
        <w:ind w:left="794"/>
        <w:rPr>
          <w:rFonts w:asciiTheme="minorHAnsi" w:eastAsiaTheme="minorHAnsi" w:hAnsiTheme="minorHAnsi" w:cstheme="minorBidi"/>
          <w:lang w:eastAsia="en-US"/>
        </w:rPr>
      </w:pPr>
      <w:r w:rsidRPr="001E3B8B">
        <w:rPr>
          <w:rFonts w:asciiTheme="minorHAnsi" w:eastAsiaTheme="minorHAnsi" w:hAnsiTheme="minorHAnsi" w:cstheme="minorBidi"/>
          <w:lang w:eastAsia="en-US"/>
        </w:rPr>
        <w:t>Fo</w:t>
      </w:r>
      <w:r>
        <w:rPr>
          <w:rFonts w:asciiTheme="minorHAnsi" w:eastAsiaTheme="minorHAnsi" w:hAnsiTheme="minorHAnsi" w:cstheme="minorBidi"/>
          <w:lang w:eastAsia="en-US"/>
        </w:rPr>
        <w:t>r more information regarding</w:t>
      </w:r>
      <w:r w:rsidRPr="001E3B8B">
        <w:rPr>
          <w:rFonts w:asciiTheme="minorHAnsi" w:eastAsiaTheme="minorHAnsi" w:hAnsiTheme="minorHAnsi" w:cstheme="minorBidi"/>
          <w:lang w:eastAsia="en-US"/>
        </w:rPr>
        <w:t xml:space="preserve"> VGPB </w:t>
      </w:r>
      <w:r>
        <w:rPr>
          <w:rFonts w:asciiTheme="minorHAnsi" w:eastAsiaTheme="minorHAnsi" w:hAnsiTheme="minorHAnsi" w:cstheme="minorBidi"/>
          <w:lang w:eastAsia="en-US"/>
        </w:rPr>
        <w:t>Supply Policies</w:t>
      </w:r>
      <w:r w:rsidRPr="001E3B8B">
        <w:rPr>
          <w:rFonts w:asciiTheme="minorHAnsi" w:eastAsiaTheme="minorHAnsi" w:hAnsiTheme="minorHAnsi" w:cstheme="minorBidi"/>
          <w:lang w:eastAsia="en-US"/>
        </w:rPr>
        <w:t xml:space="preserve"> refer to </w:t>
      </w:r>
      <w:hyperlink r:id="rId13" w:history="1">
        <w:r w:rsidRPr="001E3B8B">
          <w:rPr>
            <w:rFonts w:asciiTheme="minorHAnsi" w:eastAsiaTheme="minorHAnsi" w:hAnsiTheme="minorHAnsi" w:cstheme="minorBidi"/>
            <w:color w:val="0563C1" w:themeColor="hyperlink"/>
            <w:u w:val="single"/>
            <w:lang w:eastAsia="en-US"/>
          </w:rPr>
          <w:t>this link</w:t>
        </w:r>
      </w:hyperlink>
      <w:r w:rsidRPr="001E3B8B">
        <w:rPr>
          <w:rFonts w:asciiTheme="minorHAnsi" w:eastAsiaTheme="minorHAnsi" w:hAnsiTheme="minorHAnsi" w:cstheme="minorBidi"/>
          <w:lang w:eastAsia="en-US"/>
        </w:rPr>
        <w:t>.</w:t>
      </w:r>
    </w:p>
    <w:p w14:paraId="03D6ABF5" w14:textId="77777777" w:rsidR="00AC04BA" w:rsidRDefault="00AC04BA" w:rsidP="00AC04BA">
      <w:pPr>
        <w:spacing w:before="0" w:after="200" w:line="276" w:lineRule="auto"/>
        <w:rPr>
          <w:rFonts w:asciiTheme="minorHAnsi" w:eastAsiaTheme="minorHAnsi" w:hAnsiTheme="minorHAnsi" w:cstheme="minorBidi"/>
          <w:lang w:eastAsia="en-US"/>
        </w:rPr>
      </w:pPr>
    </w:p>
    <w:p w14:paraId="5D8F76D2" w14:textId="77777777" w:rsidR="00AC04BA" w:rsidRDefault="00AC04BA" w:rsidP="00AC04BA">
      <w:pPr>
        <w:spacing w:before="0" w:after="200" w:line="276" w:lineRule="auto"/>
        <w:rPr>
          <w:rFonts w:asciiTheme="minorHAnsi" w:eastAsiaTheme="minorHAnsi" w:hAnsiTheme="minorHAnsi" w:cstheme="minorBidi"/>
          <w:lang w:eastAsia="en-US"/>
        </w:rPr>
      </w:pPr>
    </w:p>
    <w:p w14:paraId="63CE458E" w14:textId="77777777" w:rsidR="00AC04BA" w:rsidRDefault="00AC04BA" w:rsidP="00AC04BA">
      <w:pPr>
        <w:spacing w:before="0" w:after="200" w:line="276" w:lineRule="auto"/>
        <w:rPr>
          <w:rFonts w:asciiTheme="minorHAnsi" w:eastAsiaTheme="minorHAnsi" w:hAnsiTheme="minorHAnsi" w:cstheme="minorBidi"/>
          <w:lang w:eastAsia="en-US"/>
        </w:rPr>
      </w:pPr>
    </w:p>
    <w:p w14:paraId="7B4F4EAB" w14:textId="77777777" w:rsidR="00AC04BA" w:rsidRDefault="00AC04BA" w:rsidP="00AC04BA">
      <w:pPr>
        <w:spacing w:before="0" w:after="200" w:line="276" w:lineRule="auto"/>
        <w:rPr>
          <w:rFonts w:asciiTheme="minorHAnsi" w:eastAsiaTheme="minorHAnsi" w:hAnsiTheme="minorHAnsi" w:cstheme="minorBidi"/>
          <w:lang w:eastAsia="en-US"/>
        </w:rPr>
      </w:pPr>
    </w:p>
    <w:p w14:paraId="619F93F4" w14:textId="77777777" w:rsidR="00AC04BA" w:rsidRDefault="00AC04BA" w:rsidP="00AC04BA">
      <w:pPr>
        <w:spacing w:before="0" w:after="200" w:line="276" w:lineRule="auto"/>
        <w:rPr>
          <w:rFonts w:asciiTheme="minorHAnsi" w:eastAsiaTheme="minorHAnsi" w:hAnsiTheme="minorHAnsi" w:cstheme="minorBidi"/>
          <w:lang w:eastAsia="en-US"/>
        </w:rPr>
      </w:pPr>
    </w:p>
    <w:p w14:paraId="1EC62B2D" w14:textId="77777777" w:rsidR="00E46954" w:rsidRDefault="00E46954" w:rsidP="00AC04BA">
      <w:pPr>
        <w:spacing w:before="0" w:after="200" w:line="276" w:lineRule="auto"/>
        <w:rPr>
          <w:rFonts w:asciiTheme="minorHAnsi" w:eastAsiaTheme="minorHAnsi" w:hAnsiTheme="minorHAnsi" w:cstheme="minorBidi"/>
          <w:lang w:eastAsia="en-US"/>
        </w:rPr>
      </w:pPr>
    </w:p>
    <w:p w14:paraId="60987D7A" w14:textId="77777777" w:rsidR="00E46954" w:rsidRDefault="00E46954" w:rsidP="00AC04BA">
      <w:pPr>
        <w:spacing w:before="0" w:after="200" w:line="276" w:lineRule="auto"/>
        <w:rPr>
          <w:rFonts w:asciiTheme="minorHAnsi" w:eastAsiaTheme="minorHAnsi" w:hAnsiTheme="minorHAnsi" w:cstheme="minorBidi"/>
          <w:lang w:eastAsia="en-US"/>
        </w:rPr>
      </w:pPr>
    </w:p>
    <w:p w14:paraId="47094C2F" w14:textId="77777777" w:rsidR="00E46954" w:rsidRDefault="00E46954" w:rsidP="00AC04BA">
      <w:pPr>
        <w:spacing w:before="0" w:after="200" w:line="276" w:lineRule="auto"/>
        <w:rPr>
          <w:rFonts w:asciiTheme="minorHAnsi" w:eastAsiaTheme="minorHAnsi" w:hAnsiTheme="minorHAnsi" w:cstheme="minorBidi"/>
          <w:lang w:eastAsia="en-US"/>
        </w:rPr>
      </w:pPr>
    </w:p>
    <w:p w14:paraId="3A713C49" w14:textId="77777777" w:rsidR="00E46954" w:rsidRDefault="00E46954" w:rsidP="00AC04BA">
      <w:pPr>
        <w:spacing w:before="0" w:after="200" w:line="276" w:lineRule="auto"/>
        <w:rPr>
          <w:rFonts w:asciiTheme="minorHAnsi" w:eastAsiaTheme="minorHAnsi" w:hAnsiTheme="minorHAnsi" w:cstheme="minorBidi"/>
          <w:lang w:eastAsia="en-US"/>
        </w:rPr>
      </w:pPr>
    </w:p>
    <w:p w14:paraId="3C6A8806" w14:textId="77777777" w:rsidR="00E46954" w:rsidRDefault="00E46954" w:rsidP="00AC04BA">
      <w:pPr>
        <w:spacing w:before="0" w:after="200" w:line="276" w:lineRule="auto"/>
        <w:rPr>
          <w:rFonts w:asciiTheme="minorHAnsi" w:eastAsiaTheme="minorHAnsi" w:hAnsiTheme="minorHAnsi" w:cstheme="minorBidi"/>
          <w:lang w:eastAsia="en-US"/>
        </w:rPr>
      </w:pPr>
    </w:p>
    <w:p w14:paraId="067F662B" w14:textId="77777777" w:rsidR="00E46954" w:rsidRDefault="00E46954" w:rsidP="00AC04BA">
      <w:pPr>
        <w:spacing w:before="0" w:after="200" w:line="276" w:lineRule="auto"/>
        <w:rPr>
          <w:rFonts w:asciiTheme="minorHAnsi" w:eastAsiaTheme="minorHAnsi" w:hAnsiTheme="minorHAnsi" w:cstheme="minorBidi"/>
          <w:lang w:eastAsia="en-US"/>
        </w:rPr>
      </w:pPr>
    </w:p>
    <w:p w14:paraId="080F37D5" w14:textId="77777777" w:rsidR="00E46954" w:rsidRDefault="00E46954" w:rsidP="00AC04BA">
      <w:pPr>
        <w:spacing w:before="0" w:after="200" w:line="276" w:lineRule="auto"/>
        <w:rPr>
          <w:rFonts w:asciiTheme="minorHAnsi" w:eastAsiaTheme="minorHAnsi" w:hAnsiTheme="minorHAnsi" w:cstheme="minorBidi"/>
          <w:lang w:eastAsia="en-US"/>
        </w:rPr>
      </w:pPr>
    </w:p>
    <w:p w14:paraId="304210CE" w14:textId="77777777" w:rsidR="00E46954" w:rsidRDefault="00E46954" w:rsidP="00AC04BA">
      <w:pPr>
        <w:spacing w:before="0" w:after="200" w:line="276" w:lineRule="auto"/>
        <w:rPr>
          <w:rFonts w:asciiTheme="minorHAnsi" w:eastAsiaTheme="minorHAnsi" w:hAnsiTheme="minorHAnsi" w:cstheme="minorBidi"/>
          <w:lang w:eastAsia="en-US"/>
        </w:rPr>
      </w:pPr>
    </w:p>
    <w:p w14:paraId="0D91CE5B" w14:textId="77777777" w:rsidR="00E46954" w:rsidRDefault="00E46954" w:rsidP="00AC04BA">
      <w:pPr>
        <w:spacing w:before="0" w:after="200" w:line="276" w:lineRule="auto"/>
        <w:rPr>
          <w:rFonts w:asciiTheme="minorHAnsi" w:eastAsiaTheme="minorHAnsi" w:hAnsiTheme="minorHAnsi" w:cstheme="minorBidi"/>
          <w:lang w:eastAsia="en-US"/>
        </w:rPr>
      </w:pPr>
    </w:p>
    <w:p w14:paraId="5B7A5044" w14:textId="77777777" w:rsidR="00E46954" w:rsidRDefault="00E46954" w:rsidP="00AC04BA">
      <w:pPr>
        <w:spacing w:before="0" w:after="200" w:line="276" w:lineRule="auto"/>
        <w:rPr>
          <w:rFonts w:asciiTheme="minorHAnsi" w:eastAsiaTheme="minorHAnsi" w:hAnsiTheme="minorHAnsi" w:cstheme="minorBidi"/>
          <w:lang w:eastAsia="en-US"/>
        </w:rPr>
      </w:pPr>
    </w:p>
    <w:p w14:paraId="320EAA63" w14:textId="77777777" w:rsidR="00E46954" w:rsidRDefault="00E46954" w:rsidP="00AC04BA">
      <w:pPr>
        <w:spacing w:before="0" w:after="200" w:line="276" w:lineRule="auto"/>
        <w:rPr>
          <w:rFonts w:asciiTheme="minorHAnsi" w:eastAsiaTheme="minorHAnsi" w:hAnsiTheme="minorHAnsi" w:cstheme="minorBidi"/>
          <w:lang w:eastAsia="en-US"/>
        </w:rPr>
      </w:pPr>
    </w:p>
    <w:p w14:paraId="07004019" w14:textId="77777777" w:rsidR="00E46954" w:rsidRDefault="00E46954" w:rsidP="00AC04BA">
      <w:pPr>
        <w:spacing w:before="0" w:after="200" w:line="276" w:lineRule="auto"/>
        <w:rPr>
          <w:rFonts w:asciiTheme="minorHAnsi" w:eastAsiaTheme="minorHAnsi" w:hAnsiTheme="minorHAnsi" w:cstheme="minorBidi"/>
          <w:lang w:eastAsia="en-US"/>
        </w:rPr>
      </w:pPr>
    </w:p>
    <w:p w14:paraId="5048E04F" w14:textId="77777777" w:rsidR="00E46954" w:rsidRDefault="00E46954" w:rsidP="00AC04BA">
      <w:pPr>
        <w:spacing w:before="0" w:after="200" w:line="276" w:lineRule="auto"/>
        <w:rPr>
          <w:rFonts w:asciiTheme="minorHAnsi" w:eastAsiaTheme="minorHAnsi" w:hAnsiTheme="minorHAnsi" w:cstheme="minorBidi"/>
          <w:lang w:eastAsia="en-US"/>
        </w:rPr>
      </w:pPr>
    </w:p>
    <w:p w14:paraId="1546FEFF" w14:textId="77777777" w:rsidR="00E46954" w:rsidRDefault="00E46954" w:rsidP="00AC04BA">
      <w:pPr>
        <w:spacing w:before="0" w:after="200" w:line="276" w:lineRule="auto"/>
        <w:rPr>
          <w:rFonts w:asciiTheme="minorHAnsi" w:eastAsiaTheme="minorHAnsi" w:hAnsiTheme="minorHAnsi" w:cstheme="minorBidi"/>
          <w:lang w:eastAsia="en-US"/>
        </w:rPr>
      </w:pPr>
    </w:p>
    <w:p w14:paraId="2BB218A8" w14:textId="77777777" w:rsidR="00E46954" w:rsidRDefault="00E46954" w:rsidP="00AC04BA">
      <w:pPr>
        <w:spacing w:before="0" w:after="200" w:line="276" w:lineRule="auto"/>
        <w:rPr>
          <w:rFonts w:asciiTheme="minorHAnsi" w:eastAsiaTheme="minorHAnsi" w:hAnsiTheme="minorHAnsi" w:cstheme="minorBidi"/>
          <w:lang w:eastAsia="en-US"/>
        </w:rPr>
      </w:pPr>
    </w:p>
    <w:p w14:paraId="4DB49699" w14:textId="77777777" w:rsidR="00E46954" w:rsidRDefault="00E46954" w:rsidP="00AC04BA">
      <w:pPr>
        <w:spacing w:before="0" w:after="200" w:line="276" w:lineRule="auto"/>
        <w:rPr>
          <w:rFonts w:asciiTheme="minorHAnsi" w:eastAsiaTheme="minorHAnsi" w:hAnsiTheme="minorHAnsi" w:cstheme="minorBidi"/>
          <w:lang w:eastAsia="en-US"/>
        </w:rPr>
      </w:pPr>
    </w:p>
    <w:p w14:paraId="093BEEBC" w14:textId="77777777" w:rsidR="00E46954" w:rsidRDefault="00E46954" w:rsidP="00AC04BA">
      <w:pPr>
        <w:spacing w:before="0" w:after="200" w:line="276" w:lineRule="auto"/>
        <w:rPr>
          <w:rFonts w:asciiTheme="minorHAnsi" w:eastAsiaTheme="minorHAnsi" w:hAnsiTheme="minorHAnsi" w:cstheme="minorBidi"/>
          <w:lang w:eastAsia="en-US"/>
        </w:rPr>
      </w:pPr>
    </w:p>
    <w:p w14:paraId="198E2DDD" w14:textId="77777777" w:rsidR="00E46954" w:rsidRDefault="00E46954" w:rsidP="00AC04BA">
      <w:pPr>
        <w:spacing w:before="0" w:after="200" w:line="276" w:lineRule="auto"/>
        <w:rPr>
          <w:rFonts w:asciiTheme="minorHAnsi" w:eastAsiaTheme="minorHAnsi" w:hAnsiTheme="minorHAnsi" w:cstheme="minorBidi"/>
          <w:lang w:eastAsia="en-US"/>
        </w:rPr>
      </w:pPr>
    </w:p>
    <w:p w14:paraId="6680A08A" w14:textId="77777777" w:rsidR="00E46954" w:rsidRDefault="00E46954" w:rsidP="00AC04BA">
      <w:pPr>
        <w:spacing w:before="0" w:after="200" w:line="276" w:lineRule="auto"/>
        <w:rPr>
          <w:rFonts w:asciiTheme="minorHAnsi" w:eastAsiaTheme="minorHAnsi" w:hAnsiTheme="minorHAnsi" w:cstheme="minorBidi"/>
          <w:lang w:eastAsia="en-US"/>
        </w:rPr>
      </w:pPr>
    </w:p>
    <w:p w14:paraId="4439AE17" w14:textId="77777777" w:rsidR="00E46954" w:rsidRDefault="00E46954" w:rsidP="00AC04BA">
      <w:pPr>
        <w:spacing w:before="0" w:after="200" w:line="276" w:lineRule="auto"/>
        <w:rPr>
          <w:rFonts w:asciiTheme="minorHAnsi" w:eastAsiaTheme="minorHAnsi" w:hAnsiTheme="minorHAnsi" w:cstheme="minorBidi"/>
          <w:lang w:eastAsia="en-US"/>
        </w:rPr>
      </w:pPr>
    </w:p>
    <w:p w14:paraId="553DFBDE" w14:textId="77777777" w:rsidR="00E46954" w:rsidRDefault="00E46954" w:rsidP="00AC04BA">
      <w:pPr>
        <w:spacing w:before="0" w:after="200" w:line="276" w:lineRule="auto"/>
        <w:rPr>
          <w:rFonts w:asciiTheme="minorHAnsi" w:eastAsiaTheme="minorHAnsi" w:hAnsiTheme="minorHAnsi" w:cstheme="minorBidi"/>
          <w:lang w:eastAsia="en-US"/>
        </w:rPr>
      </w:pPr>
    </w:p>
    <w:p w14:paraId="4A8C6C37" w14:textId="77777777" w:rsidR="00E46954" w:rsidRDefault="00E46954" w:rsidP="00AC04BA">
      <w:pPr>
        <w:spacing w:before="0" w:after="200" w:line="276" w:lineRule="auto"/>
        <w:rPr>
          <w:rFonts w:asciiTheme="minorHAnsi" w:eastAsiaTheme="minorHAnsi" w:hAnsiTheme="minorHAnsi" w:cstheme="minorBidi"/>
          <w:lang w:eastAsia="en-US"/>
        </w:rPr>
      </w:pPr>
    </w:p>
    <w:p w14:paraId="41FBE4D0" w14:textId="77777777" w:rsidR="00AC04BA" w:rsidRPr="001E3B8B" w:rsidRDefault="00AC04BA" w:rsidP="00AC04BA">
      <w:r w:rsidRPr="001E3B8B">
        <w:t>State of Victoria 20</w:t>
      </w:r>
      <w:r>
        <w:t>2</w:t>
      </w:r>
      <w:r w:rsidRPr="001E3B8B">
        <w:t>1</w:t>
      </w:r>
    </w:p>
    <w:p w14:paraId="7785CBFC" w14:textId="77777777" w:rsidR="00AC04BA" w:rsidRPr="001E3B8B" w:rsidRDefault="00AC04BA" w:rsidP="00AC04BA">
      <w:r w:rsidRPr="001E3B8B">
        <w:rPr>
          <w:noProof/>
        </w:rPr>
        <w:drawing>
          <wp:inline distT="0" distB="0" distL="0" distR="0" wp14:anchorId="0BE2C8C0" wp14:editId="163C2F2A">
            <wp:extent cx="1117460" cy="393651"/>
            <wp:effectExtent l="0" t="0" r="6985" b="6985"/>
            <wp:docPr id="17" name="Picture 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5">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1E3B8B">
        <w:t xml:space="preserve"> </w:t>
      </w:r>
    </w:p>
    <w:p w14:paraId="62EF8D3D" w14:textId="77777777" w:rsidR="00AC04BA" w:rsidRPr="001E3B8B" w:rsidRDefault="00AC04BA" w:rsidP="00AC04BA">
      <w:r w:rsidRPr="001E3B8B">
        <w:t xml:space="preserve">This work is licensed under a </w:t>
      </w:r>
      <w:hyperlink r:id="rId16" w:history="1">
        <w:r w:rsidRPr="001E3B8B">
          <w:rPr>
            <w:color w:val="660B68"/>
          </w:rPr>
          <w:t>Creative Commons Attribution 4.0 licence</w:t>
        </w:r>
      </w:hyperlink>
      <w:r w:rsidRPr="001E3B8B">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EBB6563" w14:textId="13632F02" w:rsidR="00AC04BA" w:rsidRPr="00E46954" w:rsidRDefault="00AC04BA" w:rsidP="00E46954">
      <w:pPr>
        <w:sectPr w:rsidR="00AC04BA" w:rsidRPr="00E46954" w:rsidSect="007D0601">
          <w:headerReference w:type="default" r:id="rId17"/>
          <w:footerReference w:type="default" r:id="rId18"/>
          <w:headerReference w:type="first" r:id="rId19"/>
          <w:footerReference w:type="first" r:id="rId20"/>
          <w:pgSz w:w="11901" w:h="16840" w:code="9"/>
          <w:pgMar w:top="907" w:right="1008" w:bottom="1138" w:left="1152" w:header="288" w:footer="330" w:gutter="0"/>
          <w:pgNumType w:start="1"/>
          <w:cols w:space="708"/>
          <w:titlePg/>
          <w:docGrid w:linePitch="360"/>
        </w:sectPr>
      </w:pPr>
      <w:r w:rsidRPr="001E3B8B">
        <w:t xml:space="preserve">Copyright queries may be directed to </w:t>
      </w:r>
      <w:hyperlink r:id="rId21" w:history="1">
        <w:r w:rsidRPr="001E3B8B">
          <w:rPr>
            <w:color w:val="660B68"/>
          </w:rPr>
          <w:t>IPpolicy@dtf.vic.gov.au</w:t>
        </w:r>
      </w:hyperlink>
    </w:p>
    <w:p w14:paraId="162D4EE6" w14:textId="77777777" w:rsidR="002C60CC" w:rsidRDefault="002C60CC" w:rsidP="00E46954">
      <w:pPr>
        <w:pStyle w:val="Heading1"/>
        <w:ind w:left="0"/>
      </w:pPr>
    </w:p>
    <w:sectPr w:rsidR="002C60CC" w:rsidSect="007D0601">
      <w:headerReference w:type="even" r:id="rId22"/>
      <w:headerReference w:type="default" r:id="rId23"/>
      <w:footerReference w:type="even" r:id="rId24"/>
      <w:footerReference w:type="default" r:id="rId25"/>
      <w:headerReference w:type="first" r:id="rId26"/>
      <w:footerReference w:type="first" r:id="rId27"/>
      <w:pgSz w:w="11901" w:h="16840" w:code="9"/>
      <w:pgMar w:top="907" w:right="1008" w:bottom="1138" w:left="1152" w:header="288" w:footer="3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403D9" w14:textId="77777777" w:rsidR="0061002D" w:rsidRDefault="0061002D" w:rsidP="00AC04BA">
      <w:pPr>
        <w:spacing w:before="0" w:after="0" w:line="240" w:lineRule="auto"/>
      </w:pPr>
      <w:r>
        <w:separator/>
      </w:r>
    </w:p>
  </w:endnote>
  <w:endnote w:type="continuationSeparator" w:id="0">
    <w:p w14:paraId="23345E89" w14:textId="77777777" w:rsidR="0061002D" w:rsidRDefault="0061002D" w:rsidP="00AC04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9218"/>
      <w:gridCol w:w="523"/>
    </w:tblGrid>
    <w:tr w:rsidR="00207449" w14:paraId="123866FA" w14:textId="77777777" w:rsidTr="007D0601">
      <w:trPr>
        <w:cantSplit/>
      </w:trPr>
      <w:tc>
        <w:tcPr>
          <w:tcW w:w="9327" w:type="dxa"/>
          <w:shd w:val="clear" w:color="auto" w:fill="auto"/>
          <w:vAlign w:val="center"/>
        </w:tcPr>
        <w:p w14:paraId="6AF80A7B" w14:textId="77777777" w:rsidR="00D417DF" w:rsidRDefault="00024571" w:rsidP="007D0601">
          <w:pPr>
            <w:pStyle w:val="Footer"/>
          </w:pPr>
          <w:r>
            <mc:AlternateContent>
              <mc:Choice Requires="wps">
                <w:drawing>
                  <wp:anchor distT="0" distB="0" distL="114300" distR="114300" simplePos="0" relativeHeight="251668992" behindDoc="0" locked="0" layoutInCell="0" allowOverlap="1" wp14:anchorId="3342A395" wp14:editId="1E8A5CCE">
                    <wp:simplePos x="0" y="0"/>
                    <wp:positionH relativeFrom="page">
                      <wp:posOffset>0</wp:posOffset>
                    </wp:positionH>
                    <wp:positionV relativeFrom="page">
                      <wp:posOffset>10236200</wp:posOffset>
                    </wp:positionV>
                    <wp:extent cx="7557135" cy="266700"/>
                    <wp:effectExtent l="0" t="0" r="0" b="0"/>
                    <wp:wrapNone/>
                    <wp:docPr id="1" name="MSIPCM4bb748d0921076b8d26d4eb0"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65EA9" w14:textId="77777777" w:rsidR="00024571" w:rsidRPr="00024571" w:rsidRDefault="00024571" w:rsidP="00024571">
                                <w:pPr>
                                  <w:spacing w:before="0" w:after="0"/>
                                  <w:rPr>
                                    <w:color w:val="000000"/>
                                  </w:rPr>
                                </w:pPr>
                                <w:r w:rsidRPr="0002457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42A395" id="_x0000_t202" coordsize="21600,21600" o:spt="202" path="m,l,21600r21600,l21600,xe">
                    <v:stroke joinstyle="miter"/>
                    <v:path gradientshapeok="t" o:connecttype="rect"/>
                  </v:shapetype>
                  <v:shape id="MSIPCM4bb748d0921076b8d26d4eb0" o:spid="_x0000_s1026" type="#_x0000_t202" alt="{&quot;HashCode&quot;:-1267603503,&quot;Height&quot;:842.0,&quot;Width&quot;:595.0,&quot;Placement&quot;:&quot;Footer&quot;,&quot;Index&quot;:&quot;Primary&quot;,&quot;Section&quot;:1,&quot;Top&quot;:0.0,&quot;Left&quot;:0.0}" style="position:absolute;left:0;text-align:left;margin-left:0;margin-top:806pt;width:595.05pt;height:21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34365EA9" w14:textId="77777777" w:rsidR="00024571" w:rsidRPr="00024571" w:rsidRDefault="00024571" w:rsidP="00024571">
                          <w:pPr>
                            <w:spacing w:before="0" w:after="0"/>
                            <w:rPr>
                              <w:color w:val="000000"/>
                            </w:rPr>
                          </w:pPr>
                          <w:r w:rsidRPr="00024571">
                            <w:rPr>
                              <w:color w:val="000000"/>
                            </w:rPr>
                            <w:t>OFFICIAL</w:t>
                          </w:r>
                        </w:p>
                      </w:txbxContent>
                    </v:textbox>
                    <w10:wrap anchorx="page" anchory="page"/>
                  </v:shape>
                </w:pict>
              </mc:Fallback>
            </mc:AlternateContent>
          </w:r>
          <w:r w:rsidR="00AC04BA">
            <mc:AlternateContent>
              <mc:Choice Requires="wps">
                <w:drawing>
                  <wp:anchor distT="0" distB="0" distL="114300" distR="114300" simplePos="0" relativeHeight="251666944" behindDoc="0" locked="0" layoutInCell="0" allowOverlap="1" wp14:anchorId="3D16FDDD" wp14:editId="3615D583">
                    <wp:simplePos x="0" y="0"/>
                    <wp:positionH relativeFrom="page">
                      <wp:posOffset>0</wp:posOffset>
                    </wp:positionH>
                    <wp:positionV relativeFrom="page">
                      <wp:posOffset>10236200</wp:posOffset>
                    </wp:positionV>
                    <wp:extent cx="7557135" cy="266700"/>
                    <wp:effectExtent l="0" t="0" r="0" b="0"/>
                    <wp:wrapNone/>
                    <wp:docPr id="222" name="MSIPCMbb694caba7b7affd0c439892"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28798" w14:textId="77777777" w:rsidR="00D417DF" w:rsidRPr="00AC5D0B" w:rsidRDefault="00AC04BA" w:rsidP="007D0601">
                                <w:pPr>
                                  <w:spacing w:before="0" w:after="0"/>
                                  <w:rPr>
                                    <w:color w:val="000000"/>
                                  </w:rPr>
                                </w:pPr>
                                <w:r>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D16FDDD" id="MSIPCMbb694caba7b7affd0c439892" o:spid="_x0000_s1027" type="#_x0000_t202" alt="{&quot;HashCode&quot;:-1267603503,&quot;Height&quot;:842.0,&quot;Width&quot;:595.0,&quot;Placement&quot;:&quot;Footer&quot;,&quot;Index&quot;:&quot;Primary&quot;,&quot;Section&quot;:3,&quot;Top&quot;:0.0,&quot;Left&quot;:0.0}" style="position:absolute;left:0;text-align:left;margin-left:0;margin-top:806pt;width:595.05pt;height:21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68028798" w14:textId="77777777" w:rsidR="00D417DF" w:rsidRPr="00AC5D0B" w:rsidRDefault="00AC04BA" w:rsidP="007D0601">
                          <w:pPr>
                            <w:spacing w:before="0" w:after="0"/>
                            <w:rPr>
                              <w:color w:val="000000"/>
                            </w:rPr>
                          </w:pPr>
                          <w:r>
                            <w:rPr>
                              <w:color w:val="000000"/>
                            </w:rPr>
                            <w:t>OFFICIAL</w:t>
                          </w:r>
                        </w:p>
                      </w:txbxContent>
                    </v:textbox>
                    <w10:wrap anchorx="page" anchory="page"/>
                  </v:shape>
                </w:pict>
              </mc:Fallback>
            </mc:AlternateContent>
          </w:r>
          <w:r w:rsidR="00AC04BA">
            <w:t xml:space="preserve">VGPB </w:t>
          </w:r>
          <w:r w:rsidR="00AC04BA" w:rsidRPr="002E5BDD">
            <w:t>Policy Three: Market analysis and review</w:t>
          </w:r>
        </w:p>
        <w:p w14:paraId="48B70CD7" w14:textId="255EA02E" w:rsidR="00D417DF" w:rsidRPr="002E5BDD" w:rsidRDefault="00AC04BA" w:rsidP="00ED3795">
          <w:pPr>
            <w:pStyle w:val="Footer"/>
          </w:pPr>
          <w:r>
            <w:t>Version 1.</w:t>
          </w:r>
          <w:r w:rsidR="00ED3795">
            <w:t>2 May 2024</w:t>
          </w:r>
          <w:r w:rsidRPr="002E5BDD">
            <w:t xml:space="preserve"> </w:t>
          </w:r>
        </w:p>
        <w:p w14:paraId="31746D32" w14:textId="77777777" w:rsidR="00D417DF" w:rsidRDefault="00D417DF" w:rsidP="007D0601">
          <w:pPr>
            <w:pStyle w:val="Footer"/>
          </w:pPr>
        </w:p>
      </w:tc>
      <w:tc>
        <w:tcPr>
          <w:tcW w:w="528" w:type="dxa"/>
          <w:shd w:val="clear" w:color="auto" w:fill="auto"/>
        </w:tcPr>
        <w:p w14:paraId="5A8DEFE1" w14:textId="77777777" w:rsidR="00D417DF" w:rsidRPr="0018749C" w:rsidRDefault="00AC04BA" w:rsidP="007D0601">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7</w:t>
          </w:r>
          <w:r w:rsidRPr="0018749C">
            <w:rPr>
              <w:rStyle w:val="PageNumber"/>
            </w:rPr>
            <w:fldChar w:fldCharType="end"/>
          </w:r>
        </w:p>
      </w:tc>
    </w:tr>
  </w:tbl>
  <w:p w14:paraId="18D34F4D" w14:textId="77777777" w:rsidR="00D417DF" w:rsidRDefault="00D417DF" w:rsidP="007D0601">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1F1A" w14:textId="77777777" w:rsidR="00D417DF" w:rsidRDefault="00024571" w:rsidP="007D0601">
    <w:pPr>
      <w:pStyle w:val="Footer"/>
    </w:pPr>
    <w:r>
      <mc:AlternateContent>
        <mc:Choice Requires="wps">
          <w:drawing>
            <wp:anchor distT="0" distB="0" distL="114300" distR="114300" simplePos="0" relativeHeight="251670016" behindDoc="0" locked="0" layoutInCell="0" allowOverlap="1" wp14:anchorId="0AA711F3" wp14:editId="4668535F">
              <wp:simplePos x="0" y="0"/>
              <wp:positionH relativeFrom="page">
                <wp:posOffset>0</wp:posOffset>
              </wp:positionH>
              <wp:positionV relativeFrom="page">
                <wp:posOffset>10236200</wp:posOffset>
              </wp:positionV>
              <wp:extent cx="7557135" cy="266700"/>
              <wp:effectExtent l="0" t="0" r="0" b="0"/>
              <wp:wrapNone/>
              <wp:docPr id="2" name="MSIPCMf38b44e98ba22bd4a1bea91f"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3C318" w14:textId="77777777" w:rsidR="00024571" w:rsidRPr="00024571" w:rsidRDefault="00024571" w:rsidP="00024571">
                          <w:pPr>
                            <w:spacing w:before="0" w:after="0"/>
                            <w:rPr>
                              <w:color w:val="000000"/>
                            </w:rPr>
                          </w:pPr>
                          <w:r w:rsidRPr="0002457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A711F3" id="_x0000_t202" coordsize="21600,21600" o:spt="202" path="m,l,21600r21600,l21600,xe">
              <v:stroke joinstyle="miter"/>
              <v:path gradientshapeok="t" o:connecttype="rect"/>
            </v:shapetype>
            <v:shape id="MSIPCMf38b44e98ba22bd4a1bea91f" o:spid="_x0000_s1028"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2WHQ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gq7GObYQXXC8Rz0zHvL1w32sGE+&#10;vDCHVONEuL7hGQ+pAGvBWaKkBvfzb/rojwyglZIWV6ek/seBOUGJ+maQm8lsmiMEJKQXCi4Jn8fT&#10;KT52g9Yc9APgWo7xh1iexOgb1CBKB/oN13sVy6GJGY5FS7obxIfQbzJ+Dy5Wq+SEa2VZ2Jit5TF1&#10;hDNC+9q9MWfP+Adk7gmG7WLFOxp6356I1SGAbBJHEeAezjPuuJKJuvP3iTv/+zt5XT/58hc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Ce9lh0CAAAsBAAADgAAAAAAAAAAAAAAAAAuAgAAZHJzL2Uyb0RvYy54bWxQSwEC&#10;LQAUAAYACAAAACEAyEQiD94AAAALAQAADwAAAAAAAAAAAAAAAAB3BAAAZHJzL2Rvd25yZXYueG1s&#10;UEsFBgAAAAAEAAQA8wAAAIIFAAAAAA==&#10;" o:allowincell="f" filled="f" stroked="f" strokeweight=".5pt">
              <v:textbox inset="20pt,0,,0">
                <w:txbxContent>
                  <w:p w14:paraId="0533C318" w14:textId="77777777" w:rsidR="00024571" w:rsidRPr="00024571" w:rsidRDefault="00024571" w:rsidP="00024571">
                    <w:pPr>
                      <w:spacing w:before="0" w:after="0"/>
                      <w:rPr>
                        <w:color w:val="000000"/>
                      </w:rPr>
                    </w:pPr>
                    <w:r w:rsidRPr="00024571">
                      <w:rPr>
                        <w:color w:val="000000"/>
                      </w:rPr>
                      <w:t>OFFICIAL</w:t>
                    </w:r>
                  </w:p>
                </w:txbxContent>
              </v:textbox>
              <w10:wrap anchorx="page" anchory="page"/>
            </v:shape>
          </w:pict>
        </mc:Fallback>
      </mc:AlternateContent>
    </w:r>
    <w:r w:rsidR="00AC04BA">
      <mc:AlternateContent>
        <mc:Choice Requires="wps">
          <w:drawing>
            <wp:anchor distT="0" distB="0" distL="114300" distR="114300" simplePos="0" relativeHeight="251667968" behindDoc="0" locked="0" layoutInCell="0" allowOverlap="1" wp14:anchorId="2B5330EA" wp14:editId="31884CD6">
              <wp:simplePos x="0" y="0"/>
              <wp:positionH relativeFrom="page">
                <wp:posOffset>0</wp:posOffset>
              </wp:positionH>
              <wp:positionV relativeFrom="page">
                <wp:posOffset>10236200</wp:posOffset>
              </wp:positionV>
              <wp:extent cx="7557135" cy="266700"/>
              <wp:effectExtent l="0" t="0" r="0" b="0"/>
              <wp:wrapNone/>
              <wp:docPr id="223" name="MSIPCM45794f899abd0cd6bb0021d7" descr="{&quot;HashCode&quot;:-1267603503,&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321CB" w14:textId="77777777" w:rsidR="00D417DF" w:rsidRPr="00AC5D0B" w:rsidRDefault="00AC04BA" w:rsidP="007D0601">
                          <w:pPr>
                            <w:spacing w:before="0" w:after="0"/>
                            <w:rPr>
                              <w:color w:val="000000"/>
                            </w:rPr>
                          </w:pPr>
                          <w:r>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B5330EA" id="MSIPCM45794f899abd0cd6bb0021d7" o:spid="_x0000_s1029" type="#_x0000_t202" alt="{&quot;HashCode&quot;:-1267603503,&quot;Height&quot;:842.0,&quot;Width&quot;:595.0,&quot;Placement&quot;:&quot;Footer&quot;,&quot;Index&quot;:&quot;FirstPage&quot;,&quot;Section&quot;:3,&quot;Top&quot;:0.0,&quot;Left&quot;:0.0}" style="position:absolute;left:0;text-align:left;margin-left:0;margin-top:806pt;width:595.05pt;height:21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a1SIKx0CAAAsBAAADgAAAAAAAAAAAAAAAAAuAgAAZHJzL2Uyb0RvYy54bWxQSwEC&#10;LQAUAAYACAAAACEAyEQiD94AAAALAQAADwAAAAAAAAAAAAAAAAB3BAAAZHJzL2Rvd25yZXYueG1s&#10;UEsFBgAAAAAEAAQA8wAAAIIFAAAAAA==&#10;" o:allowincell="f" filled="f" stroked="f" strokeweight=".5pt">
              <v:textbox inset="20pt,0,,0">
                <w:txbxContent>
                  <w:p w14:paraId="255321CB" w14:textId="77777777" w:rsidR="00D417DF" w:rsidRPr="00AC5D0B" w:rsidRDefault="00AC04BA" w:rsidP="007D0601">
                    <w:pPr>
                      <w:spacing w:before="0" w:after="0"/>
                      <w:rPr>
                        <w:color w:val="000000"/>
                      </w:rPr>
                    </w:pPr>
                    <w:r>
                      <w:rPr>
                        <w:color w:val="000000"/>
                      </w:rPr>
                      <w:t>OFFICIAL</w:t>
                    </w:r>
                  </w:p>
                </w:txbxContent>
              </v:textbox>
              <w10:wrap anchorx="page" anchory="page"/>
            </v:shape>
          </w:pict>
        </mc:Fallback>
      </mc:AlternateContent>
    </w:r>
    <w:r w:rsidR="00AC04BA">
      <w:drawing>
        <wp:anchor distT="0" distB="0" distL="114300" distR="114300" simplePos="0" relativeHeight="251660800" behindDoc="0" locked="0" layoutInCell="1" allowOverlap="1" wp14:anchorId="54F880B0" wp14:editId="5C6DBCB3">
          <wp:simplePos x="0" y="0"/>
          <wp:positionH relativeFrom="column">
            <wp:posOffset>5675043</wp:posOffset>
          </wp:positionH>
          <wp:positionV relativeFrom="page">
            <wp:posOffset>10011878</wp:posOffset>
          </wp:positionV>
          <wp:extent cx="795528" cy="457200"/>
          <wp:effectExtent l="0" t="0" r="5080" b="0"/>
          <wp:wrapNone/>
          <wp:docPr id="1582344384" name="Picture 158234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528"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E030C" w14:textId="77777777" w:rsidR="00D417DF" w:rsidRDefault="00D417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9218"/>
      <w:gridCol w:w="523"/>
    </w:tblGrid>
    <w:tr w:rsidR="00207449" w14:paraId="7427A88C" w14:textId="77777777" w:rsidTr="007D0601">
      <w:trPr>
        <w:cantSplit/>
      </w:trPr>
      <w:tc>
        <w:tcPr>
          <w:tcW w:w="9327" w:type="dxa"/>
          <w:shd w:val="clear" w:color="auto" w:fill="auto"/>
          <w:vAlign w:val="center"/>
        </w:tcPr>
        <w:p w14:paraId="4E5CE63D" w14:textId="77777777" w:rsidR="00D417DF" w:rsidRDefault="00024571" w:rsidP="007D0601">
          <w:pPr>
            <w:pStyle w:val="Footer"/>
          </w:pPr>
          <w:r>
            <mc:AlternateContent>
              <mc:Choice Requires="wps">
                <w:drawing>
                  <wp:anchor distT="0" distB="0" distL="114300" distR="114300" simplePos="1" relativeHeight="251671040" behindDoc="0" locked="0" layoutInCell="0" allowOverlap="1" wp14:anchorId="511A8C65" wp14:editId="0288DA8F">
                    <wp:simplePos x="0" y="10236200"/>
                    <wp:positionH relativeFrom="page">
                      <wp:posOffset>0</wp:posOffset>
                    </wp:positionH>
                    <wp:positionV relativeFrom="page">
                      <wp:posOffset>10236200</wp:posOffset>
                    </wp:positionV>
                    <wp:extent cx="7557135" cy="266700"/>
                    <wp:effectExtent l="0" t="0" r="0" b="0"/>
                    <wp:wrapNone/>
                    <wp:docPr id="4" name="MSIPCMe8de43b69e3f236053ff482b"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3337C" w14:textId="77777777" w:rsidR="00024571" w:rsidRPr="00024571" w:rsidRDefault="00024571" w:rsidP="00024571">
                                <w:pPr>
                                  <w:spacing w:before="0" w:after="0"/>
                                  <w:rPr>
                                    <w:color w:val="000000"/>
                                  </w:rPr>
                                </w:pPr>
                                <w:r w:rsidRPr="0002457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1A8C65" id="_x0000_t202" coordsize="21600,21600" o:spt="202" path="m,l,21600r21600,l21600,xe">
                    <v:stroke joinstyle="miter"/>
                    <v:path gradientshapeok="t" o:connecttype="rect"/>
                  </v:shapetype>
                  <v:shape id="MSIPCMe8de43b69e3f236053ff482b" o:spid="_x0000_s1030" type="#_x0000_t202" alt="{&quot;HashCode&quot;:-1267603503,&quot;Height&quot;:842.0,&quot;Width&quot;:595.0,&quot;Placement&quot;:&quot;Footer&quot;,&quot;Index&quot;:&quot;Primary&quot;,&quot;Section&quot;:2,&quot;Top&quot;:0.0,&quot;Left&quot;:0.0}" style="position:absolute;left:0;text-align:left;margin-left:0;margin-top:806pt;width:595.05pt;height:21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CuHQ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qqk02GOHVQnHM9Bz7y3fN1gDxvm&#10;wwtzSDVOhOsbnvGQCrAWnCVKanA//6aP/sgAWilpcXVK6n8cmBOUqG8GuZnMpjlCQEJ6oeCS8Hk8&#10;neJjN2jNQT8AruUYf4jlSYy+QQ2idKDfcL1XsRyamOFYtKS7QXwI/Sbj9+BitUpOuFaWhY3ZWh5T&#10;RzgjtK/dG3P2jH9A5p5g2C5WvKOh9+2JWB0CyCZxFAHu4TzjjiuZqDt/n7jzv7+T1/WTL38B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EALgrh0CAAAsBAAADgAAAAAAAAAAAAAAAAAuAgAAZHJzL2Uyb0RvYy54bWxQSwEC&#10;LQAUAAYACAAAACEAyEQiD94AAAALAQAADwAAAAAAAAAAAAAAAAB3BAAAZHJzL2Rvd25yZXYueG1s&#10;UEsFBgAAAAAEAAQA8wAAAIIFAAAAAA==&#10;" o:allowincell="f" filled="f" stroked="f" strokeweight=".5pt">
                    <v:textbox inset="20pt,0,,0">
                      <w:txbxContent>
                        <w:p w14:paraId="3193337C" w14:textId="77777777" w:rsidR="00024571" w:rsidRPr="00024571" w:rsidRDefault="00024571" w:rsidP="00024571">
                          <w:pPr>
                            <w:spacing w:before="0" w:after="0"/>
                            <w:rPr>
                              <w:color w:val="000000"/>
                            </w:rPr>
                          </w:pPr>
                          <w:r w:rsidRPr="00024571">
                            <w:rPr>
                              <w:color w:val="000000"/>
                            </w:rPr>
                            <w:t>OFFICIAL</w:t>
                          </w:r>
                        </w:p>
                      </w:txbxContent>
                    </v:textbox>
                    <w10:wrap anchorx="page" anchory="page"/>
                  </v:shape>
                </w:pict>
              </mc:Fallback>
            </mc:AlternateContent>
          </w:r>
          <w:r w:rsidR="00AC04BA">
            <mc:AlternateContent>
              <mc:Choice Requires="wps">
                <w:drawing>
                  <wp:anchor distT="0" distB="0" distL="114300" distR="114300" simplePos="0" relativeHeight="251652608" behindDoc="0" locked="0" layoutInCell="0" allowOverlap="1" wp14:anchorId="57354796" wp14:editId="320822B5">
                    <wp:simplePos x="0" y="0"/>
                    <wp:positionH relativeFrom="page">
                      <wp:posOffset>0</wp:posOffset>
                    </wp:positionH>
                    <wp:positionV relativeFrom="page">
                      <wp:posOffset>10236200</wp:posOffset>
                    </wp:positionV>
                    <wp:extent cx="7557135" cy="266700"/>
                    <wp:effectExtent l="0" t="0" r="0" b="0"/>
                    <wp:wrapNone/>
                    <wp:docPr id="226" name="MSIPCMd4e94f0d82f04431df75a5cc" descr="{&quot;HashCode&quot;:-1267603503,&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57F25" w14:textId="77777777" w:rsidR="00D417DF" w:rsidRPr="00AC5D0B" w:rsidRDefault="00AC04BA" w:rsidP="007D0601">
                                <w:pPr>
                                  <w:spacing w:before="0" w:after="0"/>
                                  <w:rPr>
                                    <w:color w:val="000000"/>
                                  </w:rPr>
                                </w:pPr>
                                <w:r>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7354796" id="MSIPCMd4e94f0d82f04431df75a5cc" o:spid="_x0000_s1031" type="#_x0000_t202" alt="{&quot;HashCode&quot;:-1267603503,&quot;Height&quot;:842.0,&quot;Width&quot;:595.0,&quot;Placement&quot;:&quot;Footer&quot;,&quot;Index&quot;:&quot;Primary&quot;,&quot;Section&quot;:5,&quot;Top&quot;:0.0,&quot;Left&quot;:0.0}" style="position:absolute;left:0;text-align:left;margin-left:0;margin-top:806pt;width:595.05pt;height:21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g3HVEx0CAAAsBAAADgAAAAAAAAAAAAAAAAAuAgAAZHJzL2Uyb0RvYy54bWxQSwEC&#10;LQAUAAYACAAAACEAyEQiD94AAAALAQAADwAAAAAAAAAAAAAAAAB3BAAAZHJzL2Rvd25yZXYueG1s&#10;UEsFBgAAAAAEAAQA8wAAAIIFAAAAAA==&#10;" o:allowincell="f" filled="f" stroked="f" strokeweight=".5pt">
                    <v:textbox inset="20pt,0,,0">
                      <w:txbxContent>
                        <w:p w14:paraId="46757F25" w14:textId="77777777" w:rsidR="00D417DF" w:rsidRPr="00AC5D0B" w:rsidRDefault="00AC04BA" w:rsidP="007D0601">
                          <w:pPr>
                            <w:spacing w:before="0" w:after="0"/>
                            <w:rPr>
                              <w:color w:val="000000"/>
                            </w:rPr>
                          </w:pPr>
                          <w:r>
                            <w:rPr>
                              <w:color w:val="000000"/>
                            </w:rPr>
                            <w:t>OFFICIAL</w:t>
                          </w:r>
                        </w:p>
                      </w:txbxContent>
                    </v:textbox>
                    <w10:wrap anchorx="page" anchory="page"/>
                  </v:shape>
                </w:pict>
              </mc:Fallback>
            </mc:AlternateContent>
          </w:r>
          <w:r w:rsidR="00AC04BA">
            <w:t xml:space="preserve">VGPB </w:t>
          </w:r>
          <w:r w:rsidR="00AC04BA" w:rsidRPr="00264154">
            <w:t>Policy Five: Contract management and contract disclosure</w:t>
          </w:r>
        </w:p>
        <w:p w14:paraId="5CF995D0" w14:textId="77777777" w:rsidR="00D417DF" w:rsidRDefault="00AC04BA" w:rsidP="007D0601">
          <w:pPr>
            <w:pStyle w:val="Footer"/>
          </w:pPr>
          <w:r>
            <w:t>Version 1.1</w:t>
          </w:r>
        </w:p>
      </w:tc>
      <w:tc>
        <w:tcPr>
          <w:tcW w:w="528" w:type="dxa"/>
          <w:shd w:val="clear" w:color="auto" w:fill="auto"/>
        </w:tcPr>
        <w:p w14:paraId="6DF53CBA" w14:textId="77777777" w:rsidR="00D417DF" w:rsidRPr="0018749C" w:rsidRDefault="00AC04BA" w:rsidP="007D0601">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6</w:t>
          </w:r>
          <w:r w:rsidRPr="0018749C">
            <w:rPr>
              <w:rStyle w:val="PageNumber"/>
            </w:rPr>
            <w:fldChar w:fldCharType="end"/>
          </w:r>
        </w:p>
      </w:tc>
    </w:tr>
  </w:tbl>
  <w:p w14:paraId="307A022A" w14:textId="77777777" w:rsidR="00D417DF" w:rsidRDefault="00D417DF" w:rsidP="007D0601">
    <w:pPr>
      <w:pStyle w:val="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7688" w14:textId="77777777" w:rsidR="00D417DF" w:rsidRDefault="00024571" w:rsidP="007D0601">
    <w:pPr>
      <w:pStyle w:val="Footer"/>
    </w:pPr>
    <w:r>
      <mc:AlternateContent>
        <mc:Choice Requires="wps">
          <w:drawing>
            <wp:anchor distT="0" distB="0" distL="114300" distR="114300" simplePos="0" relativeHeight="251672064" behindDoc="0" locked="0" layoutInCell="0" allowOverlap="1" wp14:anchorId="4ABA55E5" wp14:editId="697DFFD1">
              <wp:simplePos x="0" y="0"/>
              <wp:positionH relativeFrom="page">
                <wp:posOffset>0</wp:posOffset>
              </wp:positionH>
              <wp:positionV relativeFrom="page">
                <wp:posOffset>10236200</wp:posOffset>
              </wp:positionV>
              <wp:extent cx="7557135" cy="266700"/>
              <wp:effectExtent l="0" t="0" r="0" b="0"/>
              <wp:wrapNone/>
              <wp:docPr id="5" name="MSIPCMf0d542d2b99a4b1316345711"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FA489" w14:textId="77777777" w:rsidR="00024571" w:rsidRPr="00024571" w:rsidRDefault="00024571" w:rsidP="00024571">
                          <w:pPr>
                            <w:spacing w:before="0" w:after="0"/>
                            <w:rPr>
                              <w:color w:val="000000"/>
                            </w:rPr>
                          </w:pPr>
                          <w:r w:rsidRPr="0002457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A55E5" id="_x0000_t202" coordsize="21600,21600" o:spt="202" path="m,l,21600r21600,l21600,xe">
              <v:stroke joinstyle="miter"/>
              <v:path gradientshapeok="t" o:connecttype="rect"/>
            </v:shapetype>
            <v:shape id="MSIPCMf0d542d2b99a4b1316345711" o:spid="_x0000_s1032" type="#_x0000_t202" alt="{&quot;HashCode&quot;:-1267603503,&quot;Height&quot;:842.0,&quot;Width&quot;:595.0,&quot;Placement&quot;:&quot;Footer&quot;,&quot;Index&quot;:&quot;FirstPage&quot;,&quot;Section&quot;:2,&quot;Top&quot;:0.0,&quot;Left&quot;:0.0}" style="position:absolute;left:0;text-align:left;margin-left:0;margin-top:806pt;width:595.05pt;height:21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" o:allowincell="f" filled="f" stroked="f" strokeweight=".5pt">
              <v:textbox inset="20pt,0,,0">
                <w:txbxContent>
                  <w:p w14:paraId="007FA489" w14:textId="77777777" w:rsidR="00024571" w:rsidRPr="00024571" w:rsidRDefault="00024571" w:rsidP="00024571">
                    <w:pPr>
                      <w:spacing w:before="0" w:after="0"/>
                      <w:rPr>
                        <w:color w:val="000000"/>
                      </w:rPr>
                    </w:pPr>
                    <w:r w:rsidRPr="00024571">
                      <w:rPr>
                        <w:color w:val="000000"/>
                      </w:rPr>
                      <w:t>OFFICIAL</w:t>
                    </w:r>
                  </w:p>
                </w:txbxContent>
              </v:textbox>
              <w10:wrap anchorx="page" anchory="page"/>
            </v:shape>
          </w:pict>
        </mc:Fallback>
      </mc:AlternateContent>
    </w:r>
    <w:r w:rsidR="00AC04BA">
      <mc:AlternateContent>
        <mc:Choice Requires="wps">
          <w:drawing>
            <wp:anchor distT="0" distB="0" distL="114300" distR="114300" simplePos="0" relativeHeight="251654656" behindDoc="0" locked="0" layoutInCell="0" allowOverlap="1" wp14:anchorId="21CBD5A9" wp14:editId="23D07AFB">
              <wp:simplePos x="0" y="0"/>
              <wp:positionH relativeFrom="page">
                <wp:posOffset>0</wp:posOffset>
              </wp:positionH>
              <wp:positionV relativeFrom="page">
                <wp:posOffset>10236200</wp:posOffset>
              </wp:positionV>
              <wp:extent cx="7557135" cy="266700"/>
              <wp:effectExtent l="0" t="0" r="0" b="0"/>
              <wp:wrapNone/>
              <wp:docPr id="227" name="MSIPCM612146ce80380e1d0d542b4a" descr="{&quot;HashCode&quot;:-1267603503,&quot;Height&quot;:842.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AF613" w14:textId="77777777" w:rsidR="00D417DF" w:rsidRPr="00AC5D0B" w:rsidRDefault="00AC04BA" w:rsidP="007D0601">
                          <w:pPr>
                            <w:spacing w:before="0" w:after="0"/>
                            <w:rPr>
                              <w:color w:val="000000"/>
                            </w:rPr>
                          </w:pPr>
                          <w:r>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1CBD5A9" id="MSIPCM612146ce80380e1d0d542b4a" o:spid="_x0000_s1033" type="#_x0000_t202" alt="{&quot;HashCode&quot;:-1267603503,&quot;Height&quot;:842.0,&quot;Width&quot;:595.0,&quot;Placement&quot;:&quot;Footer&quot;,&quot;Index&quot;:&quot;FirstPage&quot;,&quot;Section&quot;:5,&quot;Top&quot;:0.0,&quot;Left&quot;:0.0}" style="position:absolute;left:0;text-align:left;margin-left:0;margin-top:806pt;width:595.05pt;height:21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6yHQ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gpbGubYQXXC8Rz0zHvL1w32sGE+&#10;vDCHVONEuL7hGQ+pAGvBWaKkBvfzb/rojwyglZIWV6ek/seBOUGJ+maQm8lsmiMEJKQXCi4Jn8fT&#10;KT52g9Yc9APgWo7xh1iexOgb1CBKB/oN13sVy6GJGY5FS7obxIfQbzJ+Dy5Wq+SEa2VZ2Jit5TF1&#10;hDNC+9q9MWfP+Adk7gmG7WLFOxp6356I1SGAbBJHEeAezjPuuJKJuvP3iTv/+zt5XT/58hc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5JDOsh0CAAAsBAAADgAAAAAAAAAAAAAAAAAuAgAAZHJzL2Uyb0RvYy54bWxQSwEC&#10;LQAUAAYACAAAACEAyEQiD94AAAALAQAADwAAAAAAAAAAAAAAAAB3BAAAZHJzL2Rvd25yZXYueG1s&#10;UEsFBgAAAAAEAAQA8wAAAIIFAAAAAA==&#10;" o:allowincell="f" filled="f" stroked="f" strokeweight=".5pt">
              <v:textbox inset="20pt,0,,0">
                <w:txbxContent>
                  <w:p w14:paraId="612AF613" w14:textId="77777777" w:rsidR="00D417DF" w:rsidRPr="00AC5D0B" w:rsidRDefault="00AC04BA" w:rsidP="007D0601">
                    <w:pPr>
                      <w:spacing w:before="0" w:after="0"/>
                      <w:rPr>
                        <w:color w:val="000000"/>
                      </w:rPr>
                    </w:pPr>
                    <w:r>
                      <w:rPr>
                        <w:color w:val="000000"/>
                      </w:rPr>
                      <w:t>OFFICIAL</w:t>
                    </w:r>
                  </w:p>
                </w:txbxContent>
              </v:textbox>
              <w10:wrap anchorx="page" anchory="page"/>
            </v:shape>
          </w:pict>
        </mc:Fallback>
      </mc:AlternateContent>
    </w:r>
    <w:r w:rsidR="00AC04BA">
      <w:drawing>
        <wp:anchor distT="0" distB="0" distL="114300" distR="114300" simplePos="0" relativeHeight="251650560" behindDoc="0" locked="0" layoutInCell="1" allowOverlap="1" wp14:anchorId="100AA6B5" wp14:editId="03AA3816">
          <wp:simplePos x="0" y="0"/>
          <wp:positionH relativeFrom="column">
            <wp:posOffset>5675043</wp:posOffset>
          </wp:positionH>
          <wp:positionV relativeFrom="page">
            <wp:posOffset>10011878</wp:posOffset>
          </wp:positionV>
          <wp:extent cx="795528" cy="457200"/>
          <wp:effectExtent l="0" t="0" r="508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528"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B528B" w14:textId="77777777" w:rsidR="0061002D" w:rsidRDefault="0061002D" w:rsidP="00AC04BA">
      <w:pPr>
        <w:spacing w:before="0" w:after="0" w:line="240" w:lineRule="auto"/>
      </w:pPr>
      <w:r>
        <w:separator/>
      </w:r>
    </w:p>
  </w:footnote>
  <w:footnote w:type="continuationSeparator" w:id="0">
    <w:p w14:paraId="13CABBCE" w14:textId="77777777" w:rsidR="0061002D" w:rsidRDefault="0061002D" w:rsidP="00AC04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EE3C0" w14:textId="77777777" w:rsidR="00D417DF" w:rsidRPr="007602D7" w:rsidRDefault="00AC04BA" w:rsidP="007D0601">
    <w:pPr>
      <w:pStyle w:val="Header"/>
      <w:spacing w:before="240"/>
      <w:ind w:right="-461"/>
    </w:pPr>
    <w:r w:rsidRPr="000E286D">
      <w:drawing>
        <wp:anchor distT="0" distB="0" distL="114300" distR="114300" simplePos="0" relativeHeight="251659776" behindDoc="1" locked="0" layoutInCell="1" allowOverlap="1" wp14:anchorId="093D02CD" wp14:editId="04A118D7">
          <wp:simplePos x="0" y="0"/>
          <wp:positionH relativeFrom="column">
            <wp:posOffset>-734396</wp:posOffset>
          </wp:positionH>
          <wp:positionV relativeFrom="paragraph">
            <wp:posOffset>-185648</wp:posOffset>
          </wp:positionV>
          <wp:extent cx="560717" cy="10717356"/>
          <wp:effectExtent l="0" t="0" r="0" b="8255"/>
          <wp:wrapNone/>
          <wp:docPr id="1139473737" name="Picture 113947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D8FA" w14:textId="77777777" w:rsidR="00D417DF" w:rsidRPr="007602D7" w:rsidRDefault="00AC04BA" w:rsidP="007D0601">
    <w:pPr>
      <w:pStyle w:val="Header"/>
      <w:spacing w:before="240"/>
      <w:ind w:right="-461"/>
    </w:pPr>
    <w:r w:rsidRPr="000E286D">
      <w:drawing>
        <wp:anchor distT="0" distB="0" distL="114300" distR="114300" simplePos="0" relativeHeight="251658752" behindDoc="1" locked="0" layoutInCell="1" allowOverlap="1" wp14:anchorId="7EACCE57" wp14:editId="4674D1F2">
          <wp:simplePos x="0" y="0"/>
          <wp:positionH relativeFrom="column">
            <wp:posOffset>-731520</wp:posOffset>
          </wp:positionH>
          <wp:positionV relativeFrom="paragraph">
            <wp:posOffset>-200133</wp:posOffset>
          </wp:positionV>
          <wp:extent cx="560717" cy="10717356"/>
          <wp:effectExtent l="0" t="0" r="0" b="8255"/>
          <wp:wrapNone/>
          <wp:docPr id="1547814448" name="Picture 154781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20FB" w14:textId="77777777" w:rsidR="00D417DF" w:rsidRDefault="00D417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B786" w14:textId="77777777" w:rsidR="00D417DF" w:rsidRPr="007602D7" w:rsidRDefault="00AC04BA" w:rsidP="007D0601">
    <w:pPr>
      <w:pStyle w:val="Header"/>
      <w:spacing w:before="240"/>
      <w:ind w:right="-461"/>
    </w:pPr>
    <w:r w:rsidRPr="000E286D">
      <w:drawing>
        <wp:anchor distT="0" distB="0" distL="114300" distR="114300" simplePos="0" relativeHeight="251648512" behindDoc="1" locked="0" layoutInCell="1" allowOverlap="1" wp14:anchorId="78ECF3EB" wp14:editId="355676DB">
          <wp:simplePos x="0" y="0"/>
          <wp:positionH relativeFrom="column">
            <wp:posOffset>-734396</wp:posOffset>
          </wp:positionH>
          <wp:positionV relativeFrom="paragraph">
            <wp:posOffset>-185648</wp:posOffset>
          </wp:positionV>
          <wp:extent cx="560717" cy="10717356"/>
          <wp:effectExtent l="0" t="0" r="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AD9E" w14:textId="77777777" w:rsidR="00D417DF" w:rsidRPr="007602D7" w:rsidRDefault="00AC04BA" w:rsidP="007D0601">
    <w:pPr>
      <w:pStyle w:val="Header"/>
      <w:spacing w:before="240"/>
      <w:ind w:right="-461"/>
    </w:pPr>
    <w:r w:rsidRPr="000E286D">
      <w:drawing>
        <wp:anchor distT="0" distB="0" distL="114300" distR="114300" simplePos="0" relativeHeight="251646464" behindDoc="1" locked="0" layoutInCell="1" allowOverlap="1" wp14:anchorId="7D2842BB" wp14:editId="0C94FCFE">
          <wp:simplePos x="0" y="0"/>
          <wp:positionH relativeFrom="column">
            <wp:posOffset>-731520</wp:posOffset>
          </wp:positionH>
          <wp:positionV relativeFrom="paragraph">
            <wp:posOffset>-200133</wp:posOffset>
          </wp:positionV>
          <wp:extent cx="560717" cy="10717356"/>
          <wp:effectExtent l="0" t="0" r="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02DA8"/>
    <w:multiLevelType w:val="hybridMultilevel"/>
    <w:tmpl w:val="7DF48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2" w15:restartNumberingAfterBreak="0">
    <w:nsid w:val="19003DA8"/>
    <w:multiLevelType w:val="hybridMultilevel"/>
    <w:tmpl w:val="3F8C6052"/>
    <w:lvl w:ilvl="0" w:tplc="0C09000F">
      <w:start w:val="1"/>
      <w:numFmt w:val="decimal"/>
      <w:lvlText w:val="%1."/>
      <w:lvlJc w:val="left"/>
      <w:pPr>
        <w:ind w:left="1406" w:hanging="360"/>
      </w:pPr>
    </w:lvl>
    <w:lvl w:ilvl="1" w:tplc="0C090019" w:tentative="1">
      <w:start w:val="1"/>
      <w:numFmt w:val="lowerLetter"/>
      <w:lvlText w:val="%2."/>
      <w:lvlJc w:val="left"/>
      <w:pPr>
        <w:ind w:left="2126" w:hanging="360"/>
      </w:pPr>
    </w:lvl>
    <w:lvl w:ilvl="2" w:tplc="0C09001B" w:tentative="1">
      <w:start w:val="1"/>
      <w:numFmt w:val="lowerRoman"/>
      <w:lvlText w:val="%3."/>
      <w:lvlJc w:val="right"/>
      <w:pPr>
        <w:ind w:left="2846" w:hanging="180"/>
      </w:pPr>
    </w:lvl>
    <w:lvl w:ilvl="3" w:tplc="0C09000F" w:tentative="1">
      <w:start w:val="1"/>
      <w:numFmt w:val="decimal"/>
      <w:lvlText w:val="%4."/>
      <w:lvlJc w:val="left"/>
      <w:pPr>
        <w:ind w:left="3566" w:hanging="360"/>
      </w:pPr>
    </w:lvl>
    <w:lvl w:ilvl="4" w:tplc="0C090019" w:tentative="1">
      <w:start w:val="1"/>
      <w:numFmt w:val="lowerLetter"/>
      <w:lvlText w:val="%5."/>
      <w:lvlJc w:val="left"/>
      <w:pPr>
        <w:ind w:left="4286" w:hanging="360"/>
      </w:pPr>
    </w:lvl>
    <w:lvl w:ilvl="5" w:tplc="0C09001B" w:tentative="1">
      <w:start w:val="1"/>
      <w:numFmt w:val="lowerRoman"/>
      <w:lvlText w:val="%6."/>
      <w:lvlJc w:val="right"/>
      <w:pPr>
        <w:ind w:left="5006" w:hanging="180"/>
      </w:pPr>
    </w:lvl>
    <w:lvl w:ilvl="6" w:tplc="0C09000F" w:tentative="1">
      <w:start w:val="1"/>
      <w:numFmt w:val="decimal"/>
      <w:lvlText w:val="%7."/>
      <w:lvlJc w:val="left"/>
      <w:pPr>
        <w:ind w:left="5726" w:hanging="360"/>
      </w:pPr>
    </w:lvl>
    <w:lvl w:ilvl="7" w:tplc="0C090019" w:tentative="1">
      <w:start w:val="1"/>
      <w:numFmt w:val="lowerLetter"/>
      <w:lvlText w:val="%8."/>
      <w:lvlJc w:val="left"/>
      <w:pPr>
        <w:ind w:left="6446" w:hanging="360"/>
      </w:pPr>
    </w:lvl>
    <w:lvl w:ilvl="8" w:tplc="0C09001B" w:tentative="1">
      <w:start w:val="1"/>
      <w:numFmt w:val="lowerRoman"/>
      <w:lvlText w:val="%9."/>
      <w:lvlJc w:val="right"/>
      <w:pPr>
        <w:ind w:left="7166" w:hanging="180"/>
      </w:pPr>
    </w:lvl>
  </w:abstractNum>
  <w:abstractNum w:abstractNumId="3" w15:restartNumberingAfterBreak="0">
    <w:nsid w:val="191160FD"/>
    <w:multiLevelType w:val="hybridMultilevel"/>
    <w:tmpl w:val="24DC9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E26AB"/>
    <w:multiLevelType w:val="hybridMultilevel"/>
    <w:tmpl w:val="32EE25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E305EA5"/>
    <w:multiLevelType w:val="hybridMultilevel"/>
    <w:tmpl w:val="42121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B414E"/>
    <w:multiLevelType w:val="hybridMultilevel"/>
    <w:tmpl w:val="22D25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B44C17"/>
    <w:multiLevelType w:val="hybridMultilevel"/>
    <w:tmpl w:val="C6C89E42"/>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2F267716"/>
    <w:multiLevelType w:val="hybridMultilevel"/>
    <w:tmpl w:val="CB98F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D22284"/>
    <w:multiLevelType w:val="hybridMultilevel"/>
    <w:tmpl w:val="BD1C94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08D2A40"/>
    <w:multiLevelType w:val="hybridMultilevel"/>
    <w:tmpl w:val="227A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2" w15:restartNumberingAfterBreak="0">
    <w:nsid w:val="46BD751D"/>
    <w:multiLevelType w:val="hybridMultilevel"/>
    <w:tmpl w:val="6DAE1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5C68DC"/>
    <w:multiLevelType w:val="multilevel"/>
    <w:tmpl w:val="2798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AB1711"/>
    <w:multiLevelType w:val="multilevel"/>
    <w:tmpl w:val="0B88D6D0"/>
    <w:name w:val="Headings522"/>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4F7460C3"/>
    <w:multiLevelType w:val="hybridMultilevel"/>
    <w:tmpl w:val="D3FE3C38"/>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6" w15:restartNumberingAfterBreak="0">
    <w:nsid w:val="510E4B09"/>
    <w:multiLevelType w:val="hybridMultilevel"/>
    <w:tmpl w:val="08421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7801DC"/>
    <w:multiLevelType w:val="hybridMultilevel"/>
    <w:tmpl w:val="2D0CA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E80080"/>
    <w:multiLevelType w:val="hybridMultilevel"/>
    <w:tmpl w:val="C4184732"/>
    <w:lvl w:ilvl="0" w:tplc="0C09000F">
      <w:start w:val="1"/>
      <w:numFmt w:val="decimal"/>
      <w:lvlText w:val="%1."/>
      <w:lvlJc w:val="left"/>
      <w:pPr>
        <w:ind w:left="1514" w:hanging="360"/>
      </w:pPr>
    </w:lvl>
    <w:lvl w:ilvl="1" w:tplc="0C090019">
      <w:start w:val="1"/>
      <w:numFmt w:val="lowerLetter"/>
      <w:lvlText w:val="%2."/>
      <w:lvlJc w:val="left"/>
      <w:pPr>
        <w:ind w:left="2234" w:hanging="360"/>
      </w:pPr>
    </w:lvl>
    <w:lvl w:ilvl="2" w:tplc="0C09001B">
      <w:start w:val="1"/>
      <w:numFmt w:val="lowerRoman"/>
      <w:lvlText w:val="%3."/>
      <w:lvlJc w:val="right"/>
      <w:pPr>
        <w:ind w:left="2954" w:hanging="180"/>
      </w:pPr>
    </w:lvl>
    <w:lvl w:ilvl="3" w:tplc="0C09000F">
      <w:start w:val="1"/>
      <w:numFmt w:val="decimal"/>
      <w:lvlText w:val="%4."/>
      <w:lvlJc w:val="left"/>
      <w:pPr>
        <w:ind w:left="3674" w:hanging="360"/>
      </w:pPr>
    </w:lvl>
    <w:lvl w:ilvl="4" w:tplc="0C090019">
      <w:start w:val="1"/>
      <w:numFmt w:val="lowerLetter"/>
      <w:lvlText w:val="%5."/>
      <w:lvlJc w:val="left"/>
      <w:pPr>
        <w:ind w:left="4394" w:hanging="360"/>
      </w:pPr>
    </w:lvl>
    <w:lvl w:ilvl="5" w:tplc="0C09001B">
      <w:start w:val="1"/>
      <w:numFmt w:val="lowerRoman"/>
      <w:lvlText w:val="%6."/>
      <w:lvlJc w:val="right"/>
      <w:pPr>
        <w:ind w:left="5114" w:hanging="180"/>
      </w:pPr>
    </w:lvl>
    <w:lvl w:ilvl="6" w:tplc="0C09000F">
      <w:start w:val="1"/>
      <w:numFmt w:val="decimal"/>
      <w:lvlText w:val="%7."/>
      <w:lvlJc w:val="left"/>
      <w:pPr>
        <w:ind w:left="5834" w:hanging="360"/>
      </w:pPr>
    </w:lvl>
    <w:lvl w:ilvl="7" w:tplc="0C090019">
      <w:start w:val="1"/>
      <w:numFmt w:val="lowerLetter"/>
      <w:lvlText w:val="%8."/>
      <w:lvlJc w:val="left"/>
      <w:pPr>
        <w:ind w:left="6554" w:hanging="360"/>
      </w:pPr>
    </w:lvl>
    <w:lvl w:ilvl="8" w:tplc="0C09001B">
      <w:start w:val="1"/>
      <w:numFmt w:val="lowerRoman"/>
      <w:lvlText w:val="%9."/>
      <w:lvlJc w:val="right"/>
      <w:pPr>
        <w:ind w:left="7274" w:hanging="180"/>
      </w:pPr>
    </w:lvl>
  </w:abstractNum>
  <w:abstractNum w:abstractNumId="19" w15:restartNumberingAfterBreak="0">
    <w:nsid w:val="6472245C"/>
    <w:multiLevelType w:val="hybridMultilevel"/>
    <w:tmpl w:val="C5B66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1E0155"/>
    <w:multiLevelType w:val="multilevel"/>
    <w:tmpl w:val="3F6EC144"/>
    <w:name w:val="Headings52"/>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32"/>
        <w:szCs w:val="24"/>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21" w15:restartNumberingAfterBreak="0">
    <w:nsid w:val="6C0411D9"/>
    <w:multiLevelType w:val="hybridMultilevel"/>
    <w:tmpl w:val="BB2C315A"/>
    <w:lvl w:ilvl="0" w:tplc="0C09000F">
      <w:start w:val="1"/>
      <w:numFmt w:val="decimal"/>
      <w:lvlText w:val="%1."/>
      <w:lvlJc w:val="left"/>
      <w:pPr>
        <w:ind w:left="1514" w:hanging="360"/>
      </w:pPr>
    </w:lvl>
    <w:lvl w:ilvl="1" w:tplc="0C090019">
      <w:start w:val="1"/>
      <w:numFmt w:val="lowerLetter"/>
      <w:lvlText w:val="%2."/>
      <w:lvlJc w:val="left"/>
      <w:pPr>
        <w:ind w:left="2234" w:hanging="360"/>
      </w:pPr>
    </w:lvl>
    <w:lvl w:ilvl="2" w:tplc="0C09001B">
      <w:start w:val="1"/>
      <w:numFmt w:val="lowerRoman"/>
      <w:lvlText w:val="%3."/>
      <w:lvlJc w:val="right"/>
      <w:pPr>
        <w:ind w:left="2954" w:hanging="180"/>
      </w:pPr>
    </w:lvl>
    <w:lvl w:ilvl="3" w:tplc="0C09000F">
      <w:start w:val="1"/>
      <w:numFmt w:val="decimal"/>
      <w:lvlText w:val="%4."/>
      <w:lvlJc w:val="left"/>
      <w:pPr>
        <w:ind w:left="3674" w:hanging="360"/>
      </w:pPr>
    </w:lvl>
    <w:lvl w:ilvl="4" w:tplc="0C090019">
      <w:start w:val="1"/>
      <w:numFmt w:val="lowerLetter"/>
      <w:lvlText w:val="%5."/>
      <w:lvlJc w:val="left"/>
      <w:pPr>
        <w:ind w:left="4394" w:hanging="360"/>
      </w:pPr>
    </w:lvl>
    <w:lvl w:ilvl="5" w:tplc="0C09001B">
      <w:start w:val="1"/>
      <w:numFmt w:val="lowerRoman"/>
      <w:lvlText w:val="%6."/>
      <w:lvlJc w:val="right"/>
      <w:pPr>
        <w:ind w:left="5114" w:hanging="180"/>
      </w:pPr>
    </w:lvl>
    <w:lvl w:ilvl="6" w:tplc="0C09000F">
      <w:start w:val="1"/>
      <w:numFmt w:val="decimal"/>
      <w:lvlText w:val="%7."/>
      <w:lvlJc w:val="left"/>
      <w:pPr>
        <w:ind w:left="5834" w:hanging="360"/>
      </w:pPr>
    </w:lvl>
    <w:lvl w:ilvl="7" w:tplc="0C090019">
      <w:start w:val="1"/>
      <w:numFmt w:val="lowerLetter"/>
      <w:lvlText w:val="%8."/>
      <w:lvlJc w:val="left"/>
      <w:pPr>
        <w:ind w:left="6554" w:hanging="360"/>
      </w:pPr>
    </w:lvl>
    <w:lvl w:ilvl="8" w:tplc="0C09001B">
      <w:start w:val="1"/>
      <w:numFmt w:val="lowerRoman"/>
      <w:lvlText w:val="%9."/>
      <w:lvlJc w:val="right"/>
      <w:pPr>
        <w:ind w:left="7274" w:hanging="180"/>
      </w:pPr>
    </w:lvl>
  </w:abstractNum>
  <w:abstractNum w:abstractNumId="22" w15:restartNumberingAfterBreak="0">
    <w:nsid w:val="7117575F"/>
    <w:multiLevelType w:val="hybridMultilevel"/>
    <w:tmpl w:val="3B2C9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9621F2"/>
    <w:multiLevelType w:val="hybridMultilevel"/>
    <w:tmpl w:val="E378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860EBC"/>
    <w:multiLevelType w:val="hybridMultilevel"/>
    <w:tmpl w:val="C956642C"/>
    <w:lvl w:ilvl="0" w:tplc="5E6A6772">
      <w:start w:val="1"/>
      <w:numFmt w:val="decimal"/>
      <w:lvlText w:val="%1."/>
      <w:lvlJc w:val="left"/>
      <w:pPr>
        <w:ind w:left="15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DF6965"/>
    <w:multiLevelType w:val="multilevel"/>
    <w:tmpl w:val="8C343274"/>
    <w:name w:val="Headings5222"/>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26" w15:restartNumberingAfterBreak="0">
    <w:nsid w:val="7D0A4858"/>
    <w:multiLevelType w:val="multilevel"/>
    <w:tmpl w:val="50F64AD0"/>
    <w:lvl w:ilvl="0">
      <w:start w:val="1"/>
      <w:numFmt w:val="lowerLetter"/>
      <w:lvlText w:val="%1)"/>
      <w:lvlJc w:val="left"/>
      <w:pPr>
        <w:tabs>
          <w:tab w:val="num" w:pos="1077"/>
        </w:tabs>
        <w:ind w:left="1077" w:hanging="283"/>
      </w:pPr>
      <w:rPr>
        <w:b w:val="0"/>
        <w:i w:val="0"/>
        <w:sz w:val="22"/>
      </w:rPr>
    </w:lvl>
    <w:lvl w:ilvl="1">
      <w:start w:val="1"/>
      <w:numFmt w:val="lowerLetter"/>
      <w:lvlText w:val="%2)"/>
      <w:lvlJc w:val="left"/>
      <w:pPr>
        <w:tabs>
          <w:tab w:val="num" w:pos="1361"/>
        </w:tabs>
        <w:ind w:left="1361" w:hanging="284"/>
      </w:pPr>
      <w:rPr>
        <w:rFonts w:ascii="Calibri" w:hAnsi="Calibri"/>
        <w:b w:val="0"/>
        <w:i w:val="0"/>
        <w:sz w:val="22"/>
      </w:rPr>
    </w:lvl>
    <w:lvl w:ilvl="2">
      <w:start w:val="1"/>
      <w:numFmt w:val="lowerRoman"/>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num w:numId="1" w16cid:durableId="57098176">
    <w:abstractNumId w:val="11"/>
  </w:num>
  <w:num w:numId="2" w16cid:durableId="1637370753">
    <w:abstractNumId w:val="2"/>
  </w:num>
  <w:num w:numId="3" w16cid:durableId="1399010552">
    <w:abstractNumId w:val="26"/>
  </w:num>
  <w:num w:numId="4" w16cid:durableId="1963421728">
    <w:abstractNumId w:val="12"/>
  </w:num>
  <w:num w:numId="5" w16cid:durableId="1278171628">
    <w:abstractNumId w:val="7"/>
  </w:num>
  <w:num w:numId="6" w16cid:durableId="570048348">
    <w:abstractNumId w:val="15"/>
  </w:num>
  <w:num w:numId="7" w16cid:durableId="1735271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7899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8604611">
    <w:abstractNumId w:val="4"/>
  </w:num>
  <w:num w:numId="10" w16cid:durableId="1952972991">
    <w:abstractNumId w:val="19"/>
  </w:num>
  <w:num w:numId="11" w16cid:durableId="7348611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7934361">
    <w:abstractNumId w:val="24"/>
  </w:num>
  <w:num w:numId="13" w16cid:durableId="1836797565">
    <w:abstractNumId w:val="20"/>
  </w:num>
  <w:num w:numId="14" w16cid:durableId="726223844">
    <w:abstractNumId w:val="14"/>
  </w:num>
  <w:num w:numId="15" w16cid:durableId="1233085100">
    <w:abstractNumId w:val="25"/>
  </w:num>
  <w:num w:numId="16" w16cid:durableId="1908110493">
    <w:abstractNumId w:val="23"/>
  </w:num>
  <w:num w:numId="17" w16cid:durableId="1566179676">
    <w:abstractNumId w:val="13"/>
  </w:num>
  <w:num w:numId="18" w16cid:durableId="1943605077">
    <w:abstractNumId w:val="22"/>
  </w:num>
  <w:num w:numId="19" w16cid:durableId="1110129589">
    <w:abstractNumId w:val="9"/>
  </w:num>
  <w:num w:numId="20" w16cid:durableId="728580007">
    <w:abstractNumId w:val="6"/>
  </w:num>
  <w:num w:numId="21" w16cid:durableId="586426107">
    <w:abstractNumId w:val="3"/>
  </w:num>
  <w:num w:numId="22" w16cid:durableId="1739280994">
    <w:abstractNumId w:val="8"/>
  </w:num>
  <w:num w:numId="23" w16cid:durableId="1105031831">
    <w:abstractNumId w:val="17"/>
  </w:num>
  <w:num w:numId="24" w16cid:durableId="2034069982">
    <w:abstractNumId w:val="5"/>
  </w:num>
  <w:num w:numId="25" w16cid:durableId="349331132">
    <w:abstractNumId w:val="0"/>
  </w:num>
  <w:num w:numId="26" w16cid:durableId="1069576564">
    <w:abstractNumId w:val="16"/>
  </w:num>
  <w:num w:numId="27" w16cid:durableId="337738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BA"/>
    <w:rsid w:val="00024571"/>
    <w:rsid w:val="000934BC"/>
    <w:rsid w:val="00141F35"/>
    <w:rsid w:val="001920D2"/>
    <w:rsid w:val="001E20DA"/>
    <w:rsid w:val="002A77F9"/>
    <w:rsid w:val="002C60CC"/>
    <w:rsid w:val="003446A9"/>
    <w:rsid w:val="003B4EB3"/>
    <w:rsid w:val="003E6171"/>
    <w:rsid w:val="003F6A49"/>
    <w:rsid w:val="00401610"/>
    <w:rsid w:val="0044475C"/>
    <w:rsid w:val="004C6A44"/>
    <w:rsid w:val="004D2DF3"/>
    <w:rsid w:val="004F340C"/>
    <w:rsid w:val="00532E37"/>
    <w:rsid w:val="005551CE"/>
    <w:rsid w:val="0061002D"/>
    <w:rsid w:val="0061359B"/>
    <w:rsid w:val="006D6984"/>
    <w:rsid w:val="00765E83"/>
    <w:rsid w:val="00770711"/>
    <w:rsid w:val="008B7287"/>
    <w:rsid w:val="008D3718"/>
    <w:rsid w:val="00914F38"/>
    <w:rsid w:val="009156B7"/>
    <w:rsid w:val="00AC04BA"/>
    <w:rsid w:val="00B6710C"/>
    <w:rsid w:val="00C44E45"/>
    <w:rsid w:val="00C90C80"/>
    <w:rsid w:val="00CD5CEF"/>
    <w:rsid w:val="00D417DF"/>
    <w:rsid w:val="00D85A73"/>
    <w:rsid w:val="00DD4EB0"/>
    <w:rsid w:val="00E46954"/>
    <w:rsid w:val="00E53022"/>
    <w:rsid w:val="00EA6E60"/>
    <w:rsid w:val="00EB56CB"/>
    <w:rsid w:val="00ED3795"/>
    <w:rsid w:val="00F77FD7"/>
    <w:rsid w:val="00FB5E18"/>
    <w:rsid w:val="00FF0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F9B9"/>
  <w15:chartTrackingRefBased/>
  <w15:docId w15:val="{D883C194-E850-409E-97E9-D820C5E6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BA"/>
    <w:pPr>
      <w:spacing w:before="100" w:after="100" w:line="260" w:lineRule="atLeast"/>
    </w:pPr>
    <w:rPr>
      <w:rFonts w:ascii="Calibri" w:eastAsia="Times New Roman" w:hAnsi="Calibri" w:cs="Calibri"/>
      <w:lang w:eastAsia="en-AU"/>
    </w:rPr>
  </w:style>
  <w:style w:type="paragraph" w:styleId="Heading1">
    <w:name w:val="heading 1"/>
    <w:basedOn w:val="Normal"/>
    <w:next w:val="Normal"/>
    <w:link w:val="Heading1Char"/>
    <w:uiPriority w:val="9"/>
    <w:qFormat/>
    <w:rsid w:val="00AC04BA"/>
    <w:pPr>
      <w:keepNext/>
      <w:keepLines/>
      <w:pageBreakBefore/>
      <w:spacing w:before="0" w:after="1120" w:line="216" w:lineRule="auto"/>
      <w:ind w:left="794"/>
      <w:outlineLvl w:val="0"/>
    </w:pPr>
    <w:rPr>
      <w:color w:val="660B68"/>
      <w:sz w:val="40"/>
      <w:szCs w:val="4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4BA"/>
    <w:rPr>
      <w:rFonts w:ascii="Calibri" w:eastAsia="Times New Roman" w:hAnsi="Calibri" w:cs="Calibri"/>
      <w:color w:val="660B68"/>
      <w:sz w:val="40"/>
      <w:szCs w:val="40"/>
    </w:rPr>
  </w:style>
  <w:style w:type="paragraph" w:customStyle="1" w:styleId="Bullet1">
    <w:name w:val="Bullet 1"/>
    <w:basedOn w:val="Normal"/>
    <w:uiPriority w:val="11"/>
    <w:qFormat/>
    <w:rsid w:val="00AC04BA"/>
    <w:pPr>
      <w:numPr>
        <w:numId w:val="1"/>
      </w:numPr>
      <w:spacing w:before="0" w:after="0"/>
    </w:pPr>
  </w:style>
  <w:style w:type="paragraph" w:styleId="Footer">
    <w:name w:val="footer"/>
    <w:link w:val="FooterChar"/>
    <w:uiPriority w:val="24"/>
    <w:semiHidden/>
    <w:rsid w:val="00AC04BA"/>
    <w:pPr>
      <w:tabs>
        <w:tab w:val="right" w:pos="8220"/>
      </w:tabs>
      <w:spacing w:after="0" w:line="240" w:lineRule="auto"/>
      <w:jc w:val="right"/>
    </w:pPr>
    <w:rPr>
      <w:rFonts w:ascii="Calibri" w:eastAsia="Times New Roman" w:hAnsi="Calibri" w:cs="Calibri"/>
      <w:noProof/>
      <w:sz w:val="20"/>
      <w:lang w:eastAsia="en-AU"/>
    </w:rPr>
  </w:style>
  <w:style w:type="character" w:customStyle="1" w:styleId="FooterChar">
    <w:name w:val="Footer Char"/>
    <w:basedOn w:val="DefaultParagraphFont"/>
    <w:link w:val="Footer"/>
    <w:uiPriority w:val="24"/>
    <w:semiHidden/>
    <w:rsid w:val="00AC04BA"/>
    <w:rPr>
      <w:rFonts w:ascii="Calibri" w:eastAsia="Times New Roman" w:hAnsi="Calibri" w:cs="Calibri"/>
      <w:noProof/>
      <w:sz w:val="20"/>
      <w:lang w:eastAsia="en-AU"/>
    </w:rPr>
  </w:style>
  <w:style w:type="character" w:styleId="Hyperlink">
    <w:name w:val="Hyperlink"/>
    <w:uiPriority w:val="99"/>
    <w:rsid w:val="00AC04BA"/>
    <w:rPr>
      <w:color w:val="660B68"/>
      <w:u w:val="none"/>
    </w:rPr>
  </w:style>
  <w:style w:type="character" w:styleId="PageNumber">
    <w:name w:val="page number"/>
    <w:uiPriority w:val="49"/>
    <w:semiHidden/>
    <w:rsid w:val="00AC04BA"/>
    <w:rPr>
      <w:b/>
      <w:color w:val="4C4C4C"/>
      <w:sz w:val="28"/>
    </w:rPr>
  </w:style>
  <w:style w:type="paragraph" w:styleId="Header">
    <w:name w:val="header"/>
    <w:basedOn w:val="Normal"/>
    <w:link w:val="HeaderChar"/>
    <w:uiPriority w:val="24"/>
    <w:semiHidden/>
    <w:rsid w:val="00AC04BA"/>
    <w:pPr>
      <w:tabs>
        <w:tab w:val="left" w:pos="930"/>
        <w:tab w:val="right" w:pos="10350"/>
      </w:tabs>
      <w:spacing w:before="480" w:after="200" w:line="240" w:lineRule="auto"/>
      <w:ind w:right="-465"/>
      <w:jc w:val="right"/>
    </w:pPr>
    <w:rPr>
      <w:noProof/>
      <w:sz w:val="28"/>
    </w:rPr>
  </w:style>
  <w:style w:type="character" w:customStyle="1" w:styleId="HeaderChar">
    <w:name w:val="Header Char"/>
    <w:basedOn w:val="DefaultParagraphFont"/>
    <w:link w:val="Header"/>
    <w:uiPriority w:val="24"/>
    <w:semiHidden/>
    <w:rsid w:val="00AC04BA"/>
    <w:rPr>
      <w:rFonts w:ascii="Calibri" w:eastAsia="Times New Roman" w:hAnsi="Calibri" w:cs="Calibri"/>
      <w:noProof/>
      <w:sz w:val="28"/>
      <w:lang w:eastAsia="en-AU"/>
    </w:rPr>
  </w:style>
  <w:style w:type="paragraph" w:customStyle="1" w:styleId="Spacer">
    <w:name w:val="Spacer"/>
    <w:basedOn w:val="Normal"/>
    <w:uiPriority w:val="13"/>
    <w:qFormat/>
    <w:rsid w:val="00AC04BA"/>
    <w:pPr>
      <w:spacing w:before="0" w:after="0" w:line="120" w:lineRule="atLeast"/>
    </w:pPr>
    <w:rPr>
      <w:sz w:val="12"/>
    </w:rPr>
  </w:style>
  <w:style w:type="paragraph" w:customStyle="1" w:styleId="Bullet2">
    <w:name w:val="Bullet 2"/>
    <w:basedOn w:val="Bullet1"/>
    <w:uiPriority w:val="11"/>
    <w:qFormat/>
    <w:rsid w:val="00AC04BA"/>
    <w:pPr>
      <w:numPr>
        <w:ilvl w:val="1"/>
      </w:numPr>
    </w:pPr>
  </w:style>
  <w:style w:type="paragraph" w:customStyle="1" w:styleId="Bullet3">
    <w:name w:val="Bullet 3"/>
    <w:basedOn w:val="Bullet2"/>
    <w:uiPriority w:val="11"/>
    <w:qFormat/>
    <w:rsid w:val="00AC04BA"/>
    <w:pPr>
      <w:numPr>
        <w:ilvl w:val="2"/>
      </w:numPr>
    </w:pPr>
  </w:style>
  <w:style w:type="paragraph" w:styleId="ListParagraph">
    <w:name w:val="List Paragraph"/>
    <w:basedOn w:val="Normal"/>
    <w:uiPriority w:val="34"/>
    <w:qFormat/>
    <w:rsid w:val="00AC04BA"/>
    <w:pPr>
      <w:ind w:left="720"/>
      <w:contextualSpacing/>
    </w:pPr>
  </w:style>
  <w:style w:type="paragraph" w:styleId="TOC1">
    <w:name w:val="toc 1"/>
    <w:basedOn w:val="Normal"/>
    <w:next w:val="Normal"/>
    <w:autoRedefine/>
    <w:uiPriority w:val="39"/>
    <w:unhideWhenUsed/>
    <w:rsid w:val="00AC04BA"/>
    <w:pPr>
      <w:tabs>
        <w:tab w:val="right" w:leader="dot" w:pos="9731"/>
      </w:tabs>
      <w:spacing w:before="120" w:after="240"/>
    </w:pPr>
    <w:rPr>
      <w:b/>
      <w:bCs/>
      <w:sz w:val="32"/>
      <w:szCs w:val="32"/>
    </w:rPr>
  </w:style>
  <w:style w:type="paragraph" w:styleId="Caption">
    <w:name w:val="caption"/>
    <w:basedOn w:val="Normal"/>
    <w:next w:val="Normal"/>
    <w:uiPriority w:val="35"/>
    <w:unhideWhenUsed/>
    <w:qFormat/>
    <w:rsid w:val="00AC04BA"/>
    <w:pPr>
      <w:spacing w:before="0"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9156B7"/>
    <w:rPr>
      <w:color w:val="605E5C"/>
      <w:shd w:val="clear" w:color="auto" w:fill="E1DFDD"/>
    </w:rPr>
  </w:style>
  <w:style w:type="table" w:styleId="TableGrid">
    <w:name w:val="Table Grid"/>
    <w:basedOn w:val="TableNormal"/>
    <w:uiPriority w:val="39"/>
    <w:rsid w:val="00CD5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890363">
      <w:bodyDiv w:val="1"/>
      <w:marLeft w:val="0"/>
      <w:marRight w:val="0"/>
      <w:marTop w:val="0"/>
      <w:marBottom w:val="0"/>
      <w:divBdr>
        <w:top w:val="none" w:sz="0" w:space="0" w:color="auto"/>
        <w:left w:val="none" w:sz="0" w:space="0" w:color="auto"/>
        <w:bottom w:val="none" w:sz="0" w:space="0" w:color="auto"/>
        <w:right w:val="none" w:sz="0" w:space="0" w:color="auto"/>
      </w:divBdr>
    </w:div>
    <w:div w:id="12683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rocurement.vic.gov.au/Buyers/Policies-Guides-and-Tools"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IPpolicy@dtf.vic.gov.au" TargetMode="External"/><Relationship Id="rId7" Type="http://schemas.openxmlformats.org/officeDocument/2006/relationships/endnotes" Target="endnotes.xml"/><Relationship Id="rId12" Type="http://schemas.openxmlformats.org/officeDocument/2006/relationships/hyperlink" Target="https://www.buyingfor.vic.gov.au/collaborative-procurement-goods-and-services-guide"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yingfor.vic.gov.au/apply-goods-and-services-exemptio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buyingfor.vic.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yperlink" Target="http://creativecommons.org/licenses/by/3.0/au/" TargetMode="External"/><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723FE84-B500-42FF-8ABE-C6ADA6B9D5A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Cattanach (DTF)</dc:creator>
  <cp:keywords/>
  <dc:description/>
  <cp:lastModifiedBy>Vanessa Coles (DGS)</cp:lastModifiedBy>
  <cp:revision>26</cp:revision>
  <dcterms:created xsi:type="dcterms:W3CDTF">2024-05-15T23:51:00Z</dcterms:created>
  <dcterms:modified xsi:type="dcterms:W3CDTF">2024-07-31T21:44:00Z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annalisa.cattanach@dtf.vic.gov.au</vt:lpwstr>
  </property>
  <property fmtid="{D5CDD505-2E9C-101B-9397-08002B2CF9AE}" pid="5" name="MSIP_Label_7158ebbd-6c5e-441f-bfc9-4eb8c11e3978_SetDate">
    <vt:lpwstr>2021-01-21T03:40:55.6925332Z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