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E77D4" w14:textId="521DE493" w:rsidR="001C115E" w:rsidRPr="00384F17" w:rsidRDefault="001C115E" w:rsidP="001C115E">
      <w:pPr>
        <w:pStyle w:val="Heading1"/>
        <w:spacing w:before="120" w:line="259" w:lineRule="auto"/>
        <w:rPr>
          <w:rFonts w:ascii="Arial" w:hAnsi="Arial" w:cs="Arial"/>
          <w:b/>
          <w:color w:val="381F6A"/>
          <w:sz w:val="36"/>
          <w:szCs w:val="36"/>
        </w:rPr>
      </w:pPr>
      <w:bookmarkStart w:id="0" w:name="_Hlk157613038"/>
      <w:r w:rsidRPr="00384F17">
        <w:rPr>
          <w:rFonts w:ascii="Arial" w:hAnsi="Arial" w:cs="Arial"/>
          <w:b/>
          <w:color w:val="381F6A"/>
          <w:sz w:val="36"/>
          <w:szCs w:val="36"/>
        </w:rPr>
        <w:t>Aggregating demand</w:t>
      </w:r>
      <w:r w:rsidR="000F1A34">
        <w:rPr>
          <w:rFonts w:ascii="Arial" w:hAnsi="Arial" w:cs="Arial"/>
          <w:b/>
          <w:color w:val="381F6A"/>
          <w:sz w:val="36"/>
          <w:szCs w:val="36"/>
        </w:rPr>
        <w:t xml:space="preserve">: </w:t>
      </w:r>
      <w:r w:rsidR="00F136BE">
        <w:rPr>
          <w:rFonts w:ascii="Arial" w:hAnsi="Arial" w:cs="Arial"/>
          <w:b/>
          <w:color w:val="381F6A"/>
          <w:sz w:val="36"/>
          <w:szCs w:val="36"/>
        </w:rPr>
        <w:t>G</w:t>
      </w:r>
      <w:r w:rsidRPr="00384F17">
        <w:rPr>
          <w:rFonts w:ascii="Arial" w:hAnsi="Arial" w:cs="Arial"/>
          <w:b/>
          <w:color w:val="381F6A"/>
          <w:sz w:val="36"/>
          <w:szCs w:val="36"/>
        </w:rPr>
        <w:t>oods and services guide</w:t>
      </w:r>
    </w:p>
    <w:p w14:paraId="5537D07D" w14:textId="14B0CAF6" w:rsidR="001C115E" w:rsidRPr="00CC429F" w:rsidRDefault="001C115E" w:rsidP="001C115E">
      <w:pPr>
        <w:pStyle w:val="Heading1"/>
        <w:spacing w:before="120" w:line="259" w:lineRule="auto"/>
        <w:rPr>
          <w:rFonts w:ascii="Arial" w:hAnsi="Arial" w:cs="Arial"/>
          <w:bCs/>
          <w:color w:val="auto"/>
          <w:sz w:val="22"/>
        </w:rPr>
      </w:pPr>
      <w:r w:rsidRPr="00CC429F">
        <w:rPr>
          <w:rFonts w:ascii="Arial" w:hAnsi="Arial" w:cs="Arial"/>
          <w:bCs/>
          <w:color w:val="auto"/>
          <w:sz w:val="22"/>
        </w:rPr>
        <w:t xml:space="preserve">Find out how </w:t>
      </w:r>
      <w:r>
        <w:rPr>
          <w:rFonts w:ascii="Arial" w:hAnsi="Arial" w:cs="Arial"/>
          <w:bCs/>
          <w:color w:val="auto"/>
          <w:sz w:val="22"/>
        </w:rPr>
        <w:t>organisations</w:t>
      </w:r>
      <w:r w:rsidRPr="00CC429F">
        <w:rPr>
          <w:rFonts w:ascii="Arial" w:hAnsi="Arial" w:cs="Arial"/>
          <w:bCs/>
          <w:color w:val="auto"/>
          <w:sz w:val="22"/>
        </w:rPr>
        <w:t xml:space="preserve"> </w:t>
      </w:r>
      <w:r>
        <w:rPr>
          <w:rFonts w:ascii="Arial" w:hAnsi="Arial" w:cs="Arial"/>
          <w:bCs/>
          <w:color w:val="auto"/>
          <w:sz w:val="22"/>
        </w:rPr>
        <w:t xml:space="preserve">combine their requirements for the same or similar goods and services. </w:t>
      </w:r>
    </w:p>
    <w:p w14:paraId="59462865" w14:textId="77777777" w:rsidR="001C115E" w:rsidRPr="00E76FD2" w:rsidRDefault="001C115E" w:rsidP="001C115E">
      <w:pPr>
        <w:pStyle w:val="Heading1"/>
        <w:spacing w:before="120" w:line="259" w:lineRule="auto"/>
        <w:rPr>
          <w:rFonts w:ascii="Arial" w:hAnsi="Arial" w:cs="Arial"/>
          <w:b/>
          <w:color w:val="381F6A"/>
          <w:sz w:val="2"/>
          <w:szCs w:val="2"/>
        </w:rPr>
      </w:pPr>
    </w:p>
    <w:p w14:paraId="7388947D" w14:textId="77777777" w:rsidR="001C115E" w:rsidRPr="0040392A" w:rsidRDefault="001C115E" w:rsidP="001C115E">
      <w:pPr>
        <w:pStyle w:val="Heading1"/>
        <w:spacing w:before="120" w:line="259" w:lineRule="auto"/>
        <w:rPr>
          <w:rFonts w:ascii="Arial" w:hAnsi="Arial" w:cs="Arial"/>
          <w:b/>
          <w:color w:val="381F6A"/>
          <w:sz w:val="28"/>
          <w:szCs w:val="28"/>
        </w:rPr>
      </w:pPr>
      <w:r w:rsidRPr="0040392A">
        <w:rPr>
          <w:rFonts w:ascii="Arial" w:hAnsi="Arial" w:cs="Arial"/>
          <w:b/>
          <w:color w:val="381F6A"/>
          <w:sz w:val="28"/>
          <w:szCs w:val="28"/>
        </w:rPr>
        <w:t>On this page:</w:t>
      </w:r>
    </w:p>
    <w:p w14:paraId="1FEB1E72" w14:textId="77777777" w:rsidR="001C115E" w:rsidRDefault="001C115E" w:rsidP="001C115E">
      <w:pPr>
        <w:pStyle w:val="ListParagraph"/>
        <w:numPr>
          <w:ilvl w:val="0"/>
          <w:numId w:val="10"/>
        </w:numPr>
        <w:spacing w:before="120" w:after="120" w:line="240" w:lineRule="auto"/>
        <w:contextualSpacing w:val="0"/>
        <w:rPr>
          <w:rFonts w:ascii="Arial" w:hAnsi="Arial" w:cs="Arial"/>
          <w:lang w:eastAsia="en-US"/>
        </w:rPr>
      </w:pPr>
      <w:r w:rsidRPr="00FE2E33">
        <w:rPr>
          <w:rFonts w:ascii="Arial" w:hAnsi="Arial" w:cs="Arial"/>
          <w:lang w:eastAsia="en-US"/>
        </w:rPr>
        <w:t>Identifying opportunities to aggregate demand</w:t>
      </w:r>
    </w:p>
    <w:p w14:paraId="19FBAD52" w14:textId="77777777" w:rsidR="001C115E" w:rsidRPr="00FE2E33" w:rsidRDefault="001C115E" w:rsidP="001C115E">
      <w:pPr>
        <w:pStyle w:val="ListParagraph"/>
        <w:numPr>
          <w:ilvl w:val="0"/>
          <w:numId w:val="10"/>
        </w:numPr>
        <w:spacing w:before="120" w:after="120" w:line="240" w:lineRule="auto"/>
        <w:contextualSpacing w:val="0"/>
        <w:rPr>
          <w:rFonts w:ascii="Arial" w:hAnsi="Arial" w:cs="Arial"/>
          <w:lang w:eastAsia="en-US"/>
        </w:rPr>
      </w:pPr>
      <w:r>
        <w:rPr>
          <w:rFonts w:ascii="Arial" w:hAnsi="Arial" w:cs="Arial"/>
          <w:lang w:eastAsia="en-US"/>
        </w:rPr>
        <w:t>Considering opportunities to aggregate demand</w:t>
      </w:r>
    </w:p>
    <w:p w14:paraId="6734D537" w14:textId="77777777" w:rsidR="001C115E" w:rsidRPr="00CC429F" w:rsidRDefault="001C115E" w:rsidP="001C115E">
      <w:pPr>
        <w:pStyle w:val="Heading1"/>
        <w:numPr>
          <w:ilvl w:val="0"/>
          <w:numId w:val="10"/>
        </w:numPr>
        <w:tabs>
          <w:tab w:val="num" w:pos="360"/>
        </w:tabs>
        <w:spacing w:before="120"/>
        <w:ind w:left="714" w:hanging="357"/>
        <w:rPr>
          <w:rFonts w:ascii="Arial" w:hAnsi="Arial" w:cs="Arial"/>
          <w:bCs/>
          <w:color w:val="auto"/>
          <w:sz w:val="22"/>
        </w:rPr>
      </w:pPr>
      <w:r w:rsidRPr="00CC429F">
        <w:rPr>
          <w:rFonts w:ascii="Arial" w:hAnsi="Arial" w:cs="Arial"/>
          <w:bCs/>
          <w:color w:val="auto"/>
          <w:sz w:val="22"/>
        </w:rPr>
        <w:t>Using this guide</w:t>
      </w:r>
    </w:p>
    <w:p w14:paraId="70E4822F" w14:textId="77777777" w:rsidR="001C115E" w:rsidRPr="00CC429F" w:rsidRDefault="001C115E" w:rsidP="001C115E">
      <w:pPr>
        <w:pStyle w:val="Heading1"/>
        <w:numPr>
          <w:ilvl w:val="0"/>
          <w:numId w:val="10"/>
        </w:numPr>
        <w:tabs>
          <w:tab w:val="num" w:pos="360"/>
        </w:tabs>
        <w:spacing w:before="120"/>
        <w:ind w:left="714" w:hanging="357"/>
        <w:rPr>
          <w:rFonts w:ascii="Arial" w:hAnsi="Arial" w:cs="Arial"/>
          <w:bCs/>
          <w:color w:val="auto"/>
          <w:sz w:val="22"/>
        </w:rPr>
      </w:pPr>
      <w:r w:rsidRPr="00CC429F">
        <w:rPr>
          <w:rFonts w:ascii="Arial" w:hAnsi="Arial" w:cs="Arial"/>
          <w:bCs/>
          <w:color w:val="auto"/>
          <w:sz w:val="22"/>
        </w:rPr>
        <w:t>Tools and support</w:t>
      </w:r>
    </w:p>
    <w:p w14:paraId="096331CD" w14:textId="77777777" w:rsidR="001C115E" w:rsidRPr="00FE2E33" w:rsidRDefault="001C115E" w:rsidP="001C115E">
      <w:pPr>
        <w:spacing w:before="120" w:after="120" w:line="259" w:lineRule="auto"/>
        <w:rPr>
          <w:rFonts w:ascii="Arial" w:hAnsi="Arial" w:cs="Arial"/>
          <w:b/>
          <w:bCs/>
          <w:color w:val="381F6A"/>
          <w:sz w:val="2"/>
          <w:szCs w:val="2"/>
          <w:lang w:eastAsia="en-US"/>
        </w:rPr>
      </w:pPr>
    </w:p>
    <w:p w14:paraId="4198F175" w14:textId="77777777" w:rsidR="001C115E" w:rsidRPr="00FE2E33" w:rsidRDefault="001C115E" w:rsidP="001C115E">
      <w:pPr>
        <w:spacing w:before="120" w:after="120" w:line="259" w:lineRule="auto"/>
        <w:rPr>
          <w:rFonts w:ascii="Arial" w:hAnsi="Arial" w:cs="Arial"/>
          <w:b/>
          <w:bCs/>
          <w:color w:val="381F6A"/>
          <w:sz w:val="28"/>
          <w:szCs w:val="28"/>
          <w:lang w:eastAsia="en-US"/>
        </w:rPr>
      </w:pPr>
      <w:r>
        <w:rPr>
          <w:rFonts w:ascii="Arial" w:hAnsi="Arial" w:cs="Arial"/>
          <w:b/>
          <w:bCs/>
          <w:color w:val="381F6A"/>
          <w:sz w:val="28"/>
          <w:szCs w:val="28"/>
          <w:lang w:eastAsia="en-US"/>
        </w:rPr>
        <w:t>Identifying opportunities to aggregate demand</w:t>
      </w:r>
    </w:p>
    <w:p w14:paraId="4E7A3B1A" w14:textId="14517FF6" w:rsidR="0004690B" w:rsidRDefault="0004690B" w:rsidP="001C115E">
      <w:pPr>
        <w:spacing w:before="120" w:after="120" w:line="259" w:lineRule="auto"/>
        <w:rPr>
          <w:rFonts w:ascii="Arial" w:hAnsi="Arial" w:cs="Arial"/>
          <w:lang w:eastAsia="en-US"/>
        </w:rPr>
      </w:pPr>
      <w:r>
        <w:rPr>
          <w:rFonts w:ascii="Arial" w:hAnsi="Arial" w:cs="Arial"/>
          <w:lang w:eastAsia="en-US"/>
        </w:rPr>
        <w:t>A</w:t>
      </w:r>
      <w:r w:rsidRPr="00FC23CC">
        <w:rPr>
          <w:rFonts w:ascii="Arial" w:hAnsi="Arial" w:cs="Arial"/>
          <w:lang w:eastAsia="en-US"/>
        </w:rPr>
        <w:t>ggregat</w:t>
      </w:r>
      <w:r>
        <w:rPr>
          <w:rFonts w:ascii="Arial" w:hAnsi="Arial" w:cs="Arial"/>
          <w:lang w:eastAsia="en-US"/>
        </w:rPr>
        <w:t>ing</w:t>
      </w:r>
      <w:r w:rsidRPr="00FC23CC">
        <w:rPr>
          <w:rFonts w:ascii="Arial" w:hAnsi="Arial" w:cs="Arial"/>
          <w:lang w:eastAsia="en-US"/>
        </w:rPr>
        <w:t xml:space="preserve"> demand</w:t>
      </w:r>
      <w:r>
        <w:rPr>
          <w:rFonts w:ascii="Arial" w:hAnsi="Arial" w:cs="Arial"/>
          <w:lang w:eastAsia="en-US"/>
        </w:rPr>
        <w:t xml:space="preserve"> is where organisations combine their requirements for the same or similar (categories of) goods and services.</w:t>
      </w:r>
    </w:p>
    <w:p w14:paraId="7C7BDD9E" w14:textId="7D7F388D" w:rsidR="0078197B" w:rsidRDefault="0078197B" w:rsidP="001C115E">
      <w:pPr>
        <w:spacing w:before="120" w:after="120" w:line="259" w:lineRule="auto"/>
        <w:rPr>
          <w:rFonts w:ascii="Arial" w:hAnsi="Arial" w:cs="Arial"/>
          <w:lang w:eastAsia="en-US"/>
        </w:rPr>
      </w:pPr>
      <w:r>
        <w:rPr>
          <w:rFonts w:ascii="Arial" w:hAnsi="Arial" w:cs="Arial"/>
          <w:lang w:eastAsia="en-US"/>
        </w:rPr>
        <w:t>This may occur:</w:t>
      </w:r>
    </w:p>
    <w:p w14:paraId="592AE6C6" w14:textId="6589B08C" w:rsidR="0004690B" w:rsidRDefault="0004690B" w:rsidP="0004690B">
      <w:pPr>
        <w:pStyle w:val="ListParagraph"/>
        <w:numPr>
          <w:ilvl w:val="0"/>
          <w:numId w:val="11"/>
        </w:numPr>
        <w:spacing w:before="120" w:after="120" w:line="259" w:lineRule="auto"/>
        <w:contextualSpacing w:val="0"/>
        <w:rPr>
          <w:rFonts w:ascii="Arial" w:hAnsi="Arial" w:cs="Arial"/>
          <w:lang w:eastAsia="en-US"/>
        </w:rPr>
      </w:pPr>
      <w:r>
        <w:rPr>
          <w:rFonts w:ascii="Arial" w:hAnsi="Arial" w:cs="Arial"/>
          <w:lang w:eastAsia="en-US"/>
        </w:rPr>
        <w:t>at an organisational level (e.g. a</w:t>
      </w:r>
      <w:r w:rsidR="001C762B">
        <w:rPr>
          <w:rFonts w:ascii="Arial" w:hAnsi="Arial" w:cs="Arial"/>
          <w:lang w:eastAsia="en-US"/>
        </w:rPr>
        <w:t xml:space="preserve"> </w:t>
      </w:r>
      <w:r>
        <w:rPr>
          <w:rFonts w:ascii="Arial" w:hAnsi="Arial" w:cs="Arial"/>
          <w:lang w:eastAsia="en-US"/>
        </w:rPr>
        <w:t>supplier panel</w:t>
      </w:r>
      <w:r w:rsidR="001C762B">
        <w:rPr>
          <w:rFonts w:ascii="Arial" w:hAnsi="Arial" w:cs="Arial"/>
          <w:lang w:eastAsia="en-US"/>
        </w:rPr>
        <w:t xml:space="preserve"> that covers an entire organisation</w:t>
      </w:r>
      <w:r>
        <w:rPr>
          <w:rFonts w:ascii="Arial" w:hAnsi="Arial" w:cs="Arial"/>
          <w:lang w:eastAsia="en-US"/>
        </w:rPr>
        <w:t>)</w:t>
      </w:r>
    </w:p>
    <w:p w14:paraId="1C2BB29B" w14:textId="32433E55" w:rsidR="0004690B" w:rsidRPr="0004690B" w:rsidRDefault="0004690B" w:rsidP="0004690B">
      <w:pPr>
        <w:pStyle w:val="ListParagraph"/>
        <w:numPr>
          <w:ilvl w:val="0"/>
          <w:numId w:val="11"/>
        </w:numPr>
        <w:spacing w:before="120" w:after="120" w:line="259" w:lineRule="auto"/>
        <w:contextualSpacing w:val="0"/>
        <w:rPr>
          <w:rFonts w:ascii="Arial" w:hAnsi="Arial" w:cs="Arial"/>
          <w:lang w:eastAsia="en-US"/>
        </w:rPr>
      </w:pPr>
      <w:r>
        <w:rPr>
          <w:rFonts w:ascii="Arial" w:hAnsi="Arial" w:cs="Arial"/>
          <w:lang w:eastAsia="en-US"/>
        </w:rPr>
        <w:t xml:space="preserve">across </w:t>
      </w:r>
      <w:r w:rsidRPr="0004690B">
        <w:rPr>
          <w:rFonts w:ascii="Arial" w:hAnsi="Arial" w:cs="Arial"/>
          <w:lang w:eastAsia="en-US"/>
        </w:rPr>
        <w:t>multiple organisations</w:t>
      </w:r>
      <w:r>
        <w:rPr>
          <w:rFonts w:ascii="Arial" w:hAnsi="Arial" w:cs="Arial"/>
          <w:lang w:eastAsia="en-US"/>
        </w:rPr>
        <w:t xml:space="preserve"> (e.g. a </w:t>
      </w:r>
      <w:r w:rsidRPr="0004690B">
        <w:rPr>
          <w:rFonts w:ascii="Arial" w:hAnsi="Arial" w:cs="Arial"/>
          <w:lang w:eastAsia="en-US"/>
        </w:rPr>
        <w:t>state purchase contract</w:t>
      </w:r>
      <w:r>
        <w:rPr>
          <w:rFonts w:ascii="Arial" w:hAnsi="Arial" w:cs="Arial"/>
          <w:lang w:eastAsia="en-US"/>
        </w:rPr>
        <w:t>)</w:t>
      </w:r>
      <w:r w:rsidRPr="0004690B">
        <w:rPr>
          <w:rFonts w:ascii="Arial" w:hAnsi="Arial" w:cs="Arial"/>
          <w:lang w:eastAsia="en-US"/>
        </w:rPr>
        <w:t xml:space="preserve"> </w:t>
      </w:r>
    </w:p>
    <w:p w14:paraId="2373DABE" w14:textId="1D0E73B9" w:rsidR="001C115E" w:rsidRDefault="001C115E" w:rsidP="001C115E">
      <w:pPr>
        <w:spacing w:before="120" w:after="120" w:line="259" w:lineRule="auto"/>
        <w:rPr>
          <w:rFonts w:ascii="Arial" w:hAnsi="Arial" w:cs="Arial"/>
          <w:lang w:eastAsia="en-US"/>
        </w:rPr>
      </w:pPr>
      <w:r>
        <w:rPr>
          <w:rFonts w:ascii="Arial" w:hAnsi="Arial" w:cs="Arial"/>
          <w:lang w:eastAsia="en-US"/>
        </w:rPr>
        <w:t xml:space="preserve">Organisations typically identify opportunities to aggregate demand by: </w:t>
      </w:r>
    </w:p>
    <w:p w14:paraId="2E9B6F36" w14:textId="77777777" w:rsidR="001C115E" w:rsidRDefault="001C115E" w:rsidP="001C115E">
      <w:pPr>
        <w:pStyle w:val="ListParagraph"/>
        <w:numPr>
          <w:ilvl w:val="0"/>
          <w:numId w:val="5"/>
        </w:numPr>
        <w:spacing w:before="120" w:after="120" w:line="259" w:lineRule="auto"/>
        <w:contextualSpacing w:val="0"/>
        <w:rPr>
          <w:rFonts w:ascii="Arial" w:hAnsi="Arial" w:cs="Arial"/>
          <w:lang w:eastAsia="en-US"/>
        </w:rPr>
      </w:pPr>
      <w:r w:rsidRPr="00F52694">
        <w:rPr>
          <w:rFonts w:ascii="Arial" w:hAnsi="Arial" w:cs="Arial"/>
          <w:lang w:eastAsia="en-US"/>
        </w:rPr>
        <w:t>analysing procurement spend data</w:t>
      </w:r>
      <w:r>
        <w:rPr>
          <w:rFonts w:ascii="Arial" w:hAnsi="Arial" w:cs="Arial"/>
          <w:lang w:eastAsia="en-US"/>
        </w:rPr>
        <w:t xml:space="preserve"> </w:t>
      </w:r>
    </w:p>
    <w:p w14:paraId="1C062956" w14:textId="77777777" w:rsidR="001C115E" w:rsidRDefault="001C115E" w:rsidP="001C115E">
      <w:pPr>
        <w:pStyle w:val="ListParagraph"/>
        <w:numPr>
          <w:ilvl w:val="0"/>
          <w:numId w:val="5"/>
        </w:numPr>
        <w:spacing w:before="120" w:after="120" w:line="259" w:lineRule="auto"/>
        <w:contextualSpacing w:val="0"/>
        <w:rPr>
          <w:rFonts w:ascii="Arial" w:hAnsi="Arial" w:cs="Arial"/>
          <w:lang w:eastAsia="en-US"/>
        </w:rPr>
      </w:pPr>
      <w:r>
        <w:rPr>
          <w:rFonts w:ascii="Arial" w:hAnsi="Arial" w:cs="Arial"/>
          <w:lang w:eastAsia="en-US"/>
        </w:rPr>
        <w:t>developing a procurement activity plan</w:t>
      </w:r>
    </w:p>
    <w:p w14:paraId="336C7CFE" w14:textId="77777777" w:rsidR="001C115E" w:rsidRDefault="001C115E" w:rsidP="001C115E">
      <w:pPr>
        <w:pStyle w:val="ListParagraph"/>
        <w:numPr>
          <w:ilvl w:val="0"/>
          <w:numId w:val="5"/>
        </w:numPr>
        <w:spacing w:before="120" w:after="120" w:line="259" w:lineRule="auto"/>
        <w:contextualSpacing w:val="0"/>
        <w:rPr>
          <w:rFonts w:ascii="Arial" w:hAnsi="Arial" w:cs="Arial"/>
          <w:lang w:eastAsia="en-US"/>
        </w:rPr>
      </w:pPr>
      <w:r w:rsidRPr="00F52694">
        <w:rPr>
          <w:rFonts w:ascii="Arial" w:hAnsi="Arial" w:cs="Arial"/>
          <w:lang w:eastAsia="en-US"/>
        </w:rPr>
        <w:t>assessing the complexity of a category of goods or services</w:t>
      </w:r>
      <w:r>
        <w:rPr>
          <w:rFonts w:ascii="Arial" w:hAnsi="Arial" w:cs="Arial"/>
          <w:lang w:eastAsia="en-US"/>
        </w:rPr>
        <w:t xml:space="preserve"> </w:t>
      </w:r>
    </w:p>
    <w:p w14:paraId="6403F151" w14:textId="7D9E68F7" w:rsidR="001C115E" w:rsidRDefault="001C115E" w:rsidP="001C115E">
      <w:pPr>
        <w:pStyle w:val="ListParagraph"/>
        <w:numPr>
          <w:ilvl w:val="0"/>
          <w:numId w:val="5"/>
        </w:numPr>
        <w:spacing w:before="120" w:after="120" w:line="259" w:lineRule="auto"/>
        <w:contextualSpacing w:val="0"/>
        <w:rPr>
          <w:rFonts w:ascii="Arial" w:hAnsi="Arial" w:cs="Arial"/>
          <w:lang w:eastAsia="en-US"/>
        </w:rPr>
      </w:pPr>
      <w:r>
        <w:rPr>
          <w:rFonts w:ascii="Arial" w:hAnsi="Arial" w:cs="Arial"/>
          <w:lang w:eastAsia="en-US"/>
        </w:rPr>
        <w:t xml:space="preserve">analysing the supply market </w:t>
      </w:r>
      <w:r w:rsidRPr="00F52694" w:rsidDel="00A67848">
        <w:rPr>
          <w:rFonts w:ascii="Arial" w:hAnsi="Arial" w:cs="Arial"/>
          <w:lang w:eastAsia="en-US"/>
        </w:rPr>
        <w:t xml:space="preserve"> </w:t>
      </w:r>
    </w:p>
    <w:p w14:paraId="064D907D" w14:textId="77777777" w:rsidR="001C115E" w:rsidRPr="00F52694" w:rsidRDefault="001C115E" w:rsidP="001C115E">
      <w:pPr>
        <w:pStyle w:val="ListParagraph"/>
        <w:numPr>
          <w:ilvl w:val="0"/>
          <w:numId w:val="5"/>
        </w:numPr>
        <w:spacing w:before="120" w:after="120" w:line="259" w:lineRule="auto"/>
        <w:contextualSpacing w:val="0"/>
        <w:rPr>
          <w:rFonts w:ascii="Arial" w:hAnsi="Arial" w:cs="Arial"/>
          <w:lang w:eastAsia="en-US"/>
        </w:rPr>
      </w:pPr>
      <w:r>
        <w:rPr>
          <w:rFonts w:ascii="Arial" w:hAnsi="Arial" w:cs="Arial"/>
          <w:lang w:eastAsia="en-US"/>
        </w:rPr>
        <w:t>engaging with Victorian Government procurement networks and forums</w:t>
      </w:r>
    </w:p>
    <w:p w14:paraId="68ACB9A4" w14:textId="77777777" w:rsidR="001C115E" w:rsidRPr="006F7EA9" w:rsidRDefault="001C115E" w:rsidP="001C115E">
      <w:pPr>
        <w:spacing w:before="120" w:after="120" w:line="259" w:lineRule="auto"/>
        <w:rPr>
          <w:rFonts w:ascii="Arial" w:hAnsi="Arial" w:cs="Arial"/>
          <w:b/>
          <w:bCs/>
          <w:color w:val="381F6A"/>
          <w:sz w:val="2"/>
          <w:szCs w:val="2"/>
          <w:lang w:eastAsia="en-US"/>
        </w:rPr>
      </w:pPr>
    </w:p>
    <w:p w14:paraId="41800FC2" w14:textId="5045DF7B" w:rsidR="001C115E" w:rsidRPr="00993594" w:rsidRDefault="001C115E" w:rsidP="001C115E">
      <w:pPr>
        <w:spacing w:before="120" w:after="120" w:line="259" w:lineRule="auto"/>
        <w:rPr>
          <w:rFonts w:ascii="Arial" w:hAnsi="Arial" w:cs="Arial"/>
          <w:b/>
          <w:bCs/>
          <w:color w:val="381F6A"/>
          <w:sz w:val="28"/>
          <w:szCs w:val="28"/>
          <w:lang w:eastAsia="en-US"/>
        </w:rPr>
      </w:pPr>
      <w:r w:rsidRPr="006F7EA9">
        <w:rPr>
          <w:rFonts w:ascii="Arial" w:hAnsi="Arial" w:cs="Arial"/>
          <w:b/>
          <w:bCs/>
          <w:color w:val="381F6A"/>
          <w:sz w:val="28"/>
          <w:szCs w:val="28"/>
          <w:lang w:eastAsia="en-US"/>
        </w:rPr>
        <w:t>Considering opportunities to aggregate demand</w:t>
      </w:r>
    </w:p>
    <w:p w14:paraId="68E95FD7" w14:textId="2CF15ABF" w:rsidR="001C115E" w:rsidRDefault="00DC4D39" w:rsidP="001C115E">
      <w:pPr>
        <w:spacing w:before="120" w:after="120" w:line="259" w:lineRule="auto"/>
        <w:rPr>
          <w:rFonts w:ascii="Arial" w:hAnsi="Arial" w:cs="Arial"/>
          <w:lang w:eastAsia="en-US"/>
        </w:rPr>
      </w:pPr>
      <w:r>
        <w:rPr>
          <w:rFonts w:ascii="Arial" w:hAnsi="Arial" w:cs="Arial"/>
          <w:lang w:eastAsia="en-US"/>
        </w:rPr>
        <w:t xml:space="preserve">To </w:t>
      </w:r>
      <w:r w:rsidR="001C115E">
        <w:rPr>
          <w:rFonts w:ascii="Arial" w:hAnsi="Arial" w:cs="Arial"/>
          <w:lang w:eastAsia="en-US"/>
        </w:rPr>
        <w:t>consider opportunities to aggregate demand, organisations should:</w:t>
      </w:r>
    </w:p>
    <w:p w14:paraId="5C0E9731" w14:textId="56C29E5F" w:rsidR="001C115E" w:rsidRDefault="001C115E" w:rsidP="001C115E">
      <w:pPr>
        <w:pStyle w:val="ListParagraph"/>
        <w:numPr>
          <w:ilvl w:val="0"/>
          <w:numId w:val="3"/>
        </w:numPr>
        <w:spacing w:before="120" w:after="120" w:line="259" w:lineRule="auto"/>
        <w:contextualSpacing w:val="0"/>
        <w:rPr>
          <w:rFonts w:ascii="Arial" w:hAnsi="Arial" w:cs="Arial"/>
          <w:lang w:eastAsia="en-US"/>
        </w:rPr>
      </w:pPr>
      <w:r>
        <w:rPr>
          <w:rFonts w:ascii="Arial" w:hAnsi="Arial" w:cs="Arial"/>
          <w:lang w:eastAsia="en-US"/>
        </w:rPr>
        <w:t xml:space="preserve">assess the benefits, costs, and risks of the proposed </w:t>
      </w:r>
      <w:r w:rsidR="009B0C41">
        <w:rPr>
          <w:rFonts w:ascii="Arial" w:hAnsi="Arial" w:cs="Arial"/>
          <w:lang w:eastAsia="en-US"/>
        </w:rPr>
        <w:t xml:space="preserve">procurement </w:t>
      </w:r>
      <w:r>
        <w:rPr>
          <w:rFonts w:ascii="Arial" w:hAnsi="Arial" w:cs="Arial"/>
          <w:lang w:eastAsia="en-US"/>
        </w:rPr>
        <w:t>arrangement or activity</w:t>
      </w:r>
    </w:p>
    <w:p w14:paraId="36CB15B5" w14:textId="28507AA4" w:rsidR="001C115E" w:rsidRDefault="001C115E" w:rsidP="001C115E">
      <w:pPr>
        <w:pStyle w:val="ListParagraph"/>
        <w:numPr>
          <w:ilvl w:val="0"/>
          <w:numId w:val="3"/>
        </w:numPr>
        <w:spacing w:before="120" w:after="120" w:line="259" w:lineRule="auto"/>
        <w:contextualSpacing w:val="0"/>
        <w:rPr>
          <w:rFonts w:ascii="Arial" w:hAnsi="Arial" w:cs="Arial"/>
          <w:lang w:eastAsia="en-US"/>
        </w:rPr>
      </w:pPr>
      <w:r>
        <w:rPr>
          <w:rFonts w:ascii="Arial" w:hAnsi="Arial" w:cs="Arial"/>
          <w:lang w:eastAsia="en-US"/>
        </w:rPr>
        <w:t>ensure that the</w:t>
      </w:r>
      <w:r w:rsidR="0078197B">
        <w:rPr>
          <w:rFonts w:ascii="Arial" w:hAnsi="Arial" w:cs="Arial"/>
          <w:lang w:eastAsia="en-US"/>
        </w:rPr>
        <w:t xml:space="preserve"> proposed </w:t>
      </w:r>
      <w:r w:rsidR="009B0C41">
        <w:rPr>
          <w:rFonts w:ascii="Arial" w:hAnsi="Arial" w:cs="Arial"/>
          <w:lang w:eastAsia="en-US"/>
        </w:rPr>
        <w:t xml:space="preserve">procurement </w:t>
      </w:r>
      <w:r w:rsidR="0078197B">
        <w:rPr>
          <w:rFonts w:ascii="Arial" w:hAnsi="Arial" w:cs="Arial"/>
          <w:lang w:eastAsia="en-US"/>
        </w:rPr>
        <w:t>arrangement or activity meets the</w:t>
      </w:r>
      <w:r>
        <w:rPr>
          <w:rFonts w:ascii="Arial" w:hAnsi="Arial" w:cs="Arial"/>
          <w:lang w:eastAsia="en-US"/>
        </w:rPr>
        <w:t>ir needs</w:t>
      </w:r>
    </w:p>
    <w:p w14:paraId="280C919A" w14:textId="743653EF" w:rsidR="001C115E" w:rsidRPr="001F4406" w:rsidRDefault="001C115E" w:rsidP="001C115E">
      <w:pPr>
        <w:pStyle w:val="ListParagraph"/>
        <w:numPr>
          <w:ilvl w:val="0"/>
          <w:numId w:val="3"/>
        </w:numPr>
        <w:spacing w:before="120" w:after="120" w:line="259" w:lineRule="auto"/>
        <w:contextualSpacing w:val="0"/>
        <w:rPr>
          <w:rFonts w:ascii="Arial" w:hAnsi="Arial" w:cs="Arial"/>
          <w:lang w:eastAsia="en-US"/>
        </w:rPr>
      </w:pPr>
      <w:r>
        <w:rPr>
          <w:rFonts w:ascii="Arial" w:hAnsi="Arial" w:cs="Arial"/>
          <w:lang w:eastAsia="en-US"/>
        </w:rPr>
        <w:t>ensure that the</w:t>
      </w:r>
      <w:r w:rsidR="0078197B">
        <w:rPr>
          <w:rFonts w:ascii="Arial" w:hAnsi="Arial" w:cs="Arial"/>
          <w:lang w:eastAsia="en-US"/>
        </w:rPr>
        <w:t xml:space="preserve">y appropriately structure, govern and manage the </w:t>
      </w:r>
      <w:r w:rsidR="009B0C41">
        <w:rPr>
          <w:rFonts w:ascii="Arial" w:hAnsi="Arial" w:cs="Arial"/>
          <w:lang w:eastAsia="en-US"/>
        </w:rPr>
        <w:t xml:space="preserve">procurement </w:t>
      </w:r>
      <w:r>
        <w:rPr>
          <w:rFonts w:ascii="Arial" w:hAnsi="Arial" w:cs="Arial"/>
          <w:lang w:eastAsia="en-US"/>
        </w:rPr>
        <w:t>arrangement or activity</w:t>
      </w:r>
    </w:p>
    <w:p w14:paraId="3B4478E6" w14:textId="0B07FC7F" w:rsidR="00DA5475" w:rsidRPr="001C762B" w:rsidRDefault="001C115E" w:rsidP="001C762B">
      <w:pPr>
        <w:spacing w:before="120" w:after="120" w:line="259" w:lineRule="auto"/>
        <w:rPr>
          <w:rFonts w:ascii="Arial" w:hAnsi="Arial" w:cs="Arial"/>
          <w:lang w:eastAsia="en-US"/>
        </w:rPr>
      </w:pPr>
      <w:r>
        <w:rPr>
          <w:rFonts w:ascii="Arial" w:hAnsi="Arial" w:cs="Arial"/>
          <w:lang w:eastAsia="en-US"/>
        </w:rPr>
        <w:t>The b</w:t>
      </w:r>
      <w:r w:rsidRPr="00FC23CC">
        <w:rPr>
          <w:rFonts w:ascii="Arial" w:hAnsi="Arial" w:cs="Arial"/>
          <w:lang w:eastAsia="en-US"/>
        </w:rPr>
        <w:t xml:space="preserve">enefits </w:t>
      </w:r>
      <w:r>
        <w:rPr>
          <w:rFonts w:ascii="Arial" w:hAnsi="Arial" w:cs="Arial"/>
          <w:lang w:eastAsia="en-US"/>
        </w:rPr>
        <w:t>of aggregating demand may</w:t>
      </w:r>
      <w:r w:rsidRPr="00FC23CC">
        <w:rPr>
          <w:rFonts w:ascii="Arial" w:hAnsi="Arial" w:cs="Arial"/>
          <w:lang w:eastAsia="en-US"/>
        </w:rPr>
        <w:t xml:space="preserve"> be financial </w:t>
      </w:r>
      <w:r>
        <w:rPr>
          <w:rFonts w:ascii="Arial" w:hAnsi="Arial" w:cs="Arial"/>
          <w:lang w:eastAsia="en-US"/>
        </w:rPr>
        <w:t xml:space="preserve">or </w:t>
      </w:r>
      <w:r w:rsidRPr="00FC23CC">
        <w:rPr>
          <w:rFonts w:ascii="Arial" w:hAnsi="Arial" w:cs="Arial"/>
          <w:lang w:eastAsia="en-US"/>
        </w:rPr>
        <w:t>non-financial</w:t>
      </w:r>
      <w:r>
        <w:rPr>
          <w:rFonts w:ascii="Arial" w:hAnsi="Arial" w:cs="Arial"/>
          <w:lang w:eastAsia="en-US"/>
        </w:rPr>
        <w:t xml:space="preserve">, including: </w:t>
      </w:r>
    </w:p>
    <w:p w14:paraId="34428357" w14:textId="130616B4" w:rsidR="001C115E" w:rsidRPr="009B0C41" w:rsidRDefault="001C115E" w:rsidP="001C115E">
      <w:pPr>
        <w:pStyle w:val="ListParagraph"/>
        <w:numPr>
          <w:ilvl w:val="0"/>
          <w:numId w:val="9"/>
        </w:numPr>
        <w:spacing w:before="120" w:after="120" w:line="259" w:lineRule="auto"/>
        <w:contextualSpacing w:val="0"/>
        <w:rPr>
          <w:rFonts w:ascii="Arial" w:hAnsi="Arial" w:cs="Arial"/>
          <w:lang w:eastAsia="en-US"/>
        </w:rPr>
      </w:pPr>
      <w:r w:rsidRPr="009B0C41">
        <w:rPr>
          <w:rFonts w:ascii="Arial" w:hAnsi="Arial" w:cs="Arial"/>
          <w:lang w:eastAsia="en-US"/>
        </w:rPr>
        <w:t xml:space="preserve">obtaining savings and </w:t>
      </w:r>
      <w:r w:rsidR="00995775" w:rsidRPr="009B0C41">
        <w:rPr>
          <w:rFonts w:ascii="Arial" w:hAnsi="Arial" w:cs="Arial"/>
          <w:lang w:eastAsia="en-US"/>
        </w:rPr>
        <w:t>better</w:t>
      </w:r>
      <w:r w:rsidRPr="009B0C41">
        <w:rPr>
          <w:rFonts w:ascii="Arial" w:hAnsi="Arial" w:cs="Arial"/>
          <w:lang w:eastAsia="en-US"/>
        </w:rPr>
        <w:t xml:space="preserve"> terms and conditions</w:t>
      </w:r>
    </w:p>
    <w:p w14:paraId="76B5683C" w14:textId="10FBDBB6" w:rsidR="001C115E" w:rsidRPr="009B0C41" w:rsidRDefault="001C115E" w:rsidP="001C115E">
      <w:pPr>
        <w:pStyle w:val="ListParagraph"/>
        <w:numPr>
          <w:ilvl w:val="0"/>
          <w:numId w:val="9"/>
        </w:numPr>
        <w:spacing w:before="120" w:after="120" w:line="259" w:lineRule="auto"/>
        <w:contextualSpacing w:val="0"/>
        <w:rPr>
          <w:rFonts w:ascii="Arial" w:hAnsi="Arial" w:cs="Arial"/>
          <w:lang w:eastAsia="en-US"/>
        </w:rPr>
      </w:pPr>
      <w:r w:rsidRPr="009B0C41">
        <w:rPr>
          <w:rFonts w:ascii="Arial" w:hAnsi="Arial" w:cs="Arial"/>
          <w:lang w:eastAsia="en-US"/>
        </w:rPr>
        <w:t xml:space="preserve">increasing the efficiency and consistency of the procurement process </w:t>
      </w:r>
    </w:p>
    <w:p w14:paraId="286CB884" w14:textId="13D07819" w:rsidR="001C115E" w:rsidRPr="009B0C41" w:rsidRDefault="001C115E" w:rsidP="001C115E">
      <w:pPr>
        <w:pStyle w:val="ListParagraph"/>
        <w:numPr>
          <w:ilvl w:val="0"/>
          <w:numId w:val="9"/>
        </w:numPr>
        <w:spacing w:before="120" w:after="120" w:line="259" w:lineRule="auto"/>
        <w:contextualSpacing w:val="0"/>
        <w:rPr>
          <w:rFonts w:ascii="Arial" w:hAnsi="Arial" w:cs="Arial"/>
          <w:lang w:eastAsia="en-US"/>
        </w:rPr>
      </w:pPr>
      <w:r w:rsidRPr="009B0C41">
        <w:rPr>
          <w:rFonts w:ascii="Arial" w:hAnsi="Arial" w:cs="Arial"/>
          <w:lang w:eastAsia="en-US"/>
        </w:rPr>
        <w:t>improving quality assurance and compliance</w:t>
      </w:r>
    </w:p>
    <w:p w14:paraId="6DEF5706" w14:textId="643BF45B" w:rsidR="001C115E" w:rsidRPr="009B0C41" w:rsidRDefault="001C115E" w:rsidP="001C115E">
      <w:pPr>
        <w:pStyle w:val="ListParagraph"/>
        <w:numPr>
          <w:ilvl w:val="0"/>
          <w:numId w:val="9"/>
        </w:numPr>
        <w:spacing w:before="120" w:after="120" w:line="259" w:lineRule="auto"/>
        <w:contextualSpacing w:val="0"/>
        <w:rPr>
          <w:rFonts w:ascii="Arial" w:hAnsi="Arial" w:cs="Arial"/>
          <w:lang w:eastAsia="en-US"/>
        </w:rPr>
      </w:pPr>
      <w:r w:rsidRPr="009B0C41">
        <w:rPr>
          <w:rFonts w:ascii="Arial" w:hAnsi="Arial" w:cs="Arial"/>
          <w:lang w:eastAsia="en-US"/>
        </w:rPr>
        <w:t xml:space="preserve">mitigating procurement risk (e.g. through pre-negotiated terms and conditions) </w:t>
      </w:r>
    </w:p>
    <w:p w14:paraId="11EA6E6E" w14:textId="66ABCF5C" w:rsidR="001C115E" w:rsidRPr="009B0C41" w:rsidRDefault="001C115E" w:rsidP="001C115E">
      <w:pPr>
        <w:pStyle w:val="ListParagraph"/>
        <w:numPr>
          <w:ilvl w:val="0"/>
          <w:numId w:val="9"/>
        </w:numPr>
        <w:spacing w:before="120" w:after="120" w:line="259" w:lineRule="auto"/>
        <w:contextualSpacing w:val="0"/>
        <w:rPr>
          <w:rFonts w:ascii="Arial" w:hAnsi="Arial" w:cs="Arial"/>
          <w:lang w:eastAsia="en-US"/>
        </w:rPr>
      </w:pPr>
      <w:r w:rsidRPr="009B0C41">
        <w:rPr>
          <w:rFonts w:ascii="Arial" w:hAnsi="Arial" w:cs="Arial"/>
          <w:lang w:eastAsia="en-US"/>
        </w:rPr>
        <w:t>improving accountability, governance, monitoring and oversight</w:t>
      </w:r>
    </w:p>
    <w:p w14:paraId="699B1F24" w14:textId="6BA1B4FB" w:rsidR="001C115E" w:rsidRPr="009B0C41" w:rsidRDefault="0004690B" w:rsidP="001C115E">
      <w:pPr>
        <w:pStyle w:val="ListParagraph"/>
        <w:numPr>
          <w:ilvl w:val="0"/>
          <w:numId w:val="7"/>
        </w:numPr>
        <w:spacing w:before="120" w:after="120" w:line="259" w:lineRule="auto"/>
        <w:contextualSpacing w:val="0"/>
        <w:rPr>
          <w:rFonts w:ascii="Arial" w:hAnsi="Arial" w:cs="Arial"/>
          <w:lang w:eastAsia="en-US"/>
        </w:rPr>
      </w:pPr>
      <w:r w:rsidRPr="009B0C41">
        <w:rPr>
          <w:rFonts w:ascii="Arial" w:hAnsi="Arial" w:cs="Arial"/>
          <w:lang w:eastAsia="en-US"/>
        </w:rPr>
        <w:lastRenderedPageBreak/>
        <w:t xml:space="preserve">reducing </w:t>
      </w:r>
      <w:r w:rsidR="001C115E" w:rsidRPr="009B0C41">
        <w:rPr>
          <w:rFonts w:ascii="Arial" w:hAnsi="Arial" w:cs="Arial"/>
          <w:lang w:eastAsia="en-US"/>
        </w:rPr>
        <w:t>administrative burden on buyers and suppliers</w:t>
      </w:r>
    </w:p>
    <w:p w14:paraId="7F069638" w14:textId="35A8E6DD" w:rsidR="001C115E" w:rsidRPr="009B0C41" w:rsidRDefault="0004690B" w:rsidP="001C115E">
      <w:pPr>
        <w:pStyle w:val="ListParagraph"/>
        <w:numPr>
          <w:ilvl w:val="0"/>
          <w:numId w:val="7"/>
        </w:numPr>
        <w:spacing w:before="120" w:after="120" w:line="259" w:lineRule="auto"/>
        <w:contextualSpacing w:val="0"/>
        <w:rPr>
          <w:rFonts w:ascii="Arial" w:hAnsi="Arial" w:cs="Arial"/>
          <w:lang w:eastAsia="en-US"/>
        </w:rPr>
      </w:pPr>
      <w:r w:rsidRPr="009B0C41">
        <w:rPr>
          <w:rFonts w:ascii="Arial" w:hAnsi="Arial" w:cs="Arial"/>
          <w:lang w:eastAsia="en-US"/>
        </w:rPr>
        <w:t xml:space="preserve">making </w:t>
      </w:r>
      <w:r w:rsidR="001C115E" w:rsidRPr="009B0C41">
        <w:rPr>
          <w:rFonts w:ascii="Arial" w:hAnsi="Arial" w:cs="Arial"/>
          <w:lang w:eastAsia="en-US"/>
        </w:rPr>
        <w:t xml:space="preserve">the procurement opportunity </w:t>
      </w:r>
      <w:r w:rsidRPr="009B0C41">
        <w:rPr>
          <w:rFonts w:ascii="Arial" w:hAnsi="Arial" w:cs="Arial"/>
          <w:lang w:eastAsia="en-US"/>
        </w:rPr>
        <w:t xml:space="preserve">more attractive </w:t>
      </w:r>
      <w:r w:rsidR="001C115E" w:rsidRPr="009B0C41">
        <w:rPr>
          <w:rFonts w:ascii="Arial" w:hAnsi="Arial" w:cs="Arial"/>
          <w:lang w:eastAsia="en-US"/>
        </w:rPr>
        <w:t>to potential suppliers</w:t>
      </w:r>
    </w:p>
    <w:p w14:paraId="3ABDE2FF" w14:textId="79C37F7C" w:rsidR="001C115E" w:rsidRPr="009B0C41" w:rsidRDefault="001C115E" w:rsidP="001C115E">
      <w:pPr>
        <w:pStyle w:val="ListParagraph"/>
        <w:numPr>
          <w:ilvl w:val="0"/>
          <w:numId w:val="7"/>
        </w:numPr>
        <w:spacing w:before="120" w:after="120" w:line="259" w:lineRule="auto"/>
        <w:contextualSpacing w:val="0"/>
        <w:rPr>
          <w:rFonts w:ascii="Arial" w:hAnsi="Arial" w:cs="Arial"/>
          <w:lang w:eastAsia="en-US"/>
        </w:rPr>
      </w:pPr>
      <w:r w:rsidRPr="009B0C41">
        <w:rPr>
          <w:rFonts w:ascii="Arial" w:hAnsi="Arial" w:cs="Arial"/>
          <w:lang w:eastAsia="en-US"/>
        </w:rPr>
        <w:t xml:space="preserve">avoiding duplication and waste </w:t>
      </w:r>
    </w:p>
    <w:p w14:paraId="21BA25D5" w14:textId="14B3012D" w:rsidR="001C115E" w:rsidRPr="009B0C41" w:rsidRDefault="001C115E" w:rsidP="001C115E">
      <w:pPr>
        <w:pStyle w:val="ListParagraph"/>
        <w:numPr>
          <w:ilvl w:val="0"/>
          <w:numId w:val="7"/>
        </w:numPr>
        <w:spacing w:before="120" w:after="120" w:line="259" w:lineRule="auto"/>
        <w:contextualSpacing w:val="0"/>
        <w:rPr>
          <w:rFonts w:ascii="Arial" w:hAnsi="Arial" w:cs="Arial"/>
          <w:lang w:eastAsia="en-US"/>
        </w:rPr>
      </w:pPr>
      <w:r w:rsidRPr="009B0C41">
        <w:rPr>
          <w:rFonts w:ascii="Arial" w:hAnsi="Arial" w:cs="Arial"/>
          <w:lang w:eastAsia="en-US"/>
        </w:rPr>
        <w:t>enhancing contract and category management through data analytics and reporting</w:t>
      </w:r>
    </w:p>
    <w:p w14:paraId="7D4A2402" w14:textId="7E679980" w:rsidR="001C115E" w:rsidRPr="009B0C41" w:rsidRDefault="001C115E" w:rsidP="001C115E">
      <w:pPr>
        <w:pStyle w:val="ListParagraph"/>
        <w:numPr>
          <w:ilvl w:val="0"/>
          <w:numId w:val="7"/>
        </w:numPr>
        <w:spacing w:before="120" w:after="120" w:line="259" w:lineRule="auto"/>
        <w:contextualSpacing w:val="0"/>
        <w:rPr>
          <w:rFonts w:ascii="Arial" w:hAnsi="Arial" w:cs="Arial"/>
          <w:lang w:eastAsia="en-US"/>
        </w:rPr>
      </w:pPr>
      <w:r w:rsidRPr="009B0C41">
        <w:rPr>
          <w:rFonts w:ascii="Arial" w:hAnsi="Arial" w:cs="Arial"/>
          <w:lang w:eastAsia="en-US"/>
        </w:rPr>
        <w:t>strengthening supplier relationships</w:t>
      </w:r>
    </w:p>
    <w:p w14:paraId="20545372" w14:textId="25594426" w:rsidR="001C115E" w:rsidRPr="009B0C41" w:rsidRDefault="001C115E" w:rsidP="001C115E">
      <w:pPr>
        <w:pStyle w:val="ListParagraph"/>
        <w:numPr>
          <w:ilvl w:val="0"/>
          <w:numId w:val="7"/>
        </w:numPr>
        <w:spacing w:before="120" w:after="120" w:line="259" w:lineRule="auto"/>
        <w:contextualSpacing w:val="0"/>
        <w:rPr>
          <w:rFonts w:ascii="Arial" w:hAnsi="Arial" w:cs="Arial"/>
          <w:lang w:eastAsia="en-US"/>
        </w:rPr>
      </w:pPr>
      <w:r w:rsidRPr="009B0C41">
        <w:rPr>
          <w:rFonts w:ascii="Arial" w:hAnsi="Arial" w:cs="Arial"/>
          <w:lang w:eastAsia="en-US"/>
        </w:rPr>
        <w:t xml:space="preserve">increasing </w:t>
      </w:r>
      <w:r w:rsidR="0078197B" w:rsidRPr="009B0C41">
        <w:rPr>
          <w:rFonts w:ascii="Arial" w:hAnsi="Arial" w:cs="Arial"/>
          <w:lang w:eastAsia="en-US"/>
        </w:rPr>
        <w:t xml:space="preserve">suppliers’ </w:t>
      </w:r>
      <w:r w:rsidRPr="009B0C41">
        <w:rPr>
          <w:rFonts w:ascii="Arial" w:hAnsi="Arial" w:cs="Arial"/>
          <w:lang w:eastAsia="en-US"/>
        </w:rPr>
        <w:t xml:space="preserve">access to procurement opportunities through competitive procurement processes (e.g. </w:t>
      </w:r>
      <w:r w:rsidR="0078197B" w:rsidRPr="009B0C41">
        <w:rPr>
          <w:rFonts w:ascii="Arial" w:hAnsi="Arial" w:cs="Arial"/>
          <w:lang w:eastAsia="en-US"/>
        </w:rPr>
        <w:t>by using</w:t>
      </w:r>
      <w:r w:rsidRPr="009B0C41">
        <w:rPr>
          <w:rFonts w:ascii="Arial" w:hAnsi="Arial" w:cs="Arial"/>
          <w:lang w:eastAsia="en-US"/>
        </w:rPr>
        <w:t xml:space="preserve"> an open market approach)</w:t>
      </w:r>
    </w:p>
    <w:p w14:paraId="5E11F37C" w14:textId="693CDEBB" w:rsidR="001C115E" w:rsidRPr="009B0C41" w:rsidRDefault="001C115E" w:rsidP="001C115E">
      <w:pPr>
        <w:pStyle w:val="ListParagraph"/>
        <w:numPr>
          <w:ilvl w:val="0"/>
          <w:numId w:val="7"/>
        </w:numPr>
        <w:spacing w:before="120" w:after="120" w:line="259" w:lineRule="auto"/>
        <w:contextualSpacing w:val="0"/>
        <w:rPr>
          <w:rFonts w:ascii="Arial" w:hAnsi="Arial" w:cs="Arial"/>
          <w:lang w:eastAsia="en-US"/>
        </w:rPr>
      </w:pPr>
      <w:r w:rsidRPr="009B0C41">
        <w:rPr>
          <w:rFonts w:ascii="Arial" w:hAnsi="Arial" w:cs="Arial"/>
          <w:lang w:eastAsia="en-US"/>
        </w:rPr>
        <w:t>achieving broader policy objectives and government priorities</w:t>
      </w:r>
    </w:p>
    <w:p w14:paraId="274EFD54" w14:textId="47CB7E11" w:rsidR="001C762B" w:rsidRPr="000A2578" w:rsidRDefault="001C762B" w:rsidP="001C762B">
      <w:pPr>
        <w:spacing w:before="120" w:after="120" w:line="259" w:lineRule="auto"/>
        <w:rPr>
          <w:rFonts w:ascii="Arial" w:hAnsi="Arial" w:cs="Arial"/>
        </w:rPr>
      </w:pPr>
      <w:r w:rsidRPr="000A2578">
        <w:rPr>
          <w:rFonts w:ascii="Arial" w:hAnsi="Arial" w:cs="Arial"/>
        </w:rPr>
        <w:t xml:space="preserve">Even if aggregating demand would deliver benefits, </w:t>
      </w:r>
      <w:r>
        <w:rPr>
          <w:rFonts w:ascii="Arial" w:hAnsi="Arial" w:cs="Arial"/>
        </w:rPr>
        <w:t>how</w:t>
      </w:r>
      <w:r w:rsidRPr="000A2578">
        <w:rPr>
          <w:rFonts w:ascii="Arial" w:hAnsi="Arial" w:cs="Arial"/>
        </w:rPr>
        <w:t xml:space="preserve"> might the proposed arrangement</w:t>
      </w:r>
      <w:r>
        <w:rPr>
          <w:rFonts w:ascii="Arial" w:hAnsi="Arial" w:cs="Arial"/>
        </w:rPr>
        <w:t xml:space="preserve"> or activity</w:t>
      </w:r>
      <w:r w:rsidRPr="000A2578">
        <w:rPr>
          <w:rFonts w:ascii="Arial" w:hAnsi="Arial" w:cs="Arial"/>
        </w:rPr>
        <w:t xml:space="preserve"> impact:</w:t>
      </w:r>
    </w:p>
    <w:p w14:paraId="1C5937F0" w14:textId="77777777" w:rsidR="001C762B" w:rsidRPr="000A2578" w:rsidRDefault="001C762B" w:rsidP="001C762B">
      <w:pPr>
        <w:pStyle w:val="ListParagraph"/>
        <w:numPr>
          <w:ilvl w:val="0"/>
          <w:numId w:val="4"/>
        </w:numPr>
        <w:spacing w:before="120" w:after="120" w:line="259" w:lineRule="auto"/>
        <w:contextualSpacing w:val="0"/>
        <w:rPr>
          <w:rFonts w:ascii="Arial" w:hAnsi="Arial" w:cs="Arial"/>
        </w:rPr>
      </w:pPr>
      <w:r w:rsidRPr="000A2578">
        <w:rPr>
          <w:rFonts w:ascii="Arial" w:hAnsi="Arial" w:cs="Arial"/>
        </w:rPr>
        <w:t>the duration and cost of the procurement process?</w:t>
      </w:r>
    </w:p>
    <w:p w14:paraId="25C3C369" w14:textId="77777777" w:rsidR="001C762B" w:rsidRPr="000A2578" w:rsidRDefault="001C762B" w:rsidP="001C762B">
      <w:pPr>
        <w:pStyle w:val="ListParagraph"/>
        <w:numPr>
          <w:ilvl w:val="0"/>
          <w:numId w:val="4"/>
        </w:numPr>
        <w:spacing w:before="120" w:after="120" w:line="259" w:lineRule="auto"/>
        <w:contextualSpacing w:val="0"/>
        <w:rPr>
          <w:rFonts w:ascii="Arial" w:hAnsi="Arial" w:cs="Arial"/>
        </w:rPr>
      </w:pPr>
      <w:r w:rsidRPr="000A2578">
        <w:rPr>
          <w:rFonts w:ascii="Arial" w:hAnsi="Arial" w:cs="Arial"/>
        </w:rPr>
        <w:t>the complexity of the procurement process</w:t>
      </w:r>
      <w:r>
        <w:rPr>
          <w:rFonts w:ascii="Arial" w:hAnsi="Arial" w:cs="Arial"/>
        </w:rPr>
        <w:t xml:space="preserve"> (e.g. requiring more </w:t>
      </w:r>
      <w:r w:rsidRPr="000A2578">
        <w:rPr>
          <w:rFonts w:ascii="Arial" w:hAnsi="Arial" w:cs="Arial"/>
        </w:rPr>
        <w:t xml:space="preserve">resourcing </w:t>
      </w:r>
      <w:r>
        <w:rPr>
          <w:rFonts w:ascii="Arial" w:hAnsi="Arial" w:cs="Arial"/>
        </w:rPr>
        <w:t>or</w:t>
      </w:r>
      <w:r w:rsidRPr="000A2578">
        <w:rPr>
          <w:rFonts w:ascii="Arial" w:hAnsi="Arial" w:cs="Arial"/>
        </w:rPr>
        <w:t xml:space="preserve"> capability</w:t>
      </w:r>
      <w:r>
        <w:rPr>
          <w:rFonts w:ascii="Arial" w:hAnsi="Arial" w:cs="Arial"/>
        </w:rPr>
        <w:t>)</w:t>
      </w:r>
      <w:r w:rsidRPr="000A2578">
        <w:rPr>
          <w:rFonts w:ascii="Arial" w:hAnsi="Arial" w:cs="Arial"/>
        </w:rPr>
        <w:t>?</w:t>
      </w:r>
    </w:p>
    <w:p w14:paraId="622C6916" w14:textId="77777777" w:rsidR="001C762B" w:rsidRPr="000A2578" w:rsidRDefault="001C762B" w:rsidP="001C762B">
      <w:pPr>
        <w:pStyle w:val="ListParagraph"/>
        <w:numPr>
          <w:ilvl w:val="0"/>
          <w:numId w:val="4"/>
        </w:numPr>
        <w:spacing w:before="120" w:after="120" w:line="259" w:lineRule="auto"/>
        <w:contextualSpacing w:val="0"/>
        <w:rPr>
          <w:rFonts w:ascii="Arial" w:hAnsi="Arial" w:cs="Arial"/>
        </w:rPr>
      </w:pPr>
      <w:r w:rsidRPr="000A2578">
        <w:rPr>
          <w:rFonts w:ascii="Arial" w:hAnsi="Arial" w:cs="Arial"/>
        </w:rPr>
        <w:t xml:space="preserve">access </w:t>
      </w:r>
      <w:r>
        <w:rPr>
          <w:rFonts w:ascii="Arial" w:hAnsi="Arial" w:cs="Arial"/>
        </w:rPr>
        <w:t xml:space="preserve">for </w:t>
      </w:r>
      <w:r w:rsidRPr="000A2578">
        <w:rPr>
          <w:rFonts w:ascii="Arial" w:hAnsi="Arial" w:cs="Arial"/>
        </w:rPr>
        <w:t>small to medium</w:t>
      </w:r>
      <w:r>
        <w:rPr>
          <w:rFonts w:ascii="Arial" w:hAnsi="Arial" w:cs="Arial"/>
        </w:rPr>
        <w:t>-</w:t>
      </w:r>
      <w:r w:rsidRPr="000A2578">
        <w:rPr>
          <w:rFonts w:ascii="Arial" w:hAnsi="Arial" w:cs="Arial"/>
        </w:rPr>
        <w:t>sized enterprises</w:t>
      </w:r>
      <w:r>
        <w:rPr>
          <w:rFonts w:ascii="Arial" w:hAnsi="Arial" w:cs="Arial"/>
        </w:rPr>
        <w:t>, social benefit suppliers,</w:t>
      </w:r>
      <w:r w:rsidRPr="000A2578">
        <w:rPr>
          <w:rFonts w:ascii="Arial" w:hAnsi="Arial" w:cs="Arial"/>
        </w:rPr>
        <w:t xml:space="preserve"> or new entrants?  </w:t>
      </w:r>
    </w:p>
    <w:p w14:paraId="5CC857F1" w14:textId="77777777" w:rsidR="001C762B" w:rsidRPr="000A2578" w:rsidRDefault="001C762B" w:rsidP="001C762B">
      <w:pPr>
        <w:pStyle w:val="ListParagraph"/>
        <w:numPr>
          <w:ilvl w:val="0"/>
          <w:numId w:val="4"/>
        </w:numPr>
        <w:spacing w:before="120" w:after="120" w:line="259" w:lineRule="auto"/>
        <w:contextualSpacing w:val="0"/>
        <w:rPr>
          <w:rFonts w:ascii="Arial" w:hAnsi="Arial" w:cs="Arial"/>
        </w:rPr>
      </w:pPr>
      <w:r w:rsidRPr="000A2578">
        <w:rPr>
          <w:rFonts w:ascii="Arial" w:hAnsi="Arial" w:cs="Arial"/>
        </w:rPr>
        <w:t>competition in the supply market?</w:t>
      </w:r>
    </w:p>
    <w:p w14:paraId="0CE2A86C" w14:textId="77777777" w:rsidR="001C762B" w:rsidRDefault="001C762B" w:rsidP="001C762B">
      <w:pPr>
        <w:pStyle w:val="ListParagraph"/>
        <w:numPr>
          <w:ilvl w:val="0"/>
          <w:numId w:val="4"/>
        </w:numPr>
        <w:spacing w:before="120" w:after="120" w:line="259" w:lineRule="auto"/>
        <w:contextualSpacing w:val="0"/>
        <w:rPr>
          <w:rFonts w:ascii="Arial" w:hAnsi="Arial" w:cs="Arial"/>
        </w:rPr>
      </w:pPr>
      <w:r w:rsidRPr="000A2578">
        <w:rPr>
          <w:rFonts w:ascii="Arial" w:hAnsi="Arial" w:cs="Arial"/>
        </w:rPr>
        <w:t>supply chain risk (e.g. buyers or suppliers becoming too dependent on each other)?</w:t>
      </w:r>
    </w:p>
    <w:p w14:paraId="6E63F1FA" w14:textId="77777777" w:rsidR="001C762B" w:rsidRPr="000A2578" w:rsidRDefault="001C762B" w:rsidP="001C762B">
      <w:pPr>
        <w:pStyle w:val="ListParagraph"/>
        <w:numPr>
          <w:ilvl w:val="0"/>
          <w:numId w:val="4"/>
        </w:numPr>
        <w:spacing w:before="120" w:after="120" w:line="259" w:lineRule="auto"/>
        <w:contextualSpacing w:val="0"/>
        <w:rPr>
          <w:rFonts w:ascii="Arial" w:hAnsi="Arial" w:cs="Arial"/>
        </w:rPr>
      </w:pPr>
      <w:r>
        <w:rPr>
          <w:rFonts w:ascii="Arial" w:hAnsi="Arial" w:cs="Arial"/>
        </w:rPr>
        <w:t>buyers’ flexibility to meet their needs and achieve their objectives?</w:t>
      </w:r>
    </w:p>
    <w:p w14:paraId="71B6C94A" w14:textId="1B3C9BFF" w:rsidR="001C115E" w:rsidRDefault="001C115E" w:rsidP="001C115E">
      <w:pPr>
        <w:spacing w:before="120" w:after="120" w:line="259" w:lineRule="auto"/>
        <w:rPr>
          <w:rFonts w:ascii="Arial" w:hAnsi="Arial" w:cs="Arial"/>
          <w:lang w:eastAsia="en-US"/>
        </w:rPr>
      </w:pPr>
      <w:r>
        <w:rPr>
          <w:rFonts w:ascii="Arial" w:hAnsi="Arial" w:cs="Arial"/>
          <w:lang w:eastAsia="en-US"/>
        </w:rPr>
        <w:t>Organisations should:</w:t>
      </w:r>
    </w:p>
    <w:p w14:paraId="0C5515A5" w14:textId="3D13AC83" w:rsidR="001C115E" w:rsidRPr="00102921" w:rsidRDefault="001C115E" w:rsidP="001C115E">
      <w:pPr>
        <w:pStyle w:val="ListParagraph"/>
        <w:numPr>
          <w:ilvl w:val="0"/>
          <w:numId w:val="2"/>
        </w:numPr>
        <w:spacing w:before="120" w:after="120" w:line="259" w:lineRule="auto"/>
        <w:contextualSpacing w:val="0"/>
        <w:rPr>
          <w:rFonts w:ascii="Arial" w:hAnsi="Arial" w:cs="Arial"/>
          <w:caps/>
          <w:lang w:eastAsia="en-US"/>
        </w:rPr>
      </w:pPr>
      <w:r>
        <w:rPr>
          <w:rFonts w:ascii="Arial" w:hAnsi="Arial" w:cs="Arial"/>
          <w:lang w:eastAsia="en-US"/>
        </w:rPr>
        <w:t>justify e</w:t>
      </w:r>
      <w:r w:rsidRPr="006F797E">
        <w:rPr>
          <w:rFonts w:ascii="Arial" w:hAnsi="Arial" w:cs="Arial"/>
          <w:lang w:eastAsia="en-US"/>
        </w:rPr>
        <w:t xml:space="preserve">xpected benefits in the business case </w:t>
      </w:r>
      <w:r w:rsidR="0078197B">
        <w:rPr>
          <w:rFonts w:ascii="Arial" w:hAnsi="Arial" w:cs="Arial"/>
          <w:lang w:eastAsia="en-US"/>
        </w:rPr>
        <w:t>or statement of grounds</w:t>
      </w:r>
    </w:p>
    <w:p w14:paraId="372C14DD" w14:textId="144143AA" w:rsidR="001C115E" w:rsidRPr="00102921" w:rsidRDefault="001C115E" w:rsidP="001C115E">
      <w:pPr>
        <w:pStyle w:val="ListParagraph"/>
        <w:numPr>
          <w:ilvl w:val="0"/>
          <w:numId w:val="2"/>
        </w:numPr>
        <w:spacing w:before="120" w:after="120" w:line="259" w:lineRule="auto"/>
        <w:contextualSpacing w:val="0"/>
        <w:rPr>
          <w:rFonts w:ascii="Arial" w:hAnsi="Arial" w:cs="Arial"/>
          <w:caps/>
          <w:lang w:eastAsia="en-US"/>
        </w:rPr>
      </w:pPr>
      <w:r w:rsidRPr="00102921">
        <w:rPr>
          <w:rFonts w:ascii="Arial" w:hAnsi="Arial" w:cs="Arial"/>
          <w:lang w:eastAsia="en-US"/>
        </w:rPr>
        <w:t xml:space="preserve">ensure that </w:t>
      </w:r>
      <w:r w:rsidR="0078197B">
        <w:rPr>
          <w:rFonts w:ascii="Arial" w:hAnsi="Arial" w:cs="Arial"/>
          <w:lang w:eastAsia="en-US"/>
        </w:rPr>
        <w:t xml:space="preserve">they track and deliver </w:t>
      </w:r>
      <w:r>
        <w:rPr>
          <w:rFonts w:ascii="Arial" w:hAnsi="Arial" w:cs="Arial"/>
          <w:lang w:eastAsia="en-US"/>
        </w:rPr>
        <w:t>b</w:t>
      </w:r>
      <w:r w:rsidRPr="004F4FD4">
        <w:rPr>
          <w:rFonts w:ascii="Arial" w:hAnsi="Arial" w:cs="Arial"/>
          <w:lang w:eastAsia="en-US"/>
        </w:rPr>
        <w:t xml:space="preserve">enefits </w:t>
      </w:r>
      <w:r w:rsidRPr="00102921">
        <w:rPr>
          <w:rFonts w:ascii="Arial" w:hAnsi="Arial" w:cs="Arial"/>
          <w:lang w:eastAsia="en-US"/>
        </w:rPr>
        <w:t xml:space="preserve">across the procurement lifecycle </w:t>
      </w:r>
      <w:r w:rsidRPr="004F4FD4">
        <w:rPr>
          <w:rFonts w:ascii="Arial" w:hAnsi="Arial" w:cs="Arial"/>
          <w:lang w:eastAsia="en-US"/>
        </w:rPr>
        <w:t xml:space="preserve"> </w:t>
      </w:r>
    </w:p>
    <w:p w14:paraId="7452507A" w14:textId="7544283F" w:rsidR="001C115E" w:rsidRDefault="00D16969" w:rsidP="001C115E">
      <w:pPr>
        <w:spacing w:before="120" w:after="120" w:line="259" w:lineRule="auto"/>
        <w:rPr>
          <w:rFonts w:ascii="Arial" w:hAnsi="Arial" w:cs="Arial"/>
        </w:rPr>
      </w:pPr>
      <w:r>
        <w:rPr>
          <w:rFonts w:ascii="Arial" w:hAnsi="Arial" w:cs="Arial"/>
        </w:rPr>
        <w:t>O</w:t>
      </w:r>
      <w:r w:rsidR="001C115E">
        <w:rPr>
          <w:rFonts w:ascii="Arial" w:hAnsi="Arial" w:cs="Arial"/>
        </w:rPr>
        <w:t xml:space="preserve">rganisations should </w:t>
      </w:r>
      <w:r w:rsidR="002C1CAC">
        <w:rPr>
          <w:rFonts w:ascii="Arial" w:hAnsi="Arial" w:cs="Arial"/>
        </w:rPr>
        <w:t xml:space="preserve">also </w:t>
      </w:r>
      <w:r w:rsidR="001C115E">
        <w:rPr>
          <w:rFonts w:ascii="Arial" w:hAnsi="Arial" w:cs="Arial"/>
        </w:rPr>
        <w:t>compare a</w:t>
      </w:r>
      <w:r w:rsidR="001C115E" w:rsidRPr="00E87390">
        <w:rPr>
          <w:rFonts w:ascii="Arial" w:hAnsi="Arial" w:cs="Arial"/>
        </w:rPr>
        <w:t>ggregating demand with alternative strategies</w:t>
      </w:r>
      <w:r w:rsidR="0078197B">
        <w:rPr>
          <w:rFonts w:ascii="Arial" w:hAnsi="Arial" w:cs="Arial"/>
        </w:rPr>
        <w:t xml:space="preserve"> (e.g. one-off suppl</w:t>
      </w:r>
      <w:r w:rsidR="002C1CAC">
        <w:rPr>
          <w:rFonts w:ascii="Arial" w:hAnsi="Arial" w:cs="Arial"/>
        </w:rPr>
        <w:t>ies</w:t>
      </w:r>
      <w:r w:rsidR="0078197B">
        <w:rPr>
          <w:rFonts w:ascii="Arial" w:hAnsi="Arial" w:cs="Arial"/>
        </w:rPr>
        <w:t xml:space="preserve"> or disaggregating demand </w:t>
      </w:r>
      <w:r w:rsidR="001C115E">
        <w:rPr>
          <w:rFonts w:ascii="Arial" w:hAnsi="Arial" w:cs="Arial"/>
        </w:rPr>
        <w:t xml:space="preserve">by </w:t>
      </w:r>
      <w:r w:rsidR="001C115E" w:rsidRPr="00E87390">
        <w:rPr>
          <w:rFonts w:ascii="Arial" w:hAnsi="Arial" w:cs="Arial"/>
        </w:rPr>
        <w:t xml:space="preserve">dividing a larger procurement </w:t>
      </w:r>
      <w:r w:rsidR="001C115E">
        <w:rPr>
          <w:rFonts w:ascii="Arial" w:hAnsi="Arial" w:cs="Arial"/>
        </w:rPr>
        <w:t xml:space="preserve">activity </w:t>
      </w:r>
      <w:r w:rsidR="001C115E" w:rsidRPr="00E87390">
        <w:rPr>
          <w:rFonts w:ascii="Arial" w:hAnsi="Arial" w:cs="Arial"/>
        </w:rPr>
        <w:t>into smaller parts)</w:t>
      </w:r>
      <w:r w:rsidR="001C115E">
        <w:rPr>
          <w:rFonts w:ascii="Arial" w:hAnsi="Arial" w:cs="Arial"/>
        </w:rPr>
        <w:t xml:space="preserve">. </w:t>
      </w:r>
    </w:p>
    <w:p w14:paraId="14E6578D" w14:textId="2DE2116C" w:rsidR="001C115E" w:rsidRDefault="001C115E" w:rsidP="001C115E">
      <w:pPr>
        <w:spacing w:before="120" w:after="120" w:line="259" w:lineRule="auto"/>
        <w:rPr>
          <w:rFonts w:ascii="Arial" w:hAnsi="Arial" w:cs="Arial"/>
          <w:lang w:eastAsia="en-US"/>
        </w:rPr>
      </w:pPr>
      <w:r>
        <w:rPr>
          <w:rFonts w:ascii="Arial" w:hAnsi="Arial" w:cs="Arial"/>
        </w:rPr>
        <w:t xml:space="preserve">The </w:t>
      </w:r>
      <w:r w:rsidR="0078197B">
        <w:rPr>
          <w:rFonts w:ascii="Arial" w:hAnsi="Arial" w:cs="Arial"/>
        </w:rPr>
        <w:t xml:space="preserve">structure of a procurement arrangement or activity will impact the </w:t>
      </w:r>
      <w:r>
        <w:rPr>
          <w:rFonts w:ascii="Arial" w:hAnsi="Arial" w:cs="Arial"/>
        </w:rPr>
        <w:t>benefits, costs</w:t>
      </w:r>
      <w:r w:rsidR="002C1CAC">
        <w:rPr>
          <w:rFonts w:ascii="Arial" w:hAnsi="Arial" w:cs="Arial"/>
        </w:rPr>
        <w:t>,</w:t>
      </w:r>
      <w:r>
        <w:rPr>
          <w:rFonts w:ascii="Arial" w:hAnsi="Arial" w:cs="Arial"/>
        </w:rPr>
        <w:t xml:space="preserve"> and risks of aggregating demand. The </w:t>
      </w:r>
      <w:r w:rsidRPr="006F4E62">
        <w:rPr>
          <w:rFonts w:ascii="Arial" w:hAnsi="Arial" w:cs="Arial"/>
          <w:color w:val="7030A0"/>
          <w:u w:val="single"/>
        </w:rPr>
        <w:t xml:space="preserve">Structuring state purchase contracts and other </w:t>
      </w:r>
      <w:r w:rsidR="00D54A1C">
        <w:rPr>
          <w:rFonts w:ascii="Arial" w:hAnsi="Arial" w:cs="Arial"/>
          <w:color w:val="7030A0"/>
          <w:u w:val="single"/>
        </w:rPr>
        <w:t>procurement arrangements</w:t>
      </w:r>
      <w:r w:rsidRPr="006F4E62">
        <w:rPr>
          <w:rFonts w:ascii="Arial" w:hAnsi="Arial" w:cs="Arial"/>
          <w:color w:val="7030A0"/>
          <w:u w:val="single"/>
        </w:rPr>
        <w:t xml:space="preserve"> guide</w:t>
      </w:r>
      <w:r>
        <w:rPr>
          <w:rFonts w:ascii="Arial" w:hAnsi="Arial" w:cs="Arial"/>
        </w:rPr>
        <w:t xml:space="preserve"> explains how </w:t>
      </w:r>
      <w:r w:rsidR="0078197B">
        <w:rPr>
          <w:rFonts w:ascii="Arial" w:hAnsi="Arial" w:cs="Arial"/>
        </w:rPr>
        <w:t xml:space="preserve">to structure </w:t>
      </w:r>
      <w:r>
        <w:rPr>
          <w:rFonts w:ascii="Arial" w:hAnsi="Arial" w:cs="Arial"/>
        </w:rPr>
        <w:t xml:space="preserve">different types of procurement </w:t>
      </w:r>
      <w:r w:rsidR="00D54A1C">
        <w:rPr>
          <w:rFonts w:ascii="Arial" w:hAnsi="Arial" w:cs="Arial"/>
        </w:rPr>
        <w:t>arrangements</w:t>
      </w:r>
      <w:r>
        <w:rPr>
          <w:rFonts w:ascii="Arial" w:hAnsi="Arial" w:cs="Arial"/>
        </w:rPr>
        <w:t>.</w:t>
      </w:r>
    </w:p>
    <w:p w14:paraId="63B9802E" w14:textId="77777777" w:rsidR="001C115E" w:rsidRPr="009D766B" w:rsidRDefault="001C115E" w:rsidP="001C115E">
      <w:pPr>
        <w:pStyle w:val="Heading2"/>
        <w:spacing w:line="259" w:lineRule="auto"/>
        <w:rPr>
          <w:rFonts w:ascii="Arial" w:hAnsi="Arial" w:cs="Arial"/>
          <w:color w:val="381F6A"/>
          <w:sz w:val="2"/>
          <w:szCs w:val="2"/>
        </w:rPr>
      </w:pPr>
    </w:p>
    <w:p w14:paraId="5E775B3F" w14:textId="77777777" w:rsidR="001C115E" w:rsidRPr="00E43705" w:rsidRDefault="001C115E" w:rsidP="001C115E">
      <w:pPr>
        <w:pStyle w:val="Heading2"/>
        <w:spacing w:line="259" w:lineRule="auto"/>
        <w:rPr>
          <w:rFonts w:ascii="Arial" w:hAnsi="Arial" w:cs="Arial"/>
          <w:color w:val="381F6A"/>
          <w:szCs w:val="28"/>
        </w:rPr>
      </w:pPr>
      <w:r w:rsidRPr="00E43705">
        <w:rPr>
          <w:rFonts w:ascii="Arial" w:hAnsi="Arial" w:cs="Arial"/>
          <w:color w:val="381F6A"/>
          <w:szCs w:val="28"/>
        </w:rPr>
        <w:t>Using this guide</w:t>
      </w:r>
    </w:p>
    <w:p w14:paraId="23F4675D" w14:textId="77777777" w:rsidR="001C115E" w:rsidRPr="00FC23CC" w:rsidRDefault="001C115E" w:rsidP="001C115E">
      <w:pPr>
        <w:spacing w:before="120" w:after="120" w:line="259" w:lineRule="auto"/>
        <w:rPr>
          <w:rFonts w:ascii="Arial" w:hAnsi="Arial" w:cs="Arial"/>
        </w:rPr>
      </w:pPr>
      <w:r w:rsidRPr="00FC23CC">
        <w:rPr>
          <w:rFonts w:ascii="Arial" w:hAnsi="Arial" w:cs="Arial"/>
        </w:rPr>
        <w:t xml:space="preserve">This guide accompanies the </w:t>
      </w:r>
      <w:hyperlink r:id="rId8" w:history="1">
        <w:r w:rsidRPr="00FC23CC">
          <w:rPr>
            <w:rStyle w:val="Hyperlink"/>
            <w:rFonts w:ascii="Arial" w:hAnsi="Arial" w:cs="Arial"/>
          </w:rPr>
          <w:t>goods and services supply policies</w:t>
        </w:r>
      </w:hyperlink>
      <w:r w:rsidRPr="00FC23CC">
        <w:rPr>
          <w:rFonts w:ascii="Arial" w:hAnsi="Arial" w:cs="Arial"/>
        </w:rPr>
        <w:t>. There are 5 suppl</w:t>
      </w:r>
      <w:r>
        <w:rPr>
          <w:rFonts w:ascii="Arial" w:hAnsi="Arial" w:cs="Arial"/>
        </w:rPr>
        <w:t>y</w:t>
      </w:r>
      <w:r w:rsidRPr="00FC23CC">
        <w:rPr>
          <w:rFonts w:ascii="Arial" w:hAnsi="Arial" w:cs="Arial"/>
        </w:rPr>
        <w:t xml:space="preserve"> policies:</w:t>
      </w:r>
    </w:p>
    <w:p w14:paraId="722E2EB4" w14:textId="77777777" w:rsidR="001C115E" w:rsidRPr="00FC23CC" w:rsidRDefault="001C115E" w:rsidP="001C115E">
      <w:pPr>
        <w:pStyle w:val="ListParagraph"/>
        <w:numPr>
          <w:ilvl w:val="0"/>
          <w:numId w:val="1"/>
        </w:numPr>
        <w:spacing w:before="120" w:after="120" w:line="259" w:lineRule="auto"/>
        <w:contextualSpacing w:val="0"/>
        <w:rPr>
          <w:rFonts w:ascii="Arial" w:hAnsi="Arial" w:cs="Arial"/>
        </w:rPr>
      </w:pPr>
      <w:r w:rsidRPr="00FC23CC">
        <w:rPr>
          <w:rFonts w:ascii="Arial" w:hAnsi="Arial" w:cs="Arial"/>
        </w:rPr>
        <w:t>Governance policy</w:t>
      </w:r>
    </w:p>
    <w:p w14:paraId="70C29A03" w14:textId="77777777" w:rsidR="001C115E" w:rsidRPr="00FC23CC" w:rsidRDefault="001C115E" w:rsidP="001C115E">
      <w:pPr>
        <w:pStyle w:val="ListParagraph"/>
        <w:numPr>
          <w:ilvl w:val="0"/>
          <w:numId w:val="1"/>
        </w:numPr>
        <w:spacing w:before="120" w:after="120" w:line="259" w:lineRule="auto"/>
        <w:contextualSpacing w:val="0"/>
        <w:rPr>
          <w:rFonts w:ascii="Arial" w:hAnsi="Arial" w:cs="Arial"/>
        </w:rPr>
      </w:pPr>
      <w:r w:rsidRPr="00FC23CC">
        <w:rPr>
          <w:rFonts w:ascii="Arial" w:hAnsi="Arial" w:cs="Arial"/>
        </w:rPr>
        <w:t>Complexity and capability assessment policy</w:t>
      </w:r>
    </w:p>
    <w:p w14:paraId="749B5135" w14:textId="77777777" w:rsidR="001C115E" w:rsidRPr="00FC23CC" w:rsidRDefault="001C115E" w:rsidP="001C115E">
      <w:pPr>
        <w:pStyle w:val="ListParagraph"/>
        <w:numPr>
          <w:ilvl w:val="0"/>
          <w:numId w:val="1"/>
        </w:numPr>
        <w:spacing w:before="120" w:after="120" w:line="259" w:lineRule="auto"/>
        <w:contextualSpacing w:val="0"/>
        <w:rPr>
          <w:rFonts w:ascii="Arial" w:hAnsi="Arial" w:cs="Arial"/>
        </w:rPr>
      </w:pPr>
      <w:r w:rsidRPr="00FC23CC">
        <w:rPr>
          <w:rFonts w:ascii="Arial" w:hAnsi="Arial" w:cs="Arial"/>
        </w:rPr>
        <w:t>Market analysis and review policy</w:t>
      </w:r>
    </w:p>
    <w:p w14:paraId="058762A8" w14:textId="77777777" w:rsidR="001C115E" w:rsidRPr="00FC23CC" w:rsidRDefault="001C115E" w:rsidP="001C115E">
      <w:pPr>
        <w:pStyle w:val="ListParagraph"/>
        <w:numPr>
          <w:ilvl w:val="0"/>
          <w:numId w:val="1"/>
        </w:numPr>
        <w:spacing w:before="120" w:after="120" w:line="259" w:lineRule="auto"/>
        <w:contextualSpacing w:val="0"/>
        <w:rPr>
          <w:rFonts w:ascii="Arial" w:hAnsi="Arial" w:cs="Arial"/>
        </w:rPr>
      </w:pPr>
      <w:r w:rsidRPr="00FC23CC">
        <w:rPr>
          <w:rFonts w:ascii="Arial" w:hAnsi="Arial" w:cs="Arial"/>
        </w:rPr>
        <w:t>Market approach policy</w:t>
      </w:r>
    </w:p>
    <w:p w14:paraId="35E07902" w14:textId="77777777" w:rsidR="001C115E" w:rsidRPr="00FC23CC" w:rsidRDefault="001C115E" w:rsidP="001C115E">
      <w:pPr>
        <w:pStyle w:val="ListParagraph"/>
        <w:numPr>
          <w:ilvl w:val="0"/>
          <w:numId w:val="1"/>
        </w:numPr>
        <w:spacing w:before="120" w:after="120" w:line="259" w:lineRule="auto"/>
        <w:contextualSpacing w:val="0"/>
        <w:rPr>
          <w:rFonts w:ascii="Arial" w:hAnsi="Arial" w:cs="Arial"/>
        </w:rPr>
      </w:pPr>
      <w:r w:rsidRPr="00FC23CC">
        <w:rPr>
          <w:rFonts w:ascii="Arial" w:hAnsi="Arial" w:cs="Arial"/>
        </w:rPr>
        <w:t>Contract management and disclosure policy</w:t>
      </w:r>
    </w:p>
    <w:p w14:paraId="7F8F217B" w14:textId="77777777" w:rsidR="001C115E" w:rsidRPr="00FC23CC" w:rsidRDefault="001C115E" w:rsidP="001C115E">
      <w:pPr>
        <w:spacing w:before="120" w:after="120" w:line="259" w:lineRule="auto"/>
        <w:rPr>
          <w:rFonts w:ascii="Arial" w:hAnsi="Arial" w:cs="Arial"/>
        </w:rPr>
      </w:pPr>
      <w:r w:rsidRPr="00FC23CC">
        <w:rPr>
          <w:rFonts w:ascii="Arial" w:hAnsi="Arial" w:cs="Arial"/>
        </w:rPr>
        <w:t xml:space="preserve">This guide supports the </w:t>
      </w:r>
      <w:hyperlink r:id="rId9" w:history="1">
        <w:r w:rsidRPr="00FC23CC">
          <w:rPr>
            <w:rStyle w:val="Hyperlink"/>
            <w:rFonts w:ascii="Arial" w:hAnsi="Arial" w:cs="Arial"/>
          </w:rPr>
          <w:t>Market analysis and review policy</w:t>
        </w:r>
      </w:hyperlink>
      <w:r w:rsidRPr="00FC23CC">
        <w:rPr>
          <w:rFonts w:ascii="Arial" w:hAnsi="Arial" w:cs="Arial"/>
        </w:rPr>
        <w:t>.</w:t>
      </w:r>
    </w:p>
    <w:p w14:paraId="31047122" w14:textId="77777777" w:rsidR="001C115E" w:rsidRPr="000B4051" w:rsidRDefault="001C115E" w:rsidP="001C115E">
      <w:pPr>
        <w:spacing w:before="120" w:after="120" w:line="259" w:lineRule="auto"/>
        <w:rPr>
          <w:rFonts w:ascii="Arial" w:hAnsi="Arial" w:cs="Arial"/>
          <w:sz w:val="2"/>
          <w:szCs w:val="2"/>
          <w:lang w:eastAsia="en-US"/>
        </w:rPr>
      </w:pPr>
    </w:p>
    <w:p w14:paraId="1274EC29" w14:textId="77777777" w:rsidR="001C115E" w:rsidRPr="000B4051" w:rsidRDefault="001C115E" w:rsidP="001C115E">
      <w:pPr>
        <w:pStyle w:val="Heading2"/>
        <w:rPr>
          <w:rFonts w:ascii="Arial" w:hAnsi="Arial" w:cs="Arial"/>
          <w:bCs/>
          <w:color w:val="381F6A"/>
          <w:szCs w:val="28"/>
        </w:rPr>
      </w:pPr>
      <w:r w:rsidRPr="000B4051">
        <w:rPr>
          <w:rFonts w:ascii="Arial" w:hAnsi="Arial" w:cs="Arial"/>
          <w:bCs/>
          <w:color w:val="381F6A"/>
          <w:szCs w:val="28"/>
        </w:rPr>
        <w:lastRenderedPageBreak/>
        <w:t>Tools and support</w:t>
      </w:r>
    </w:p>
    <w:p w14:paraId="2A94AD53" w14:textId="6D9D33DC" w:rsidR="001C115E" w:rsidRPr="00C30A40" w:rsidRDefault="001C115E" w:rsidP="001C115E">
      <w:pPr>
        <w:pStyle w:val="NormalWeb"/>
        <w:spacing w:before="120" w:after="120" w:line="240" w:lineRule="auto"/>
        <w:rPr>
          <w:rFonts w:ascii="Arial" w:hAnsi="Arial" w:cs="Arial"/>
          <w:color w:val="011A3C"/>
          <w:sz w:val="22"/>
          <w:szCs w:val="22"/>
        </w:rPr>
      </w:pPr>
      <w:r w:rsidRPr="00C30A40">
        <w:rPr>
          <w:rFonts w:ascii="Arial" w:hAnsi="Arial" w:cs="Arial"/>
          <w:sz w:val="22"/>
          <w:szCs w:val="22"/>
        </w:rPr>
        <w:t>Access a document version of this guide in the</w:t>
      </w:r>
      <w:r w:rsidRPr="00C30A40">
        <w:rPr>
          <w:rFonts w:ascii="Arial" w:hAnsi="Arial" w:cs="Arial"/>
          <w:color w:val="011A3C"/>
          <w:sz w:val="22"/>
          <w:szCs w:val="22"/>
        </w:rPr>
        <w:t> </w:t>
      </w:r>
      <w:hyperlink r:id="rId10" w:history="1">
        <w:r w:rsidRPr="00FE1846">
          <w:rPr>
            <w:rStyle w:val="Hyperlink"/>
            <w:rFonts w:ascii="Arial" w:hAnsi="Arial" w:cs="Arial"/>
            <w:sz w:val="22"/>
            <w:szCs w:val="22"/>
          </w:rPr>
          <w:t>Toolk</w:t>
        </w:r>
        <w:r w:rsidRPr="00FE1846">
          <w:rPr>
            <w:rStyle w:val="Hyperlink"/>
            <w:rFonts w:ascii="Arial" w:hAnsi="Arial" w:cs="Arial"/>
            <w:sz w:val="22"/>
            <w:szCs w:val="22"/>
          </w:rPr>
          <w:t>i</w:t>
        </w:r>
        <w:r w:rsidRPr="00FE1846">
          <w:rPr>
            <w:rStyle w:val="Hyperlink"/>
            <w:rFonts w:ascii="Arial" w:hAnsi="Arial" w:cs="Arial"/>
            <w:sz w:val="22"/>
            <w:szCs w:val="22"/>
          </w:rPr>
          <w:t>t and library</w:t>
        </w:r>
        <w:r w:rsidRPr="00FE1846">
          <w:rPr>
            <w:rStyle w:val="Hyperlink"/>
            <w:sz w:val="22"/>
            <w:szCs w:val="22"/>
          </w:rPr>
          <w:t>.</w:t>
        </w:r>
      </w:hyperlink>
    </w:p>
    <w:p w14:paraId="24CA071F" w14:textId="77777777" w:rsidR="001C115E" w:rsidRPr="00C30A40" w:rsidRDefault="001C115E" w:rsidP="001C115E">
      <w:pPr>
        <w:pStyle w:val="NormalWeb"/>
        <w:spacing w:before="120" w:after="120" w:line="240" w:lineRule="auto"/>
        <w:rPr>
          <w:rFonts w:ascii="Arial" w:hAnsi="Arial" w:cs="Arial"/>
          <w:color w:val="011A3C"/>
          <w:sz w:val="22"/>
          <w:szCs w:val="22"/>
        </w:rPr>
      </w:pPr>
      <w:r w:rsidRPr="00C30A40">
        <w:rPr>
          <w:rFonts w:ascii="Arial" w:hAnsi="Arial" w:cs="Arial"/>
          <w:sz w:val="22"/>
          <w:szCs w:val="22"/>
        </w:rPr>
        <w:t xml:space="preserve">For more information </w:t>
      </w:r>
      <w:r>
        <w:rPr>
          <w:rFonts w:ascii="Arial" w:hAnsi="Arial" w:cs="Arial"/>
          <w:sz w:val="22"/>
          <w:szCs w:val="22"/>
        </w:rPr>
        <w:t>on aggregating demand</w:t>
      </w:r>
      <w:r w:rsidRPr="00C30A40">
        <w:rPr>
          <w:rFonts w:ascii="Arial" w:hAnsi="Arial" w:cs="Arial"/>
          <w:sz w:val="22"/>
          <w:szCs w:val="22"/>
        </w:rPr>
        <w:t>, please contact the</w:t>
      </w:r>
      <w:r w:rsidRPr="00C30A40">
        <w:rPr>
          <w:rFonts w:ascii="Arial" w:hAnsi="Arial" w:cs="Arial"/>
          <w:color w:val="011A3C"/>
          <w:sz w:val="22"/>
          <w:szCs w:val="22"/>
        </w:rPr>
        <w:t> </w:t>
      </w:r>
      <w:hyperlink r:id="rId11" w:history="1">
        <w:r w:rsidRPr="00C30A40">
          <w:rPr>
            <w:rStyle w:val="rpl-text-label"/>
            <w:rFonts w:ascii="Arial" w:hAnsi="Arial" w:cs="Arial"/>
            <w:color w:val="87189D"/>
            <w:sz w:val="22"/>
            <w:szCs w:val="22"/>
          </w:rPr>
          <w:t>goods and services policy team</w:t>
        </w:r>
      </w:hyperlink>
      <w:r w:rsidRPr="00C30A40">
        <w:rPr>
          <w:rFonts w:ascii="Arial" w:hAnsi="Arial" w:cs="Arial"/>
          <w:color w:val="011A3C"/>
          <w:sz w:val="22"/>
          <w:szCs w:val="22"/>
        </w:rPr>
        <w:t>.</w:t>
      </w:r>
    </w:p>
    <w:bookmarkEnd w:id="0"/>
    <w:p w14:paraId="75BAADBE" w14:textId="77777777" w:rsidR="008634AB" w:rsidRDefault="008634AB"/>
    <w:p w14:paraId="78DF11F2" w14:textId="77777777" w:rsidR="001A2DAD" w:rsidRDefault="001A2DAD"/>
    <w:p w14:paraId="7D55E9FC" w14:textId="77777777" w:rsidR="001A2DAD" w:rsidRDefault="001A2DAD"/>
    <w:p w14:paraId="2C7562C1" w14:textId="77777777" w:rsidR="00874402" w:rsidRDefault="00874402"/>
    <w:p w14:paraId="57CA573B" w14:textId="77777777" w:rsidR="00874402" w:rsidRDefault="00874402"/>
    <w:p w14:paraId="65F2CD19" w14:textId="77777777" w:rsidR="00874402" w:rsidRDefault="00874402"/>
    <w:p w14:paraId="27251803" w14:textId="77777777" w:rsidR="00874402" w:rsidRDefault="00874402"/>
    <w:p w14:paraId="6B539C1A" w14:textId="77777777" w:rsidR="00874402" w:rsidRDefault="00874402"/>
    <w:p w14:paraId="5249BF62" w14:textId="77777777" w:rsidR="00874402" w:rsidRDefault="00874402"/>
    <w:p w14:paraId="1983E682" w14:textId="77777777" w:rsidR="00874402" w:rsidRDefault="00874402"/>
    <w:p w14:paraId="423D7DB7" w14:textId="77777777" w:rsidR="00874402" w:rsidRDefault="00874402"/>
    <w:p w14:paraId="1D52B29A" w14:textId="77777777" w:rsidR="00874402" w:rsidRDefault="00874402"/>
    <w:p w14:paraId="2A70B1B7" w14:textId="77777777" w:rsidR="00874402" w:rsidRDefault="00874402"/>
    <w:p w14:paraId="04CE1EEB" w14:textId="77777777" w:rsidR="00874402" w:rsidRDefault="00874402"/>
    <w:p w14:paraId="6A1F3F97" w14:textId="77777777" w:rsidR="00874402" w:rsidRDefault="00874402"/>
    <w:p w14:paraId="24F51081" w14:textId="77777777" w:rsidR="00874402" w:rsidRDefault="00874402"/>
    <w:p w14:paraId="1AAFF60D" w14:textId="77777777" w:rsidR="00874402" w:rsidRDefault="00874402"/>
    <w:p w14:paraId="07848A13" w14:textId="77777777" w:rsidR="00874402" w:rsidRDefault="00874402"/>
    <w:p w14:paraId="73CC644E" w14:textId="77777777" w:rsidR="00874402" w:rsidRDefault="00874402"/>
    <w:p w14:paraId="0B1D8416" w14:textId="77777777" w:rsidR="00874402" w:rsidRDefault="00874402"/>
    <w:p w14:paraId="515D8044" w14:textId="77777777" w:rsidR="00874402" w:rsidRDefault="00874402"/>
    <w:p w14:paraId="06E73B21" w14:textId="77777777" w:rsidR="00874402" w:rsidRDefault="00874402"/>
    <w:p w14:paraId="3580F225" w14:textId="77777777" w:rsidR="00874402" w:rsidRDefault="00874402"/>
    <w:p w14:paraId="67AC3DF1" w14:textId="77777777" w:rsidR="00E92F55" w:rsidRDefault="00E92F55"/>
    <w:p w14:paraId="563E46AF" w14:textId="77777777" w:rsidR="00E92F55" w:rsidRDefault="00E92F55"/>
    <w:p w14:paraId="1C729BF8" w14:textId="33670008" w:rsidR="00874402" w:rsidRPr="00843160" w:rsidRDefault="00874402" w:rsidP="00874402">
      <w:r w:rsidRPr="00CB3554">
        <w:t xml:space="preserve">© </w:t>
      </w:r>
      <w:r w:rsidRPr="00843160">
        <w:t>State of Victoria 20</w:t>
      </w:r>
      <w:r>
        <w:t>2</w:t>
      </w:r>
      <w:r w:rsidR="00E92F55">
        <w:t>4</w:t>
      </w:r>
      <w:r>
        <w:t xml:space="preserve"> (Victorian Government Purchasing Board)</w:t>
      </w:r>
    </w:p>
    <w:p w14:paraId="73D648E4" w14:textId="77777777" w:rsidR="00874402" w:rsidRPr="00843160" w:rsidRDefault="00874402" w:rsidP="00874402">
      <w:r w:rsidRPr="00843160">
        <w:rPr>
          <w:noProof/>
        </w:rPr>
        <w:drawing>
          <wp:inline distT="0" distB="0" distL="0" distR="0" wp14:anchorId="5F32972C" wp14:editId="32DE513F">
            <wp:extent cx="1117460" cy="393651"/>
            <wp:effectExtent l="0" t="0" r="6985" b="6985"/>
            <wp:docPr id="3" name="Picture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3">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843160">
        <w:t xml:space="preserve"> </w:t>
      </w:r>
    </w:p>
    <w:p w14:paraId="7EB73DD2" w14:textId="77777777" w:rsidR="00874402" w:rsidRPr="00843160" w:rsidRDefault="00874402" w:rsidP="00874402">
      <w:r w:rsidRPr="00843160">
        <w:t xml:space="preserve">This work is licensed under a </w:t>
      </w:r>
      <w:hyperlink r:id="rId14" w:history="1">
        <w:r w:rsidRPr="00961335">
          <w:rPr>
            <w:rStyle w:val="Hyperlink"/>
          </w:rPr>
          <w:t>Creative Commons Attribution 4.0 licence</w:t>
        </w:r>
      </w:hyperlink>
      <w:r w:rsidRPr="00961335">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56CBB02D" w14:textId="77777777" w:rsidR="00874402" w:rsidRPr="00872C3C" w:rsidRDefault="00874402" w:rsidP="00874402">
      <w:pPr>
        <w:rPr>
          <w:color w:val="660B68"/>
        </w:rPr>
      </w:pPr>
      <w:r w:rsidRPr="00843160">
        <w:t xml:space="preserve">Copyright queries may be directed to </w:t>
      </w:r>
      <w:hyperlink r:id="rId15" w:history="1">
        <w:r w:rsidRPr="00843160">
          <w:rPr>
            <w:color w:val="660B68"/>
          </w:rPr>
          <w:t>IPpolicy@dtf.vic.gov.au</w:t>
        </w:r>
      </w:hyperlink>
      <w:r>
        <w:rPr>
          <w:color w:val="660B68"/>
        </w:rPr>
        <w:t>.</w:t>
      </w:r>
    </w:p>
    <w:p w14:paraId="6EB7CE4F" w14:textId="77777777" w:rsidR="00874402" w:rsidRDefault="00874402"/>
    <w:sectPr w:rsidR="00874402" w:rsidSect="00544009">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95B32" w14:textId="77777777" w:rsidR="00E64403" w:rsidRDefault="00E64403" w:rsidP="001C115E">
      <w:pPr>
        <w:spacing w:before="0" w:after="0" w:line="240" w:lineRule="auto"/>
      </w:pPr>
      <w:r>
        <w:separator/>
      </w:r>
    </w:p>
  </w:endnote>
  <w:endnote w:type="continuationSeparator" w:id="0">
    <w:p w14:paraId="1DF4AB84" w14:textId="77777777" w:rsidR="00E64403" w:rsidRDefault="00E64403" w:rsidP="001C11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8D477" w14:textId="20DB3BF6" w:rsidR="006F4E62" w:rsidRDefault="00A26060">
    <w:pPr>
      <w:pStyle w:val="Footer"/>
    </w:pPr>
    <w:r>
      <w:rPr>
        <w:noProof/>
        <w14:ligatures w14:val="standardContextual"/>
      </w:rPr>
      <mc:AlternateContent>
        <mc:Choice Requires="wps">
          <w:drawing>
            <wp:anchor distT="0" distB="0" distL="0" distR="0" simplePos="0" relativeHeight="251659264" behindDoc="0" locked="0" layoutInCell="1" allowOverlap="1" wp14:anchorId="1598082A" wp14:editId="1974B48B">
              <wp:simplePos x="635" y="635"/>
              <wp:positionH relativeFrom="page">
                <wp:align>left</wp:align>
              </wp:positionH>
              <wp:positionV relativeFrom="page">
                <wp:align>bottom</wp:align>
              </wp:positionV>
              <wp:extent cx="443865" cy="443865"/>
              <wp:effectExtent l="0" t="0" r="254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24C153" w14:textId="70197813" w:rsidR="00A26060" w:rsidRPr="00A26060" w:rsidRDefault="00A26060" w:rsidP="00A26060">
                          <w:pPr>
                            <w:spacing w:after="0"/>
                            <w:rPr>
                              <w:rFonts w:eastAsia="Calibri"/>
                              <w:noProof/>
                              <w:color w:val="000000"/>
                            </w:rPr>
                          </w:pPr>
                          <w:r w:rsidRPr="00A26060">
                            <w:rPr>
                              <w:rFonts w:eastAsia="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98082A"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F24C153" w14:textId="70197813" w:rsidR="00A26060" w:rsidRPr="00A26060" w:rsidRDefault="00A26060" w:rsidP="00A26060">
                    <w:pPr>
                      <w:spacing w:after="0"/>
                      <w:rPr>
                        <w:rFonts w:eastAsia="Calibri"/>
                        <w:noProof/>
                        <w:color w:val="000000"/>
                      </w:rPr>
                    </w:pPr>
                    <w:r w:rsidRPr="00A26060">
                      <w:rPr>
                        <w:rFonts w:eastAsia="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2909170"/>
      <w:docPartObj>
        <w:docPartGallery w:val="Page Numbers (Bottom of Page)"/>
        <w:docPartUnique/>
      </w:docPartObj>
    </w:sdtPr>
    <w:sdtEndPr/>
    <w:sdtContent>
      <w:sdt>
        <w:sdtPr>
          <w:id w:val="-1769616900"/>
          <w:docPartObj>
            <w:docPartGallery w:val="Page Numbers (Top of Page)"/>
            <w:docPartUnique/>
          </w:docPartObj>
        </w:sdtPr>
        <w:sdtEndPr/>
        <w:sdtContent>
          <w:p w14:paraId="78B0B523" w14:textId="659FAB96" w:rsidR="00874402" w:rsidRDefault="00874402" w:rsidP="00874402">
            <w:pPr>
              <w:pStyle w:val="Footer"/>
            </w:pPr>
            <w:r>
              <w:rPr>
                <w:noProof/>
              </w:rPr>
              <mc:AlternateContent>
                <mc:Choice Requires="wps">
                  <w:drawing>
                    <wp:anchor distT="45720" distB="45720" distL="114300" distR="114300" simplePos="0" relativeHeight="251663360" behindDoc="0" locked="0" layoutInCell="1" allowOverlap="1" wp14:anchorId="3249054E" wp14:editId="60E48417">
                      <wp:simplePos x="0" y="0"/>
                      <wp:positionH relativeFrom="margin">
                        <wp:posOffset>-138430</wp:posOffset>
                      </wp:positionH>
                      <wp:positionV relativeFrom="paragraph">
                        <wp:posOffset>154305</wp:posOffset>
                      </wp:positionV>
                      <wp:extent cx="4700270" cy="619125"/>
                      <wp:effectExtent l="0" t="0" r="508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0270" cy="619125"/>
                              </a:xfrm>
                              <a:prstGeom prst="rect">
                                <a:avLst/>
                              </a:prstGeom>
                              <a:solidFill>
                                <a:srgbClr val="FFFFFF"/>
                              </a:solidFill>
                              <a:ln w="9525">
                                <a:noFill/>
                                <a:miter lim="800000"/>
                                <a:headEnd/>
                                <a:tailEnd/>
                              </a:ln>
                            </wps:spPr>
                            <wps:txbx>
                              <w:txbxContent>
                                <w:p w14:paraId="47CDD7E7" w14:textId="7B5A3E45" w:rsidR="00874402" w:rsidRPr="00A0234C" w:rsidRDefault="00874402" w:rsidP="00874402">
                                  <w:pPr>
                                    <w:pStyle w:val="Footer"/>
                                    <w:rPr>
                                      <w:rFonts w:ascii="Arial" w:hAnsi="Arial" w:cs="Arial"/>
                                    </w:rPr>
                                  </w:pPr>
                                  <w:r w:rsidRPr="00A0234C">
                                    <w:rPr>
                                      <w:rFonts w:ascii="Arial" w:hAnsi="Arial" w:cs="Arial"/>
                                    </w:rPr>
                                    <w:t>Victorian Government Purchasing Board</w:t>
                                  </w:r>
                                </w:p>
                                <w:p w14:paraId="3DEA706A" w14:textId="65E75E68" w:rsidR="00A0234C" w:rsidRDefault="00A0234C" w:rsidP="00874402">
                                  <w:pPr>
                                    <w:pStyle w:val="Footer"/>
                                    <w:rPr>
                                      <w:rFonts w:ascii="Arial" w:hAnsi="Arial" w:cs="Arial"/>
                                    </w:rPr>
                                  </w:pPr>
                                  <w:r w:rsidRPr="00A0234C">
                                    <w:rPr>
                                      <w:rFonts w:ascii="Arial" w:hAnsi="Arial" w:cs="Arial"/>
                                    </w:rPr>
                                    <w:t>Aggregat</w:t>
                                  </w:r>
                                  <w:r>
                                    <w:rPr>
                                      <w:rFonts w:ascii="Arial" w:hAnsi="Arial" w:cs="Arial"/>
                                    </w:rPr>
                                    <w:t xml:space="preserve">ing demand </w:t>
                                  </w:r>
                                  <w:r w:rsidRPr="00A0234C">
                                    <w:rPr>
                                      <w:rFonts w:ascii="Arial" w:hAnsi="Arial" w:cs="Arial"/>
                                    </w:rPr>
                                    <w:t>– goods and services guide</w:t>
                                  </w:r>
                                </w:p>
                                <w:p w14:paraId="487F0D3E" w14:textId="15A389CE" w:rsidR="00874402" w:rsidRPr="00A0234C" w:rsidRDefault="00A0234C" w:rsidP="00874402">
                                  <w:pPr>
                                    <w:pStyle w:val="Footer"/>
                                    <w:rPr>
                                      <w:rFonts w:ascii="Arial" w:hAnsi="Arial" w:cs="Arial"/>
                                    </w:rPr>
                                  </w:pPr>
                                  <w:r>
                                    <w:rPr>
                                      <w:rFonts w:ascii="Arial" w:hAnsi="Arial" w:cs="Arial"/>
                                    </w:rPr>
                                    <w:t>July</w:t>
                                  </w:r>
                                  <w:r w:rsidR="00874402" w:rsidRPr="00A0234C">
                                    <w:rPr>
                                      <w:rFonts w:ascii="Arial" w:hAnsi="Arial" w:cs="Arial"/>
                                    </w:rPr>
                                    <w:t xml:space="preserve"> 2024</w:t>
                                  </w:r>
                                </w:p>
                                <w:p w14:paraId="516C0604" w14:textId="7BB21EF3" w:rsidR="00874402" w:rsidRDefault="008744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49054E" id="_x0000_t202" coordsize="21600,21600" o:spt="202" path="m,l,21600r21600,l21600,xe">
                      <v:stroke joinstyle="miter"/>
                      <v:path gradientshapeok="t" o:connecttype="rect"/>
                    </v:shapetype>
                    <v:shape id="_x0000_s1027" type="#_x0000_t202" style="position:absolute;margin-left:-10.9pt;margin-top:12.15pt;width:370.1pt;height:48.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" stroked="f">
                      <v:textbox>
                        <w:txbxContent>
                          <w:p w14:paraId="47CDD7E7" w14:textId="7B5A3E45" w:rsidR="00874402" w:rsidRPr="00A0234C" w:rsidRDefault="00874402" w:rsidP="00874402">
                            <w:pPr>
                              <w:pStyle w:val="Footer"/>
                              <w:rPr>
                                <w:rFonts w:ascii="Arial" w:hAnsi="Arial" w:cs="Arial"/>
                              </w:rPr>
                            </w:pPr>
                            <w:r w:rsidRPr="00A0234C">
                              <w:rPr>
                                <w:rFonts w:ascii="Arial" w:hAnsi="Arial" w:cs="Arial"/>
                              </w:rPr>
                              <w:t>Victorian Government Purchasing Board</w:t>
                            </w:r>
                          </w:p>
                          <w:p w14:paraId="3DEA706A" w14:textId="65E75E68" w:rsidR="00A0234C" w:rsidRDefault="00A0234C" w:rsidP="00874402">
                            <w:pPr>
                              <w:pStyle w:val="Footer"/>
                              <w:rPr>
                                <w:rFonts w:ascii="Arial" w:hAnsi="Arial" w:cs="Arial"/>
                              </w:rPr>
                            </w:pPr>
                            <w:r w:rsidRPr="00A0234C">
                              <w:rPr>
                                <w:rFonts w:ascii="Arial" w:hAnsi="Arial" w:cs="Arial"/>
                              </w:rPr>
                              <w:t>Aggregat</w:t>
                            </w:r>
                            <w:r>
                              <w:rPr>
                                <w:rFonts w:ascii="Arial" w:hAnsi="Arial" w:cs="Arial"/>
                              </w:rPr>
                              <w:t xml:space="preserve">ing demand </w:t>
                            </w:r>
                            <w:r w:rsidRPr="00A0234C">
                              <w:rPr>
                                <w:rFonts w:ascii="Arial" w:hAnsi="Arial" w:cs="Arial"/>
                              </w:rPr>
                              <w:t>– goods and services guide</w:t>
                            </w:r>
                          </w:p>
                          <w:p w14:paraId="487F0D3E" w14:textId="15A389CE" w:rsidR="00874402" w:rsidRPr="00A0234C" w:rsidRDefault="00A0234C" w:rsidP="00874402">
                            <w:pPr>
                              <w:pStyle w:val="Footer"/>
                              <w:rPr>
                                <w:rFonts w:ascii="Arial" w:hAnsi="Arial" w:cs="Arial"/>
                              </w:rPr>
                            </w:pPr>
                            <w:r>
                              <w:rPr>
                                <w:rFonts w:ascii="Arial" w:hAnsi="Arial" w:cs="Arial"/>
                              </w:rPr>
                              <w:t>July</w:t>
                            </w:r>
                            <w:r w:rsidR="00874402" w:rsidRPr="00A0234C">
                              <w:rPr>
                                <w:rFonts w:ascii="Arial" w:hAnsi="Arial" w:cs="Arial"/>
                              </w:rPr>
                              <w:t xml:space="preserve"> 2024</w:t>
                            </w:r>
                          </w:p>
                          <w:p w14:paraId="516C0604" w14:textId="7BB21EF3" w:rsidR="00874402" w:rsidRDefault="00874402"/>
                        </w:txbxContent>
                      </v:textbox>
                      <w10:wrap type="square" anchorx="margin"/>
                    </v:shape>
                  </w:pict>
                </mc:Fallback>
              </mc:AlternateContent>
            </w:r>
          </w:p>
          <w:p w14:paraId="2B5CDC13" w14:textId="434FC0AE" w:rsidR="00874402" w:rsidRDefault="00874402" w:rsidP="00874402">
            <w:pPr>
              <w:pStyle w:val="Footer"/>
            </w:pPr>
          </w:p>
          <w:p w14:paraId="7579CE26" w14:textId="00A958F8" w:rsidR="00874402" w:rsidRDefault="0087440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515B69C" w14:textId="4239B17E" w:rsidR="006F4E62" w:rsidRPr="00A0234C" w:rsidRDefault="00874402">
    <w:pPr>
      <w:pStyle w:val="Footer"/>
      <w:rPr>
        <w:rFonts w:ascii="Arial" w:hAnsi="Arial" w:cs="Arial"/>
      </w:rPr>
    </w:pPr>
    <w:r w:rsidRPr="00A0234C">
      <w:rPr>
        <w:rFonts w:ascii="Arial" w:hAnsi="Arial" w:cs="Arial"/>
        <w:noProof/>
      </w:rPr>
      <mc:AlternateContent>
        <mc:Choice Requires="wps">
          <w:drawing>
            <wp:anchor distT="0" distB="0" distL="114300" distR="114300" simplePos="0" relativeHeight="251661312" behindDoc="0" locked="0" layoutInCell="0" allowOverlap="1" wp14:anchorId="1ACBA520" wp14:editId="45343C8F">
              <wp:simplePos x="0" y="0"/>
              <wp:positionH relativeFrom="page">
                <wp:posOffset>14287</wp:posOffset>
              </wp:positionH>
              <wp:positionV relativeFrom="page">
                <wp:posOffset>10381297</wp:posOffset>
              </wp:positionV>
              <wp:extent cx="960375" cy="214552"/>
              <wp:effectExtent l="0" t="0" r="0" b="14605"/>
              <wp:wrapNone/>
              <wp:docPr id="4" name="MSIPCMcd054bbbbc31af7246b4272f"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960375" cy="214552"/>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ECDC73" w14:textId="77777777" w:rsidR="00874402" w:rsidRPr="004B4FCC" w:rsidRDefault="00874402" w:rsidP="00874402">
                          <w:pPr>
                            <w:spacing w:after="0"/>
                            <w:rPr>
                              <w:color w:val="000000"/>
                            </w:rPr>
                          </w:pPr>
                          <w:r w:rsidRPr="004B4FCC">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BA520" id="MSIPCMcd054bbbbc31af7246b4272f" o:spid="_x0000_s1028" type="#_x0000_t202" alt="{&quot;HashCode&quot;:-1267603503,&quot;Height&quot;:841.0,&quot;Width&quot;:595.0,&quot;Placement&quot;:&quot;Footer&quot;,&quot;Index&quot;:&quot;Primary&quot;,&quot;Section&quot;:1,&quot;Top&quot;:0.0,&quot;Left&quot;:0.0}" style="position:absolute;margin-left:1.1pt;margin-top:817.4pt;width:75.6pt;height:16.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" o:allowincell="f" filled="f" stroked="f" strokeweight=".5pt">
              <v:textbox inset="20pt,0,,0">
                <w:txbxContent>
                  <w:p w14:paraId="5BECDC73" w14:textId="77777777" w:rsidR="00874402" w:rsidRPr="004B4FCC" w:rsidRDefault="00874402" w:rsidP="00874402">
                    <w:pPr>
                      <w:spacing w:after="0"/>
                      <w:rPr>
                        <w:color w:val="000000"/>
                      </w:rPr>
                    </w:pPr>
                    <w:r w:rsidRPr="004B4FCC">
                      <w:rPr>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E7615" w14:textId="78ABEEFF" w:rsidR="006F4E62" w:rsidRDefault="00A26060">
    <w:pPr>
      <w:pStyle w:val="Footer"/>
    </w:pPr>
    <w:r>
      <w:rPr>
        <w:noProof/>
        <w14:ligatures w14:val="standardContextual"/>
      </w:rPr>
      <mc:AlternateContent>
        <mc:Choice Requires="wps">
          <w:drawing>
            <wp:anchor distT="0" distB="0" distL="0" distR="0" simplePos="0" relativeHeight="251658240" behindDoc="0" locked="0" layoutInCell="1" allowOverlap="1" wp14:anchorId="76FCA93D" wp14:editId="122319C8">
              <wp:simplePos x="635" y="635"/>
              <wp:positionH relativeFrom="page">
                <wp:align>left</wp:align>
              </wp:positionH>
              <wp:positionV relativeFrom="page">
                <wp:align>bottom</wp:align>
              </wp:positionV>
              <wp:extent cx="443865" cy="443865"/>
              <wp:effectExtent l="0" t="0" r="254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53D3D3" w14:textId="4FF2439B" w:rsidR="00A26060" w:rsidRPr="00A26060" w:rsidRDefault="00A26060" w:rsidP="00A26060">
                          <w:pPr>
                            <w:spacing w:after="0"/>
                            <w:rPr>
                              <w:rFonts w:eastAsia="Calibri"/>
                              <w:noProof/>
                              <w:color w:val="000000"/>
                            </w:rPr>
                          </w:pPr>
                          <w:r w:rsidRPr="00A26060">
                            <w:rPr>
                              <w:rFonts w:eastAsia="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FCA93D"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6953D3D3" w14:textId="4FF2439B" w:rsidR="00A26060" w:rsidRPr="00A26060" w:rsidRDefault="00A26060" w:rsidP="00A26060">
                    <w:pPr>
                      <w:spacing w:after="0"/>
                      <w:rPr>
                        <w:rFonts w:eastAsia="Calibri"/>
                        <w:noProof/>
                        <w:color w:val="000000"/>
                      </w:rPr>
                    </w:pPr>
                    <w:r w:rsidRPr="00A26060">
                      <w:rPr>
                        <w:rFonts w:eastAsia="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DCE13" w14:textId="77777777" w:rsidR="00E64403" w:rsidRDefault="00E64403" w:rsidP="001C115E">
      <w:pPr>
        <w:spacing w:before="0" w:after="0" w:line="240" w:lineRule="auto"/>
      </w:pPr>
      <w:r>
        <w:separator/>
      </w:r>
    </w:p>
  </w:footnote>
  <w:footnote w:type="continuationSeparator" w:id="0">
    <w:p w14:paraId="417BCDC9" w14:textId="77777777" w:rsidR="00E64403" w:rsidRDefault="00E64403" w:rsidP="001C115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3B51D" w14:textId="77777777" w:rsidR="00F12471" w:rsidRDefault="00F12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D39BA" w14:textId="7263B630" w:rsidR="00874402" w:rsidRPr="00A0234C" w:rsidRDefault="00874402" w:rsidP="00874402">
    <w:pPr>
      <w:pStyle w:val="Header"/>
      <w:ind w:left="5040"/>
      <w:rPr>
        <w:rFonts w:ascii="Arial" w:hAnsi="Arial" w:cs="Arial"/>
      </w:rPr>
    </w:pPr>
    <w:r w:rsidRPr="00A0234C">
      <w:rPr>
        <w:rFonts w:ascii="Arial" w:hAnsi="Arial" w:cs="Arial"/>
        <w:color w:val="000000"/>
      </w:rPr>
      <w:t xml:space="preserve">   </w:t>
    </w:r>
    <w:r w:rsidRPr="00A0234C">
      <w:rPr>
        <w:rFonts w:ascii="Arial" w:hAnsi="Arial" w:cs="Arial"/>
        <w:color w:val="000000"/>
      </w:rPr>
      <w:br/>
      <w:t xml:space="preserve">      Department of Government Services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BA403" w14:textId="77777777" w:rsidR="00F12471" w:rsidRDefault="00F12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111AA"/>
    <w:multiLevelType w:val="hybridMultilevel"/>
    <w:tmpl w:val="AE6C0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FE4296"/>
    <w:multiLevelType w:val="hybridMultilevel"/>
    <w:tmpl w:val="910E7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2E3187"/>
    <w:multiLevelType w:val="hybridMultilevel"/>
    <w:tmpl w:val="EFA2C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C33183"/>
    <w:multiLevelType w:val="hybridMultilevel"/>
    <w:tmpl w:val="5C209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555787"/>
    <w:multiLevelType w:val="hybridMultilevel"/>
    <w:tmpl w:val="EB1C2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8D734F"/>
    <w:multiLevelType w:val="hybridMultilevel"/>
    <w:tmpl w:val="F1FE2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5D0791"/>
    <w:multiLevelType w:val="hybridMultilevel"/>
    <w:tmpl w:val="02D04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A263E2"/>
    <w:multiLevelType w:val="hybridMultilevel"/>
    <w:tmpl w:val="25FA4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EF7A30"/>
    <w:multiLevelType w:val="hybridMultilevel"/>
    <w:tmpl w:val="B9881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5326C1"/>
    <w:multiLevelType w:val="hybridMultilevel"/>
    <w:tmpl w:val="D8D27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5660673">
    <w:abstractNumId w:val="10"/>
  </w:num>
  <w:num w:numId="2" w16cid:durableId="1058627626">
    <w:abstractNumId w:val="9"/>
  </w:num>
  <w:num w:numId="3" w16cid:durableId="1818646193">
    <w:abstractNumId w:val="5"/>
  </w:num>
  <w:num w:numId="4" w16cid:durableId="351774">
    <w:abstractNumId w:val="6"/>
  </w:num>
  <w:num w:numId="5" w16cid:durableId="2017415444">
    <w:abstractNumId w:val="0"/>
  </w:num>
  <w:num w:numId="6" w16cid:durableId="664289147">
    <w:abstractNumId w:val="2"/>
  </w:num>
  <w:num w:numId="7" w16cid:durableId="130172190">
    <w:abstractNumId w:val="8"/>
  </w:num>
  <w:num w:numId="8" w16cid:durableId="1113598419">
    <w:abstractNumId w:val="1"/>
  </w:num>
  <w:num w:numId="9" w16cid:durableId="1367096647">
    <w:abstractNumId w:val="3"/>
  </w:num>
  <w:num w:numId="10" w16cid:durableId="61877813">
    <w:abstractNumId w:val="4"/>
  </w:num>
  <w:num w:numId="11" w16cid:durableId="18076231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15E"/>
    <w:rsid w:val="000360B7"/>
    <w:rsid w:val="00045F4A"/>
    <w:rsid w:val="0004690B"/>
    <w:rsid w:val="000E3C0C"/>
    <w:rsid w:val="000F1A34"/>
    <w:rsid w:val="000F4904"/>
    <w:rsid w:val="0016000A"/>
    <w:rsid w:val="001A2DAD"/>
    <w:rsid w:val="001C115E"/>
    <w:rsid w:val="001C5CAD"/>
    <w:rsid w:val="001C762B"/>
    <w:rsid w:val="002229C0"/>
    <w:rsid w:val="002379F7"/>
    <w:rsid w:val="00241D4E"/>
    <w:rsid w:val="002C1CAC"/>
    <w:rsid w:val="002F07CF"/>
    <w:rsid w:val="00331EE4"/>
    <w:rsid w:val="004562D8"/>
    <w:rsid w:val="004A5511"/>
    <w:rsid w:val="00544009"/>
    <w:rsid w:val="005A55C1"/>
    <w:rsid w:val="005D7FE6"/>
    <w:rsid w:val="005F3610"/>
    <w:rsid w:val="005F601D"/>
    <w:rsid w:val="00666A83"/>
    <w:rsid w:val="00692878"/>
    <w:rsid w:val="006F4E62"/>
    <w:rsid w:val="0073190A"/>
    <w:rsid w:val="0078197B"/>
    <w:rsid w:val="007977D9"/>
    <w:rsid w:val="007E0612"/>
    <w:rsid w:val="008634AB"/>
    <w:rsid w:val="00867CFF"/>
    <w:rsid w:val="00874402"/>
    <w:rsid w:val="00882C59"/>
    <w:rsid w:val="008959CA"/>
    <w:rsid w:val="008B707A"/>
    <w:rsid w:val="00993594"/>
    <w:rsid w:val="00995775"/>
    <w:rsid w:val="009B0C41"/>
    <w:rsid w:val="009F15D3"/>
    <w:rsid w:val="00A0234C"/>
    <w:rsid w:val="00A26060"/>
    <w:rsid w:val="00A328E8"/>
    <w:rsid w:val="00AD78ED"/>
    <w:rsid w:val="00B067CF"/>
    <w:rsid w:val="00B84524"/>
    <w:rsid w:val="00BA6DAD"/>
    <w:rsid w:val="00C13252"/>
    <w:rsid w:val="00CC438E"/>
    <w:rsid w:val="00CD3B08"/>
    <w:rsid w:val="00D16969"/>
    <w:rsid w:val="00D54A1C"/>
    <w:rsid w:val="00DA5475"/>
    <w:rsid w:val="00DC468E"/>
    <w:rsid w:val="00DC4D39"/>
    <w:rsid w:val="00E52B17"/>
    <w:rsid w:val="00E64403"/>
    <w:rsid w:val="00E92F55"/>
    <w:rsid w:val="00E93FE9"/>
    <w:rsid w:val="00EA61DF"/>
    <w:rsid w:val="00F12471"/>
    <w:rsid w:val="00F136BE"/>
    <w:rsid w:val="00F37D75"/>
    <w:rsid w:val="00FE0EF2"/>
    <w:rsid w:val="00FE18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182BF"/>
  <w15:chartTrackingRefBased/>
  <w15:docId w15:val="{5C747103-0E23-4645-B410-670DF438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15E"/>
    <w:pPr>
      <w:spacing w:before="100" w:after="100" w:line="260" w:lineRule="atLeast"/>
    </w:pPr>
    <w:rPr>
      <w:rFonts w:ascii="Calibri" w:eastAsia="Times New Roman" w:hAnsi="Calibri" w:cs="Calibri"/>
      <w:kern w:val="0"/>
      <w:lang w:eastAsia="en-AU"/>
      <w14:ligatures w14:val="none"/>
    </w:rPr>
  </w:style>
  <w:style w:type="paragraph" w:styleId="Heading1">
    <w:name w:val="heading 1"/>
    <w:basedOn w:val="Normal"/>
    <w:next w:val="Normal"/>
    <w:link w:val="Heading1Char"/>
    <w:uiPriority w:val="3"/>
    <w:qFormat/>
    <w:rsid w:val="001C115E"/>
    <w:pPr>
      <w:keepNext/>
      <w:spacing w:before="200" w:after="120" w:line="240" w:lineRule="auto"/>
      <w:outlineLvl w:val="0"/>
    </w:pPr>
    <w:rPr>
      <w:color w:val="4D4D4D"/>
      <w:sz w:val="34"/>
      <w:lang w:eastAsia="en-US"/>
    </w:rPr>
  </w:style>
  <w:style w:type="paragraph" w:styleId="Heading2">
    <w:name w:val="heading 2"/>
    <w:basedOn w:val="Normal"/>
    <w:next w:val="Normal"/>
    <w:link w:val="Heading2Char"/>
    <w:uiPriority w:val="3"/>
    <w:qFormat/>
    <w:rsid w:val="001C115E"/>
    <w:pPr>
      <w:keepNext/>
      <w:spacing w:before="120" w:after="120" w:line="240" w:lineRule="auto"/>
      <w:outlineLvl w:val="1"/>
    </w:pPr>
    <w:rPr>
      <w:b/>
      <w:color w:val="4D4D4D"/>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1C115E"/>
    <w:rPr>
      <w:rFonts w:ascii="Calibri" w:eastAsia="Times New Roman" w:hAnsi="Calibri" w:cs="Calibri"/>
      <w:color w:val="4D4D4D"/>
      <w:kern w:val="0"/>
      <w:sz w:val="34"/>
      <w14:ligatures w14:val="none"/>
    </w:rPr>
  </w:style>
  <w:style w:type="character" w:customStyle="1" w:styleId="Heading2Char">
    <w:name w:val="Heading 2 Char"/>
    <w:basedOn w:val="DefaultParagraphFont"/>
    <w:link w:val="Heading2"/>
    <w:uiPriority w:val="3"/>
    <w:rsid w:val="001C115E"/>
    <w:rPr>
      <w:rFonts w:ascii="Calibri" w:eastAsia="Times New Roman" w:hAnsi="Calibri" w:cs="Calibri"/>
      <w:b/>
      <w:color w:val="4D4D4D"/>
      <w:kern w:val="0"/>
      <w:sz w:val="28"/>
      <w14:ligatures w14:val="none"/>
    </w:rPr>
  </w:style>
  <w:style w:type="character" w:styleId="CommentReference">
    <w:name w:val="annotation reference"/>
    <w:uiPriority w:val="99"/>
    <w:semiHidden/>
    <w:rsid w:val="001C115E"/>
    <w:rPr>
      <w:rFonts w:ascii="Calibri" w:hAnsi="Calibri"/>
      <w:sz w:val="16"/>
    </w:rPr>
  </w:style>
  <w:style w:type="paragraph" w:styleId="CommentText">
    <w:name w:val="annotation text"/>
    <w:basedOn w:val="Normal"/>
    <w:link w:val="CommentTextChar"/>
    <w:uiPriority w:val="99"/>
    <w:rsid w:val="001C115E"/>
  </w:style>
  <w:style w:type="character" w:customStyle="1" w:styleId="CommentTextChar">
    <w:name w:val="Comment Text Char"/>
    <w:basedOn w:val="DefaultParagraphFont"/>
    <w:link w:val="CommentText"/>
    <w:uiPriority w:val="99"/>
    <w:rsid w:val="001C115E"/>
    <w:rPr>
      <w:rFonts w:ascii="Calibri" w:eastAsia="Times New Roman" w:hAnsi="Calibri" w:cs="Calibri"/>
      <w:kern w:val="0"/>
      <w:lang w:eastAsia="en-AU"/>
      <w14:ligatures w14:val="none"/>
    </w:rPr>
  </w:style>
  <w:style w:type="character" w:styleId="Hyperlink">
    <w:name w:val="Hyperlink"/>
    <w:uiPriority w:val="99"/>
    <w:semiHidden/>
    <w:rsid w:val="001C115E"/>
    <w:rPr>
      <w:color w:val="660B68"/>
      <w:u w:val="none"/>
    </w:rPr>
  </w:style>
  <w:style w:type="paragraph" w:styleId="NormalWeb">
    <w:name w:val="Normal (Web)"/>
    <w:basedOn w:val="Normal"/>
    <w:uiPriority w:val="99"/>
    <w:rsid w:val="001C115E"/>
    <w:rPr>
      <w:sz w:val="24"/>
      <w:szCs w:val="24"/>
    </w:rPr>
  </w:style>
  <w:style w:type="paragraph" w:styleId="ListParagraph">
    <w:name w:val="List Paragraph"/>
    <w:basedOn w:val="Normal"/>
    <w:uiPriority w:val="34"/>
    <w:qFormat/>
    <w:rsid w:val="001C115E"/>
    <w:pPr>
      <w:ind w:left="720"/>
      <w:contextualSpacing/>
    </w:pPr>
  </w:style>
  <w:style w:type="character" w:customStyle="1" w:styleId="rpl-text-label">
    <w:name w:val="rpl-text-label"/>
    <w:basedOn w:val="DefaultParagraphFont"/>
    <w:rsid w:val="001C115E"/>
  </w:style>
  <w:style w:type="paragraph" w:customStyle="1" w:styleId="rpl-updated-date">
    <w:name w:val="rpl-updated-date"/>
    <w:basedOn w:val="Normal"/>
    <w:rsid w:val="001C115E"/>
    <w:pPr>
      <w:spacing w:beforeAutospacing="1" w:afterAutospacing="1" w:line="240" w:lineRule="auto"/>
    </w:pPr>
    <w:rPr>
      <w:rFonts w:ascii="Times New Roman" w:hAnsi="Times New Roman" w:cs="Times New Roman"/>
      <w:sz w:val="24"/>
      <w:szCs w:val="24"/>
    </w:rPr>
  </w:style>
  <w:style w:type="paragraph" w:styleId="Header">
    <w:name w:val="header"/>
    <w:basedOn w:val="Normal"/>
    <w:link w:val="HeaderChar"/>
    <w:uiPriority w:val="24"/>
    <w:unhideWhenUsed/>
    <w:rsid w:val="001C115E"/>
    <w:pPr>
      <w:tabs>
        <w:tab w:val="center" w:pos="4513"/>
        <w:tab w:val="right" w:pos="9026"/>
      </w:tabs>
      <w:spacing w:before="0" w:after="0" w:line="240" w:lineRule="auto"/>
    </w:pPr>
  </w:style>
  <w:style w:type="character" w:customStyle="1" w:styleId="HeaderChar">
    <w:name w:val="Header Char"/>
    <w:basedOn w:val="DefaultParagraphFont"/>
    <w:link w:val="Header"/>
    <w:uiPriority w:val="24"/>
    <w:rsid w:val="001C115E"/>
    <w:rPr>
      <w:rFonts w:ascii="Calibri" w:eastAsia="Times New Roman" w:hAnsi="Calibri" w:cs="Calibri"/>
      <w:kern w:val="0"/>
      <w:lang w:eastAsia="en-AU"/>
      <w14:ligatures w14:val="none"/>
    </w:rPr>
  </w:style>
  <w:style w:type="paragraph" w:styleId="Footer">
    <w:name w:val="footer"/>
    <w:basedOn w:val="Normal"/>
    <w:link w:val="FooterChar"/>
    <w:uiPriority w:val="99"/>
    <w:unhideWhenUsed/>
    <w:rsid w:val="001C115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C115E"/>
    <w:rPr>
      <w:rFonts w:ascii="Calibri" w:eastAsia="Times New Roman" w:hAnsi="Calibri" w:cs="Calibri"/>
      <w:kern w:val="0"/>
      <w:lang w:eastAsia="en-AU"/>
      <w14:ligatures w14:val="none"/>
    </w:rPr>
  </w:style>
  <w:style w:type="paragraph" w:styleId="Revision">
    <w:name w:val="Revision"/>
    <w:hidden/>
    <w:uiPriority w:val="99"/>
    <w:semiHidden/>
    <w:rsid w:val="00CC438E"/>
    <w:pPr>
      <w:spacing w:after="0" w:line="240" w:lineRule="auto"/>
    </w:pPr>
    <w:rPr>
      <w:rFonts w:ascii="Calibri" w:eastAsia="Times New Roman" w:hAnsi="Calibri" w:cs="Calibri"/>
      <w:kern w:val="0"/>
      <w:lang w:eastAsia="en-AU"/>
      <w14:ligatures w14:val="none"/>
    </w:rPr>
  </w:style>
  <w:style w:type="paragraph" w:styleId="CommentSubject">
    <w:name w:val="annotation subject"/>
    <w:basedOn w:val="CommentText"/>
    <w:next w:val="CommentText"/>
    <w:link w:val="CommentSubjectChar"/>
    <w:uiPriority w:val="99"/>
    <w:semiHidden/>
    <w:unhideWhenUsed/>
    <w:rsid w:val="00045F4A"/>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045F4A"/>
    <w:rPr>
      <w:rFonts w:ascii="Calibri" w:eastAsia="Times New Roman" w:hAnsi="Calibri" w:cs="Calibri"/>
      <w:b/>
      <w:bCs/>
      <w:kern w:val="0"/>
      <w:sz w:val="20"/>
      <w:szCs w:val="20"/>
      <w:lang w:eastAsia="en-AU"/>
      <w14:ligatures w14:val="none"/>
    </w:rPr>
  </w:style>
  <w:style w:type="character" w:styleId="UnresolvedMention">
    <w:name w:val="Unresolved Mention"/>
    <w:basedOn w:val="DefaultParagraphFont"/>
    <w:uiPriority w:val="99"/>
    <w:semiHidden/>
    <w:unhideWhenUsed/>
    <w:rsid w:val="00FE1846"/>
    <w:rPr>
      <w:color w:val="605E5C"/>
      <w:shd w:val="clear" w:color="auto" w:fill="E1DFDD"/>
    </w:rPr>
  </w:style>
  <w:style w:type="character" w:styleId="FollowedHyperlink">
    <w:name w:val="FollowedHyperlink"/>
    <w:basedOn w:val="DefaultParagraphFont"/>
    <w:uiPriority w:val="99"/>
    <w:semiHidden/>
    <w:unhideWhenUsed/>
    <w:rsid w:val="00FE18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yingfor.vic.gov.au/goods-services-supply-policies"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creativecommons.org/licenses/by/3.0/a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yingfor.vic.gov.au/contact" TargetMode="External"/><Relationship Id="rId5" Type="http://schemas.openxmlformats.org/officeDocument/2006/relationships/webSettings" Target="webSettings.xml"/><Relationship Id="rId15" Type="http://schemas.openxmlformats.org/officeDocument/2006/relationships/hyperlink" Target="mailto:IPpolicy@dtf.vic.gov.au" TargetMode="External"/><Relationship Id="rId23" Type="http://schemas.openxmlformats.org/officeDocument/2006/relationships/theme" Target="theme/theme1.xml"/><Relationship Id="rId10" Type="http://schemas.openxmlformats.org/officeDocument/2006/relationships/hyperlink" Target="https://www.buyingfor.vic.gov.au/Aggregate-demand-goods-and-services-guide-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buyingfor.vic.gov.au/market-analysis-and-review-policy" TargetMode="External"/><Relationship Id="rId14" Type="http://schemas.openxmlformats.org/officeDocument/2006/relationships/hyperlink" Target="http://creativecommons.org/licenses/by/4.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A37CF1A-0E61-47A7-9799-81BAFE85DA5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727</Words>
  <Characters>4068</Characters>
  <Application>Microsoft Office Word</Application>
  <DocSecurity>0</DocSecurity>
  <Lines>88</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Taylor (DGS)</dc:creator>
  <cp:keywords/>
  <dc:description/>
  <cp:lastModifiedBy>Tharushi Liyanaarachchi (DGS)</cp:lastModifiedBy>
  <cp:revision>4</cp:revision>
  <dcterms:created xsi:type="dcterms:W3CDTF">2024-09-04T23:05:00Z</dcterms:created>
  <dcterms:modified xsi:type="dcterms:W3CDTF">2024-09-04T23:07:00Z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2024-02-01T11:37:09Z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17290345-c59f-4eb6-bae5-aea77367d065</vt:lpwstr>
  </property>
  <property fmtid="{D5CDD505-2E9C-101B-9397-08002B2CF9AE}" pid="11" name="MSIP_Label_7158ebbd-6c5e-441f-bfc9-4eb8c11e3978_ContentBits">
    <vt:lpwstr>2</vt:lpwstr>
  </property>
</Properties>
</file>