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3A30A" w14:textId="36193077" w:rsidR="00EE077A" w:rsidRPr="00384F17" w:rsidRDefault="00EE077A" w:rsidP="00EE077A">
      <w:pPr>
        <w:pStyle w:val="Heading1"/>
        <w:spacing w:before="120" w:line="259" w:lineRule="auto"/>
        <w:rPr>
          <w:rFonts w:ascii="Arial" w:hAnsi="Arial" w:cs="Arial"/>
          <w:b/>
          <w:color w:val="381F6A"/>
          <w:sz w:val="32"/>
          <w:szCs w:val="32"/>
        </w:rPr>
      </w:pPr>
      <w:bookmarkStart w:id="0" w:name="_Hlk157613544"/>
      <w:r w:rsidRPr="00384F17">
        <w:rPr>
          <w:rFonts w:ascii="Arial" w:hAnsi="Arial" w:cs="Arial"/>
          <w:b/>
          <w:color w:val="381F6A"/>
          <w:sz w:val="36"/>
          <w:szCs w:val="36"/>
        </w:rPr>
        <w:t xml:space="preserve">Structuring </w:t>
      </w:r>
      <w:r>
        <w:rPr>
          <w:rFonts w:ascii="Arial" w:hAnsi="Arial" w:cs="Arial"/>
          <w:b/>
          <w:color w:val="381F6A"/>
          <w:sz w:val="36"/>
          <w:szCs w:val="36"/>
        </w:rPr>
        <w:t>state purchase contracts and other procurement arrangements</w:t>
      </w:r>
      <w:r w:rsidR="00F62E13">
        <w:rPr>
          <w:rFonts w:ascii="Arial" w:hAnsi="Arial" w:cs="Arial"/>
          <w:b/>
          <w:color w:val="381F6A"/>
          <w:sz w:val="36"/>
          <w:szCs w:val="36"/>
        </w:rPr>
        <w:t xml:space="preserve">: </w:t>
      </w:r>
      <w:r w:rsidR="001B63DF">
        <w:rPr>
          <w:rFonts w:ascii="Arial" w:hAnsi="Arial" w:cs="Arial"/>
          <w:b/>
          <w:color w:val="381F6A"/>
          <w:sz w:val="36"/>
          <w:szCs w:val="36"/>
        </w:rPr>
        <w:t>G</w:t>
      </w:r>
      <w:r w:rsidRPr="00384F17">
        <w:rPr>
          <w:rFonts w:ascii="Arial" w:hAnsi="Arial" w:cs="Arial"/>
          <w:b/>
          <w:color w:val="381F6A"/>
          <w:sz w:val="36"/>
          <w:szCs w:val="36"/>
        </w:rPr>
        <w:t>oods and services guide</w:t>
      </w:r>
    </w:p>
    <w:p w14:paraId="67B2B050" w14:textId="77777777" w:rsidR="00EE077A" w:rsidRPr="00CC429F" w:rsidRDefault="00EE077A" w:rsidP="00EE077A">
      <w:pPr>
        <w:pStyle w:val="Heading1"/>
        <w:spacing w:before="120" w:line="259" w:lineRule="auto"/>
        <w:rPr>
          <w:rFonts w:ascii="Arial" w:hAnsi="Arial" w:cs="Arial"/>
          <w:bCs/>
          <w:color w:val="auto"/>
          <w:sz w:val="22"/>
        </w:rPr>
      </w:pPr>
      <w:r w:rsidRPr="00CC429F">
        <w:rPr>
          <w:rFonts w:ascii="Arial" w:hAnsi="Arial" w:cs="Arial"/>
          <w:bCs/>
          <w:color w:val="auto"/>
          <w:sz w:val="22"/>
        </w:rPr>
        <w:t xml:space="preserve">Find out </w:t>
      </w:r>
      <w:r>
        <w:rPr>
          <w:rFonts w:ascii="Arial" w:hAnsi="Arial" w:cs="Arial"/>
          <w:bCs/>
          <w:color w:val="auto"/>
          <w:sz w:val="22"/>
        </w:rPr>
        <w:t>the various ways that organisations</w:t>
      </w:r>
      <w:r w:rsidRPr="00CC429F">
        <w:rPr>
          <w:rFonts w:ascii="Arial" w:hAnsi="Arial" w:cs="Arial"/>
          <w:bCs/>
          <w:color w:val="auto"/>
          <w:sz w:val="22"/>
        </w:rPr>
        <w:t xml:space="preserve"> can </w:t>
      </w:r>
      <w:r>
        <w:rPr>
          <w:rFonts w:ascii="Arial" w:hAnsi="Arial" w:cs="Arial"/>
          <w:bCs/>
          <w:color w:val="auto"/>
          <w:sz w:val="22"/>
        </w:rPr>
        <w:t>structure a procurement arrangement</w:t>
      </w:r>
    </w:p>
    <w:p w14:paraId="4D22ECAA" w14:textId="77777777" w:rsidR="00EE077A" w:rsidRPr="00E76FD2" w:rsidRDefault="00EE077A" w:rsidP="00EE077A">
      <w:pPr>
        <w:pStyle w:val="Heading1"/>
        <w:spacing w:before="120" w:line="259" w:lineRule="auto"/>
        <w:rPr>
          <w:rFonts w:ascii="Arial" w:hAnsi="Arial" w:cs="Arial"/>
          <w:b/>
          <w:color w:val="381F6A"/>
          <w:sz w:val="2"/>
          <w:szCs w:val="2"/>
        </w:rPr>
      </w:pPr>
    </w:p>
    <w:p w14:paraId="4FDE1C69" w14:textId="77777777" w:rsidR="00EE077A" w:rsidRPr="0040392A" w:rsidRDefault="00EE077A" w:rsidP="00EE077A">
      <w:pPr>
        <w:pStyle w:val="Heading1"/>
        <w:spacing w:before="120" w:line="259" w:lineRule="auto"/>
        <w:rPr>
          <w:rFonts w:ascii="Arial" w:hAnsi="Arial" w:cs="Arial"/>
          <w:b/>
          <w:color w:val="381F6A"/>
          <w:sz w:val="28"/>
          <w:szCs w:val="28"/>
        </w:rPr>
      </w:pPr>
      <w:r w:rsidRPr="0040392A">
        <w:rPr>
          <w:rFonts w:ascii="Arial" w:hAnsi="Arial" w:cs="Arial"/>
          <w:b/>
          <w:color w:val="381F6A"/>
          <w:sz w:val="28"/>
          <w:szCs w:val="28"/>
        </w:rPr>
        <w:t>On this page:</w:t>
      </w:r>
    </w:p>
    <w:p w14:paraId="16F4BC24" w14:textId="533FCAAD" w:rsidR="00EE077A" w:rsidRPr="001D75D5" w:rsidRDefault="00F753A1" w:rsidP="00127A56">
      <w:pPr>
        <w:pStyle w:val="Heading1"/>
        <w:numPr>
          <w:ilvl w:val="0"/>
          <w:numId w:val="13"/>
        </w:numPr>
        <w:tabs>
          <w:tab w:val="num" w:pos="360"/>
        </w:tabs>
        <w:spacing w:before="120" w:line="259" w:lineRule="auto"/>
        <w:ind w:left="714" w:hanging="357"/>
        <w:rPr>
          <w:rFonts w:ascii="Arial" w:hAnsi="Arial" w:cs="Arial"/>
          <w:bCs/>
          <w:color w:val="auto"/>
          <w:sz w:val="22"/>
        </w:rPr>
      </w:pPr>
      <w:r>
        <w:rPr>
          <w:rFonts w:ascii="Arial" w:hAnsi="Arial" w:cs="Arial"/>
          <w:bCs/>
          <w:color w:val="auto"/>
          <w:sz w:val="22"/>
        </w:rPr>
        <w:t>Procurement arrangements include standing offers and registers</w:t>
      </w:r>
    </w:p>
    <w:p w14:paraId="5297C214" w14:textId="0E921A0A" w:rsidR="006A351E" w:rsidRDefault="006A351E" w:rsidP="00127A56">
      <w:pPr>
        <w:pStyle w:val="Heading1"/>
        <w:numPr>
          <w:ilvl w:val="0"/>
          <w:numId w:val="13"/>
        </w:numPr>
        <w:tabs>
          <w:tab w:val="num" w:pos="360"/>
        </w:tabs>
        <w:spacing w:before="120" w:line="259" w:lineRule="auto"/>
        <w:ind w:left="714" w:hanging="357"/>
        <w:rPr>
          <w:rFonts w:ascii="Arial" w:hAnsi="Arial" w:cs="Arial"/>
          <w:bCs/>
          <w:color w:val="auto"/>
          <w:sz w:val="22"/>
        </w:rPr>
      </w:pPr>
      <w:r>
        <w:rPr>
          <w:rFonts w:ascii="Arial" w:hAnsi="Arial" w:cs="Arial"/>
          <w:bCs/>
          <w:color w:val="auto"/>
          <w:sz w:val="22"/>
        </w:rPr>
        <w:t>Options for structuring procurement arrangements</w:t>
      </w:r>
    </w:p>
    <w:p w14:paraId="1CC7A444" w14:textId="4B31DA7D" w:rsidR="00EE077A" w:rsidRPr="00CC429F" w:rsidRDefault="00EE077A" w:rsidP="00127A56">
      <w:pPr>
        <w:pStyle w:val="Heading1"/>
        <w:numPr>
          <w:ilvl w:val="0"/>
          <w:numId w:val="13"/>
        </w:numPr>
        <w:tabs>
          <w:tab w:val="num" w:pos="360"/>
        </w:tabs>
        <w:spacing w:before="120" w:line="259" w:lineRule="auto"/>
        <w:ind w:left="714" w:hanging="357"/>
        <w:rPr>
          <w:rFonts w:ascii="Arial" w:hAnsi="Arial" w:cs="Arial"/>
          <w:bCs/>
          <w:color w:val="auto"/>
          <w:sz w:val="22"/>
        </w:rPr>
      </w:pPr>
      <w:r w:rsidRPr="00CC429F">
        <w:rPr>
          <w:rFonts w:ascii="Arial" w:hAnsi="Arial" w:cs="Arial"/>
          <w:bCs/>
          <w:color w:val="auto"/>
          <w:sz w:val="22"/>
        </w:rPr>
        <w:t>Using this guide</w:t>
      </w:r>
    </w:p>
    <w:p w14:paraId="31F575B5" w14:textId="77777777" w:rsidR="00EE077A" w:rsidRPr="00CC429F" w:rsidRDefault="00EE077A" w:rsidP="00127A56">
      <w:pPr>
        <w:pStyle w:val="Heading1"/>
        <w:numPr>
          <w:ilvl w:val="0"/>
          <w:numId w:val="13"/>
        </w:numPr>
        <w:tabs>
          <w:tab w:val="num" w:pos="360"/>
        </w:tabs>
        <w:spacing w:before="120" w:line="259" w:lineRule="auto"/>
        <w:ind w:left="714" w:hanging="357"/>
        <w:rPr>
          <w:rFonts w:ascii="Arial" w:hAnsi="Arial" w:cs="Arial"/>
          <w:bCs/>
          <w:color w:val="auto"/>
          <w:sz w:val="22"/>
        </w:rPr>
      </w:pPr>
      <w:r w:rsidRPr="00CC429F">
        <w:rPr>
          <w:rFonts w:ascii="Arial" w:hAnsi="Arial" w:cs="Arial"/>
          <w:bCs/>
          <w:color w:val="auto"/>
          <w:sz w:val="22"/>
        </w:rPr>
        <w:t>Tools and support</w:t>
      </w:r>
    </w:p>
    <w:p w14:paraId="30B172A7" w14:textId="77777777" w:rsidR="00EE077A" w:rsidRPr="00DE7D3C" w:rsidRDefault="00EE077A" w:rsidP="00EE077A">
      <w:pPr>
        <w:pStyle w:val="Heading2"/>
        <w:spacing w:line="259" w:lineRule="auto"/>
        <w:rPr>
          <w:rFonts w:ascii="Arial" w:hAnsi="Arial" w:cs="Arial"/>
          <w:color w:val="381F6A"/>
          <w:sz w:val="2"/>
          <w:szCs w:val="2"/>
        </w:rPr>
      </w:pPr>
    </w:p>
    <w:p w14:paraId="2288389A" w14:textId="7BE42DA7" w:rsidR="00EE077A" w:rsidRPr="001D57B6" w:rsidRDefault="00F753A1" w:rsidP="00EE077A">
      <w:pPr>
        <w:pStyle w:val="Heading2"/>
        <w:spacing w:line="259" w:lineRule="auto"/>
        <w:rPr>
          <w:rFonts w:ascii="Arial" w:hAnsi="Arial" w:cs="Arial"/>
          <w:color w:val="381F6A"/>
          <w:sz w:val="22"/>
        </w:rPr>
      </w:pPr>
      <w:r>
        <w:rPr>
          <w:rFonts w:ascii="Arial" w:hAnsi="Arial" w:cs="Arial"/>
          <w:color w:val="381F6A"/>
          <w:szCs w:val="28"/>
        </w:rPr>
        <w:t>Procurement arrangements include standing offers and registers</w:t>
      </w:r>
      <w:r w:rsidR="00EE077A">
        <w:rPr>
          <w:rFonts w:ascii="Arial" w:hAnsi="Arial" w:cs="Arial"/>
          <w:color w:val="381F6A"/>
          <w:szCs w:val="28"/>
        </w:rPr>
        <w:t xml:space="preserve"> </w:t>
      </w:r>
    </w:p>
    <w:p w14:paraId="18124EB4" w14:textId="0B3B35C6" w:rsidR="00FF4B03" w:rsidRDefault="00F753A1" w:rsidP="0049094A">
      <w:pPr>
        <w:spacing w:before="120" w:after="120" w:line="259" w:lineRule="auto"/>
        <w:rPr>
          <w:rFonts w:ascii="Arial" w:hAnsi="Arial" w:cs="Arial"/>
          <w:lang w:eastAsia="en-US"/>
        </w:rPr>
      </w:pPr>
      <w:r>
        <w:rPr>
          <w:rFonts w:ascii="Arial" w:hAnsi="Arial" w:cs="Arial"/>
          <w:lang w:eastAsia="en-US"/>
        </w:rPr>
        <w:t>An organisation may establish a standing offer or register</w:t>
      </w:r>
      <w:r w:rsidR="00C01A2A">
        <w:rPr>
          <w:rFonts w:ascii="Arial" w:hAnsi="Arial" w:cs="Arial"/>
          <w:lang w:eastAsia="en-US"/>
        </w:rPr>
        <w:t xml:space="preserve"> that</w:t>
      </w:r>
      <w:r>
        <w:rPr>
          <w:rFonts w:ascii="Arial" w:hAnsi="Arial" w:cs="Arial"/>
          <w:lang w:eastAsia="en-US"/>
        </w:rPr>
        <w:t xml:space="preserve"> provides for repeated use by one or more other organisations. </w:t>
      </w:r>
    </w:p>
    <w:p w14:paraId="5EF02DCE" w14:textId="05A47B1F" w:rsidR="00EE077A" w:rsidRDefault="00C01A2A" w:rsidP="0049094A">
      <w:pPr>
        <w:spacing w:before="120" w:after="120" w:line="259" w:lineRule="auto"/>
        <w:rPr>
          <w:rFonts w:ascii="Arial" w:hAnsi="Arial" w:cs="Arial"/>
          <w:lang w:eastAsia="en-US"/>
        </w:rPr>
      </w:pPr>
      <w:r>
        <w:rPr>
          <w:rFonts w:ascii="Arial" w:hAnsi="Arial" w:cs="Arial"/>
          <w:lang w:eastAsia="en-US"/>
        </w:rPr>
        <w:t xml:space="preserve">Participating organisations </w:t>
      </w:r>
      <w:r w:rsidR="00F753A1">
        <w:rPr>
          <w:rFonts w:ascii="Arial" w:hAnsi="Arial" w:cs="Arial"/>
          <w:lang w:eastAsia="en-US"/>
        </w:rPr>
        <w:t xml:space="preserve">may </w:t>
      </w:r>
      <w:r>
        <w:rPr>
          <w:rFonts w:ascii="Arial" w:hAnsi="Arial" w:cs="Arial"/>
          <w:lang w:eastAsia="en-US"/>
        </w:rPr>
        <w:t xml:space="preserve">then </w:t>
      </w:r>
      <w:r w:rsidR="00F753A1">
        <w:rPr>
          <w:rFonts w:ascii="Arial" w:hAnsi="Arial" w:cs="Arial"/>
          <w:lang w:eastAsia="en-US"/>
        </w:rPr>
        <w:t xml:space="preserve">use these procurement arrangements to acquire goods or services from (selected or pre-qualified) suppliers. </w:t>
      </w:r>
    </w:p>
    <w:p w14:paraId="3917329A" w14:textId="77777777" w:rsidR="00C01A2A" w:rsidRDefault="00FF4B03" w:rsidP="00C01A2A">
      <w:pPr>
        <w:spacing w:before="120" w:after="120" w:line="259" w:lineRule="auto"/>
        <w:rPr>
          <w:rFonts w:ascii="Arial" w:hAnsi="Arial" w:cs="Arial"/>
          <w:lang w:eastAsia="en-US"/>
        </w:rPr>
      </w:pPr>
      <w:r>
        <w:rPr>
          <w:rFonts w:ascii="Arial" w:hAnsi="Arial" w:cs="Arial"/>
          <w:lang w:eastAsia="en-US"/>
        </w:rPr>
        <w:t>Under the VGPB supply policies, procurement arrangements include</w:t>
      </w:r>
      <w:r w:rsidR="00C01A2A">
        <w:rPr>
          <w:rFonts w:ascii="Arial" w:hAnsi="Arial" w:cs="Arial"/>
          <w:lang w:eastAsia="en-US"/>
        </w:rPr>
        <w:t>:</w:t>
      </w:r>
      <w:r>
        <w:rPr>
          <w:rFonts w:ascii="Arial" w:hAnsi="Arial" w:cs="Arial"/>
          <w:lang w:eastAsia="en-US"/>
        </w:rPr>
        <w:t xml:space="preserve"> </w:t>
      </w:r>
    </w:p>
    <w:p w14:paraId="1D637B5A" w14:textId="553CBF82" w:rsidR="00C01A2A" w:rsidRDefault="00FF4B03" w:rsidP="00C01A2A">
      <w:pPr>
        <w:pStyle w:val="ListParagraph"/>
        <w:numPr>
          <w:ilvl w:val="0"/>
          <w:numId w:val="22"/>
        </w:numPr>
        <w:spacing w:before="120" w:after="120" w:line="259" w:lineRule="auto"/>
        <w:contextualSpacing w:val="0"/>
        <w:rPr>
          <w:rFonts w:ascii="Arial" w:hAnsi="Arial" w:cs="Arial"/>
          <w:lang w:eastAsia="en-US"/>
        </w:rPr>
      </w:pPr>
      <w:r w:rsidRPr="00C01A2A">
        <w:rPr>
          <w:rFonts w:ascii="Arial" w:hAnsi="Arial" w:cs="Arial"/>
          <w:lang w:eastAsia="en-US"/>
        </w:rPr>
        <w:t>state purchase contracts</w:t>
      </w:r>
    </w:p>
    <w:p w14:paraId="54FF09F3" w14:textId="68FA7B05" w:rsidR="00C01A2A" w:rsidRDefault="00FF4B03" w:rsidP="00C01A2A">
      <w:pPr>
        <w:pStyle w:val="ListParagraph"/>
        <w:numPr>
          <w:ilvl w:val="0"/>
          <w:numId w:val="22"/>
        </w:numPr>
        <w:spacing w:before="120" w:after="120" w:line="259" w:lineRule="auto"/>
        <w:contextualSpacing w:val="0"/>
        <w:rPr>
          <w:rFonts w:ascii="Arial" w:hAnsi="Arial" w:cs="Arial"/>
          <w:lang w:eastAsia="en-US"/>
        </w:rPr>
      </w:pPr>
      <w:r w:rsidRPr="00C01A2A">
        <w:rPr>
          <w:rFonts w:ascii="Arial" w:hAnsi="Arial" w:cs="Arial"/>
          <w:lang w:eastAsia="en-US"/>
        </w:rPr>
        <w:t>multi-agency arrangements</w:t>
      </w:r>
    </w:p>
    <w:p w14:paraId="26D14116" w14:textId="3BD3CAE2" w:rsidR="00FF4B03" w:rsidRPr="00C01A2A" w:rsidRDefault="00FF4B03" w:rsidP="00C01A2A">
      <w:pPr>
        <w:pStyle w:val="ListParagraph"/>
        <w:numPr>
          <w:ilvl w:val="0"/>
          <w:numId w:val="22"/>
        </w:numPr>
        <w:spacing w:before="120" w:after="120" w:line="259" w:lineRule="auto"/>
        <w:contextualSpacing w:val="0"/>
        <w:rPr>
          <w:rFonts w:ascii="Arial" w:hAnsi="Arial" w:cs="Arial"/>
          <w:lang w:eastAsia="en-US"/>
        </w:rPr>
      </w:pPr>
      <w:r w:rsidRPr="00C01A2A">
        <w:rPr>
          <w:rFonts w:ascii="Arial" w:hAnsi="Arial" w:cs="Arial"/>
          <w:lang w:eastAsia="en-US"/>
        </w:rPr>
        <w:t xml:space="preserve">agency-specific arrangements </w:t>
      </w:r>
    </w:p>
    <w:p w14:paraId="7E4A2AF2" w14:textId="7DDE8166" w:rsidR="00F753A1" w:rsidRDefault="00F753A1" w:rsidP="00F753A1">
      <w:pPr>
        <w:spacing w:before="120" w:after="120" w:line="259" w:lineRule="auto"/>
        <w:rPr>
          <w:rFonts w:ascii="Arial" w:hAnsi="Arial" w:cs="Arial"/>
          <w:b/>
          <w:bCs/>
          <w:lang w:eastAsia="en-US"/>
        </w:rPr>
      </w:pPr>
      <w:r w:rsidRPr="00E2181E">
        <w:rPr>
          <w:rFonts w:ascii="Arial" w:hAnsi="Arial" w:cs="Arial"/>
          <w:b/>
          <w:bCs/>
          <w:lang w:eastAsia="en-US"/>
        </w:rPr>
        <w:t>Standing offers</w:t>
      </w:r>
    </w:p>
    <w:p w14:paraId="49212C1B" w14:textId="3E0C2D92" w:rsidR="00E2181E" w:rsidRDefault="00E2181E" w:rsidP="00F753A1">
      <w:pPr>
        <w:spacing w:before="120" w:after="120" w:line="259" w:lineRule="auto"/>
        <w:rPr>
          <w:rFonts w:ascii="Arial" w:hAnsi="Arial" w:cs="Arial"/>
          <w:lang w:eastAsia="en-US"/>
        </w:rPr>
      </w:pPr>
      <w:r w:rsidRPr="00DB1051">
        <w:rPr>
          <w:rFonts w:ascii="Arial" w:hAnsi="Arial" w:cs="Arial"/>
          <w:lang w:eastAsia="en-US"/>
        </w:rPr>
        <w:t xml:space="preserve">A standing offer is a </w:t>
      </w:r>
      <w:r>
        <w:rPr>
          <w:rFonts w:ascii="Arial" w:hAnsi="Arial" w:cs="Arial"/>
          <w:lang w:eastAsia="en-US"/>
        </w:rPr>
        <w:t xml:space="preserve">procurement arrangement </w:t>
      </w:r>
      <w:r w:rsidRPr="00DB1051">
        <w:rPr>
          <w:rFonts w:ascii="Arial" w:hAnsi="Arial" w:cs="Arial"/>
          <w:lang w:eastAsia="en-US"/>
        </w:rPr>
        <w:t xml:space="preserve">that sets out the terms and conditions (including a basis for pricing) on which </w:t>
      </w:r>
      <w:r>
        <w:rPr>
          <w:rFonts w:ascii="Arial" w:hAnsi="Arial" w:cs="Arial"/>
          <w:lang w:eastAsia="en-US"/>
        </w:rPr>
        <w:t xml:space="preserve">the selected </w:t>
      </w:r>
      <w:r w:rsidRPr="00DB1051">
        <w:rPr>
          <w:rFonts w:ascii="Arial" w:hAnsi="Arial" w:cs="Arial"/>
          <w:lang w:eastAsia="en-US"/>
        </w:rPr>
        <w:t>supplier</w:t>
      </w:r>
      <w:r>
        <w:rPr>
          <w:rFonts w:ascii="Arial" w:hAnsi="Arial" w:cs="Arial"/>
          <w:lang w:eastAsia="en-US"/>
        </w:rPr>
        <w:t>(s)</w:t>
      </w:r>
      <w:r w:rsidRPr="00DB1051">
        <w:rPr>
          <w:rFonts w:ascii="Arial" w:hAnsi="Arial" w:cs="Arial"/>
          <w:lang w:eastAsia="en-US"/>
        </w:rPr>
        <w:t xml:space="preserve"> will supply goods or services to </w:t>
      </w:r>
      <w:r w:rsidR="00C01A2A">
        <w:rPr>
          <w:rFonts w:ascii="Arial" w:hAnsi="Arial" w:cs="Arial"/>
          <w:lang w:eastAsia="en-US"/>
        </w:rPr>
        <w:t>participating organisations</w:t>
      </w:r>
      <w:r w:rsidRPr="00DB1051">
        <w:rPr>
          <w:rFonts w:ascii="Arial" w:hAnsi="Arial" w:cs="Arial"/>
          <w:lang w:eastAsia="en-US"/>
        </w:rPr>
        <w:t xml:space="preserve"> for a specified period. </w:t>
      </w:r>
    </w:p>
    <w:p w14:paraId="288A771B" w14:textId="5185EB12" w:rsidR="00E2181E" w:rsidRDefault="00C01A2A" w:rsidP="00F753A1">
      <w:pPr>
        <w:spacing w:before="120" w:after="120" w:line="259" w:lineRule="auto"/>
        <w:rPr>
          <w:rFonts w:ascii="Arial" w:hAnsi="Arial" w:cs="Arial"/>
          <w:lang w:eastAsia="en-US"/>
        </w:rPr>
      </w:pPr>
      <w:r>
        <w:rPr>
          <w:rFonts w:ascii="Arial" w:hAnsi="Arial" w:cs="Arial"/>
          <w:lang w:eastAsia="en-US"/>
        </w:rPr>
        <w:t xml:space="preserve">Participating </w:t>
      </w:r>
      <w:r w:rsidR="00E2181E" w:rsidRPr="00DB1051">
        <w:rPr>
          <w:rFonts w:ascii="Arial" w:hAnsi="Arial" w:cs="Arial"/>
          <w:lang w:eastAsia="en-US"/>
        </w:rPr>
        <w:t>organisations may acquire goods or services under the arrangement by undertaking a purchasing process or procurement process.</w:t>
      </w:r>
      <w:r>
        <w:rPr>
          <w:rFonts w:ascii="Arial" w:hAnsi="Arial" w:cs="Arial"/>
          <w:lang w:eastAsia="en-US"/>
        </w:rPr>
        <w:t xml:space="preserve"> This will depend on the structure of the arrangement.</w:t>
      </w:r>
      <w:r w:rsidR="00E2181E" w:rsidRPr="00DB1051">
        <w:rPr>
          <w:rFonts w:ascii="Arial" w:hAnsi="Arial" w:cs="Arial"/>
          <w:lang w:eastAsia="en-US"/>
        </w:rPr>
        <w:t xml:space="preserve"> </w:t>
      </w:r>
    </w:p>
    <w:p w14:paraId="5E5BABE6" w14:textId="7F40426D" w:rsidR="00DD78FB" w:rsidRDefault="00E2181E" w:rsidP="00F753A1">
      <w:pPr>
        <w:spacing w:before="120" w:after="120" w:line="259" w:lineRule="auto"/>
        <w:rPr>
          <w:rFonts w:ascii="Arial" w:hAnsi="Arial" w:cs="Arial"/>
          <w:b/>
          <w:bCs/>
          <w:lang w:eastAsia="en-US"/>
        </w:rPr>
      </w:pPr>
      <w:r w:rsidRPr="00DB1051">
        <w:rPr>
          <w:rFonts w:ascii="Arial" w:hAnsi="Arial" w:cs="Arial"/>
          <w:lang w:eastAsia="en-US"/>
        </w:rPr>
        <w:t>Standing offer</w:t>
      </w:r>
      <w:r w:rsidR="00C01A2A">
        <w:rPr>
          <w:rFonts w:ascii="Arial" w:hAnsi="Arial" w:cs="Arial"/>
          <w:lang w:eastAsia="en-US"/>
        </w:rPr>
        <w:t>s</w:t>
      </w:r>
      <w:r w:rsidRPr="00DB1051">
        <w:rPr>
          <w:rFonts w:ascii="Arial" w:hAnsi="Arial" w:cs="Arial"/>
          <w:lang w:eastAsia="en-US"/>
        </w:rPr>
        <w:t xml:space="preserve"> </w:t>
      </w:r>
      <w:r w:rsidR="00C01A2A">
        <w:rPr>
          <w:rFonts w:ascii="Arial" w:hAnsi="Arial" w:cs="Arial"/>
          <w:lang w:eastAsia="en-US"/>
        </w:rPr>
        <w:t xml:space="preserve">with </w:t>
      </w:r>
      <w:r>
        <w:rPr>
          <w:rFonts w:ascii="Arial" w:hAnsi="Arial" w:cs="Arial"/>
          <w:lang w:eastAsia="en-US"/>
        </w:rPr>
        <w:t>multiple</w:t>
      </w:r>
      <w:r w:rsidRPr="00DB1051">
        <w:rPr>
          <w:rFonts w:ascii="Arial" w:hAnsi="Arial" w:cs="Arial"/>
          <w:lang w:eastAsia="en-US"/>
        </w:rPr>
        <w:t xml:space="preserve"> suppliers are known as </w:t>
      </w:r>
      <w:r>
        <w:rPr>
          <w:rFonts w:ascii="Arial" w:hAnsi="Arial" w:cs="Arial"/>
          <w:lang w:eastAsia="en-US"/>
        </w:rPr>
        <w:t xml:space="preserve">supplier </w:t>
      </w:r>
      <w:r w:rsidRPr="00DB1051">
        <w:rPr>
          <w:rFonts w:ascii="Arial" w:hAnsi="Arial" w:cs="Arial"/>
          <w:lang w:eastAsia="en-US"/>
        </w:rPr>
        <w:t>panel</w:t>
      </w:r>
      <w:r>
        <w:rPr>
          <w:rFonts w:ascii="Arial" w:hAnsi="Arial" w:cs="Arial"/>
          <w:lang w:eastAsia="en-US"/>
        </w:rPr>
        <w:t>s</w:t>
      </w:r>
      <w:r w:rsidRPr="00DB1051">
        <w:rPr>
          <w:rFonts w:ascii="Arial" w:hAnsi="Arial" w:cs="Arial"/>
          <w:lang w:eastAsia="en-US"/>
        </w:rPr>
        <w:t>.</w:t>
      </w:r>
    </w:p>
    <w:p w14:paraId="340B6E1F" w14:textId="19013504" w:rsidR="00F753A1" w:rsidRDefault="00F753A1" w:rsidP="00F753A1">
      <w:pPr>
        <w:spacing w:before="120" w:after="120" w:line="259" w:lineRule="auto"/>
        <w:rPr>
          <w:rFonts w:ascii="Arial" w:hAnsi="Arial" w:cs="Arial"/>
          <w:b/>
          <w:bCs/>
          <w:lang w:eastAsia="en-US"/>
        </w:rPr>
      </w:pPr>
      <w:r>
        <w:rPr>
          <w:rFonts w:ascii="Arial" w:hAnsi="Arial" w:cs="Arial"/>
          <w:b/>
          <w:bCs/>
          <w:lang w:eastAsia="en-US"/>
        </w:rPr>
        <w:t>Registers</w:t>
      </w:r>
    </w:p>
    <w:p w14:paraId="34801ABE" w14:textId="2D974D82" w:rsidR="00E2181E" w:rsidRDefault="00E2181E" w:rsidP="00E2181E">
      <w:pPr>
        <w:rPr>
          <w:rFonts w:ascii="Arial" w:hAnsi="Arial" w:cs="Arial"/>
          <w:lang w:eastAsia="en-US"/>
        </w:rPr>
      </w:pPr>
      <w:r w:rsidRPr="00DB1051">
        <w:rPr>
          <w:rFonts w:ascii="Arial" w:hAnsi="Arial" w:cs="Arial"/>
          <w:lang w:eastAsia="en-US"/>
        </w:rPr>
        <w:t xml:space="preserve">A </w:t>
      </w:r>
      <w:r>
        <w:rPr>
          <w:rFonts w:ascii="Arial" w:hAnsi="Arial" w:cs="Arial"/>
          <w:lang w:eastAsia="en-US"/>
        </w:rPr>
        <w:t xml:space="preserve">register </w:t>
      </w:r>
      <w:r w:rsidRPr="00DB1051">
        <w:rPr>
          <w:rFonts w:ascii="Arial" w:hAnsi="Arial" w:cs="Arial"/>
          <w:lang w:eastAsia="en-US"/>
        </w:rPr>
        <w:t xml:space="preserve">is a list of </w:t>
      </w:r>
      <w:r>
        <w:rPr>
          <w:rFonts w:ascii="Arial" w:hAnsi="Arial" w:cs="Arial"/>
          <w:lang w:eastAsia="en-US"/>
        </w:rPr>
        <w:t xml:space="preserve">pre-qualified </w:t>
      </w:r>
      <w:r w:rsidRPr="00DB1051">
        <w:rPr>
          <w:rFonts w:ascii="Arial" w:hAnsi="Arial" w:cs="Arial"/>
          <w:lang w:eastAsia="en-US"/>
        </w:rPr>
        <w:t xml:space="preserve">suppliers that have satisfied qualification criteria </w:t>
      </w:r>
      <w:r>
        <w:rPr>
          <w:rFonts w:ascii="Arial" w:hAnsi="Arial" w:cs="Arial"/>
          <w:lang w:eastAsia="en-US"/>
        </w:rPr>
        <w:t xml:space="preserve">for </w:t>
      </w:r>
      <w:r w:rsidR="00C01A2A">
        <w:rPr>
          <w:rFonts w:ascii="Arial" w:hAnsi="Arial" w:cs="Arial"/>
          <w:lang w:eastAsia="en-US"/>
        </w:rPr>
        <w:t xml:space="preserve">joining </w:t>
      </w:r>
      <w:r>
        <w:rPr>
          <w:rFonts w:ascii="Arial" w:hAnsi="Arial" w:cs="Arial"/>
          <w:lang w:eastAsia="en-US"/>
        </w:rPr>
        <w:t xml:space="preserve">the procurement arrangement to </w:t>
      </w:r>
      <w:r w:rsidRPr="00DB1051">
        <w:rPr>
          <w:rFonts w:ascii="Arial" w:hAnsi="Arial" w:cs="Arial"/>
          <w:lang w:eastAsia="en-US"/>
        </w:rPr>
        <w:t xml:space="preserve">supply goods or services </w:t>
      </w:r>
      <w:r>
        <w:rPr>
          <w:rFonts w:ascii="Arial" w:hAnsi="Arial" w:cs="Arial"/>
          <w:lang w:eastAsia="en-US"/>
        </w:rPr>
        <w:t xml:space="preserve">to </w:t>
      </w:r>
      <w:r w:rsidR="00C01A2A">
        <w:rPr>
          <w:rFonts w:ascii="Arial" w:hAnsi="Arial" w:cs="Arial"/>
          <w:lang w:eastAsia="en-US"/>
        </w:rPr>
        <w:t>participating organisations</w:t>
      </w:r>
      <w:r>
        <w:rPr>
          <w:rFonts w:ascii="Arial" w:hAnsi="Arial" w:cs="Arial"/>
          <w:lang w:eastAsia="en-US"/>
        </w:rPr>
        <w:t xml:space="preserve"> for a specified or indefinite period</w:t>
      </w:r>
      <w:r w:rsidRPr="00DB1051">
        <w:rPr>
          <w:rFonts w:ascii="Arial" w:hAnsi="Arial" w:cs="Arial"/>
          <w:lang w:eastAsia="en-US"/>
        </w:rPr>
        <w:t xml:space="preserve">. </w:t>
      </w:r>
      <w:r>
        <w:rPr>
          <w:rFonts w:ascii="Arial" w:hAnsi="Arial" w:cs="Arial"/>
          <w:lang w:eastAsia="en-US"/>
        </w:rPr>
        <w:t xml:space="preserve">Typically, suppliers can apply at any time to participate in the arrangement. </w:t>
      </w:r>
    </w:p>
    <w:p w14:paraId="68FEF280" w14:textId="137D6BE1" w:rsidR="00E2181E" w:rsidRDefault="00C01A2A" w:rsidP="00E2181E">
      <w:pPr>
        <w:rPr>
          <w:rFonts w:ascii="Arial" w:hAnsi="Arial" w:cs="Arial"/>
          <w:lang w:eastAsia="en-US"/>
        </w:rPr>
      </w:pPr>
      <w:r>
        <w:rPr>
          <w:rFonts w:ascii="Arial" w:hAnsi="Arial" w:cs="Arial"/>
          <w:lang w:eastAsia="en-US"/>
        </w:rPr>
        <w:t xml:space="preserve">Participating </w:t>
      </w:r>
      <w:r w:rsidR="00E2181E" w:rsidRPr="00DB1051">
        <w:rPr>
          <w:rFonts w:ascii="Arial" w:hAnsi="Arial" w:cs="Arial"/>
          <w:lang w:eastAsia="en-US"/>
        </w:rPr>
        <w:t xml:space="preserve">organisations may acquire goods or services </w:t>
      </w:r>
      <w:r w:rsidR="00E2181E">
        <w:rPr>
          <w:rFonts w:ascii="Arial" w:hAnsi="Arial" w:cs="Arial"/>
          <w:lang w:eastAsia="en-US"/>
        </w:rPr>
        <w:t xml:space="preserve">under the arrangement </w:t>
      </w:r>
      <w:r w:rsidR="00E2181E" w:rsidRPr="00DB1051">
        <w:rPr>
          <w:rFonts w:ascii="Arial" w:hAnsi="Arial" w:cs="Arial"/>
          <w:lang w:eastAsia="en-US"/>
        </w:rPr>
        <w:t xml:space="preserve">by undertaking a procurement process. </w:t>
      </w:r>
    </w:p>
    <w:p w14:paraId="7A25B428" w14:textId="77777777" w:rsidR="00DD78FB" w:rsidRDefault="00DD78FB" w:rsidP="00E2181E">
      <w:pPr>
        <w:rPr>
          <w:rFonts w:ascii="Arial" w:hAnsi="Arial" w:cs="Arial"/>
          <w:lang w:eastAsia="en-US"/>
        </w:rPr>
      </w:pPr>
    </w:p>
    <w:p w14:paraId="17AA023A" w14:textId="2A2C221E" w:rsidR="00E2181E" w:rsidRDefault="00C125AF" w:rsidP="00E2181E">
      <w:pPr>
        <w:rPr>
          <w:rFonts w:ascii="Arial" w:hAnsi="Arial" w:cs="Arial"/>
          <w:lang w:eastAsia="en-US"/>
        </w:rPr>
      </w:pPr>
      <w:r>
        <w:rPr>
          <w:rFonts w:ascii="Arial" w:hAnsi="Arial" w:cs="Arial"/>
          <w:lang w:eastAsia="en-US"/>
        </w:rPr>
        <w:t>T</w:t>
      </w:r>
      <w:r w:rsidR="00E2181E">
        <w:rPr>
          <w:rFonts w:ascii="Arial" w:hAnsi="Arial" w:cs="Arial"/>
          <w:lang w:eastAsia="en-US"/>
        </w:rPr>
        <w:t xml:space="preserve">he organisation </w:t>
      </w:r>
      <w:r>
        <w:rPr>
          <w:rFonts w:ascii="Arial" w:hAnsi="Arial" w:cs="Arial"/>
          <w:lang w:eastAsia="en-US"/>
        </w:rPr>
        <w:t xml:space="preserve">establishing a register </w:t>
      </w:r>
      <w:r w:rsidR="00E2181E">
        <w:rPr>
          <w:rFonts w:ascii="Arial" w:hAnsi="Arial" w:cs="Arial"/>
          <w:lang w:eastAsia="en-US"/>
        </w:rPr>
        <w:t>should inform potential suppliers of:</w:t>
      </w:r>
    </w:p>
    <w:p w14:paraId="702429DC" w14:textId="77777777" w:rsidR="00E2181E" w:rsidRDefault="00E2181E" w:rsidP="00E2181E">
      <w:pPr>
        <w:pStyle w:val="ListParagraph"/>
        <w:numPr>
          <w:ilvl w:val="0"/>
          <w:numId w:val="15"/>
        </w:numPr>
        <w:contextualSpacing w:val="0"/>
        <w:rPr>
          <w:rFonts w:ascii="Arial" w:hAnsi="Arial" w:cs="Arial"/>
          <w:lang w:eastAsia="en-US"/>
        </w:rPr>
      </w:pPr>
      <w:r>
        <w:rPr>
          <w:rFonts w:ascii="Arial" w:hAnsi="Arial" w:cs="Arial"/>
          <w:lang w:eastAsia="en-US"/>
        </w:rPr>
        <w:lastRenderedPageBreak/>
        <w:t>the (categories of) goods or services covered by the arrangement</w:t>
      </w:r>
    </w:p>
    <w:p w14:paraId="3666BF01" w14:textId="5E4E4C07" w:rsidR="00E2181E" w:rsidRDefault="00C01A2A" w:rsidP="00E2181E">
      <w:pPr>
        <w:pStyle w:val="ListParagraph"/>
        <w:numPr>
          <w:ilvl w:val="0"/>
          <w:numId w:val="15"/>
        </w:numPr>
        <w:contextualSpacing w:val="0"/>
        <w:rPr>
          <w:rFonts w:ascii="Arial" w:hAnsi="Arial" w:cs="Arial"/>
          <w:lang w:eastAsia="en-US"/>
        </w:rPr>
      </w:pPr>
      <w:r>
        <w:rPr>
          <w:rFonts w:ascii="Arial" w:hAnsi="Arial" w:cs="Arial"/>
          <w:lang w:eastAsia="en-US"/>
        </w:rPr>
        <w:t xml:space="preserve">participating </w:t>
      </w:r>
      <w:r w:rsidR="00E2181E">
        <w:rPr>
          <w:rFonts w:ascii="Arial" w:hAnsi="Arial" w:cs="Arial"/>
          <w:lang w:eastAsia="en-US"/>
        </w:rPr>
        <w:t>organisation</w:t>
      </w:r>
      <w:r w:rsidR="00314F57">
        <w:rPr>
          <w:rFonts w:ascii="Arial" w:hAnsi="Arial" w:cs="Arial"/>
          <w:lang w:eastAsia="en-US"/>
        </w:rPr>
        <w:t>s</w:t>
      </w:r>
    </w:p>
    <w:p w14:paraId="1EBA5A5D" w14:textId="195B11D1" w:rsidR="00E2181E" w:rsidRDefault="00E2181E" w:rsidP="00E2181E">
      <w:pPr>
        <w:pStyle w:val="ListParagraph"/>
        <w:numPr>
          <w:ilvl w:val="0"/>
          <w:numId w:val="15"/>
        </w:numPr>
        <w:contextualSpacing w:val="0"/>
        <w:rPr>
          <w:rFonts w:ascii="Arial" w:hAnsi="Arial" w:cs="Arial"/>
          <w:lang w:eastAsia="en-US"/>
        </w:rPr>
      </w:pPr>
      <w:r>
        <w:rPr>
          <w:rFonts w:ascii="Arial" w:hAnsi="Arial" w:cs="Arial"/>
          <w:lang w:eastAsia="en-US"/>
        </w:rPr>
        <w:t>the qualification criteri</w:t>
      </w:r>
      <w:r w:rsidR="00CF7957">
        <w:rPr>
          <w:rFonts w:ascii="Arial" w:hAnsi="Arial" w:cs="Arial"/>
          <w:lang w:eastAsia="en-US"/>
        </w:rPr>
        <w:t>a</w:t>
      </w:r>
    </w:p>
    <w:p w14:paraId="6E2962D2" w14:textId="4269507D" w:rsidR="00E2181E" w:rsidRDefault="00E2181E" w:rsidP="00E2181E">
      <w:pPr>
        <w:pStyle w:val="ListParagraph"/>
        <w:numPr>
          <w:ilvl w:val="0"/>
          <w:numId w:val="15"/>
        </w:numPr>
        <w:contextualSpacing w:val="0"/>
        <w:rPr>
          <w:rFonts w:ascii="Arial" w:hAnsi="Arial" w:cs="Arial"/>
          <w:lang w:eastAsia="en-US"/>
        </w:rPr>
      </w:pPr>
      <w:r>
        <w:rPr>
          <w:rFonts w:ascii="Arial" w:hAnsi="Arial" w:cs="Arial"/>
          <w:lang w:eastAsia="en-US"/>
        </w:rPr>
        <w:t xml:space="preserve">the indicative rules of use (e.g. how buyers </w:t>
      </w:r>
      <w:r w:rsidR="00A64EEA">
        <w:rPr>
          <w:rFonts w:ascii="Arial" w:hAnsi="Arial" w:cs="Arial"/>
          <w:lang w:eastAsia="en-US"/>
        </w:rPr>
        <w:t xml:space="preserve">will </w:t>
      </w:r>
      <w:r>
        <w:rPr>
          <w:rFonts w:ascii="Arial" w:hAnsi="Arial" w:cs="Arial"/>
          <w:lang w:eastAsia="en-US"/>
        </w:rPr>
        <w:t>select suppliers)</w:t>
      </w:r>
    </w:p>
    <w:p w14:paraId="3C00D3C4" w14:textId="48FC05F0" w:rsidR="00E2181E" w:rsidRPr="00C02655" w:rsidRDefault="00C508BE" w:rsidP="00E2181E">
      <w:pPr>
        <w:pStyle w:val="ListParagraph"/>
        <w:numPr>
          <w:ilvl w:val="0"/>
          <w:numId w:val="15"/>
        </w:numPr>
        <w:contextualSpacing w:val="0"/>
        <w:rPr>
          <w:rFonts w:ascii="Arial" w:hAnsi="Arial" w:cs="Arial"/>
          <w:lang w:eastAsia="en-US"/>
        </w:rPr>
      </w:pPr>
      <w:r>
        <w:rPr>
          <w:rFonts w:ascii="Arial" w:hAnsi="Arial" w:cs="Arial"/>
          <w:lang w:eastAsia="en-US"/>
        </w:rPr>
        <w:t>expected demand</w:t>
      </w:r>
      <w:r w:rsidR="00C01A2A">
        <w:rPr>
          <w:rFonts w:ascii="Arial" w:hAnsi="Arial" w:cs="Arial"/>
          <w:lang w:eastAsia="en-US"/>
        </w:rPr>
        <w:t xml:space="preserve"> </w:t>
      </w:r>
      <w:r w:rsidR="00E2181E">
        <w:rPr>
          <w:rFonts w:ascii="Arial" w:hAnsi="Arial" w:cs="Arial"/>
          <w:lang w:eastAsia="en-US"/>
        </w:rPr>
        <w:t xml:space="preserve">and that pre-qualification doesn’t guarantee business from </w:t>
      </w:r>
      <w:r w:rsidR="00C01A2A">
        <w:rPr>
          <w:rFonts w:ascii="Arial" w:hAnsi="Arial" w:cs="Arial"/>
          <w:lang w:eastAsia="en-US"/>
        </w:rPr>
        <w:t xml:space="preserve">participating </w:t>
      </w:r>
      <w:r w:rsidR="00E2181E">
        <w:rPr>
          <w:rFonts w:ascii="Arial" w:hAnsi="Arial" w:cs="Arial"/>
          <w:lang w:eastAsia="en-US"/>
        </w:rPr>
        <w:t>organisations</w:t>
      </w:r>
    </w:p>
    <w:p w14:paraId="06C8D27C" w14:textId="5C278341" w:rsidR="00E2181E" w:rsidRDefault="00E2181E" w:rsidP="00E2181E">
      <w:pPr>
        <w:rPr>
          <w:rFonts w:ascii="Arial" w:hAnsi="Arial" w:cs="Arial"/>
          <w:lang w:eastAsia="en-US"/>
        </w:rPr>
      </w:pPr>
      <w:r>
        <w:rPr>
          <w:rFonts w:ascii="Arial" w:hAnsi="Arial" w:cs="Arial"/>
          <w:lang w:eastAsia="en-US"/>
        </w:rPr>
        <w:t xml:space="preserve">If </w:t>
      </w:r>
      <w:hyperlink r:id="rId8" w:history="1">
        <w:r w:rsidRPr="0084795D">
          <w:rPr>
            <w:rStyle w:val="Hyperlink"/>
            <w:rFonts w:ascii="Arial" w:hAnsi="Arial" w:cs="Arial"/>
            <w:u w:val="single"/>
            <w:lang w:eastAsia="en-US"/>
          </w:rPr>
          <w:t>international agreements apply</w:t>
        </w:r>
      </w:hyperlink>
      <w:r>
        <w:rPr>
          <w:rFonts w:ascii="Arial" w:hAnsi="Arial" w:cs="Arial"/>
          <w:lang w:eastAsia="en-US"/>
        </w:rPr>
        <w:t xml:space="preserve">, </w:t>
      </w:r>
      <w:r w:rsidR="00C508BE">
        <w:rPr>
          <w:rFonts w:ascii="Arial" w:hAnsi="Arial" w:cs="Arial"/>
          <w:lang w:eastAsia="en-US"/>
        </w:rPr>
        <w:t xml:space="preserve">additional requirements apply to </w:t>
      </w:r>
      <w:r>
        <w:rPr>
          <w:rFonts w:ascii="Arial" w:hAnsi="Arial" w:cs="Arial"/>
          <w:lang w:eastAsia="en-US"/>
        </w:rPr>
        <w:t>a register.</w:t>
      </w:r>
    </w:p>
    <w:p w14:paraId="613F8F13" w14:textId="77777777" w:rsidR="00E2181E" w:rsidRDefault="00E2181E" w:rsidP="00E2181E">
      <w:pPr>
        <w:rPr>
          <w:rFonts w:ascii="Arial" w:hAnsi="Arial" w:cs="Arial"/>
          <w:lang w:eastAsia="en-US"/>
        </w:rPr>
      </w:pPr>
      <w:r>
        <w:rPr>
          <w:rFonts w:ascii="Arial" w:hAnsi="Arial" w:cs="Arial"/>
          <w:lang w:eastAsia="en-US"/>
        </w:rPr>
        <w:t xml:space="preserve">The qualification criteria and information requested from potential suppliers should be proportionate to the nature and complexity of the register. </w:t>
      </w:r>
    </w:p>
    <w:p w14:paraId="3B4B4EFB" w14:textId="719C5468" w:rsidR="00F753A1" w:rsidRPr="00E2181E" w:rsidRDefault="00E2181E" w:rsidP="00E2181E">
      <w:pPr>
        <w:rPr>
          <w:rFonts w:ascii="Arial" w:hAnsi="Arial" w:cs="Arial"/>
          <w:lang w:eastAsia="en-US"/>
        </w:rPr>
      </w:pPr>
      <w:r>
        <w:rPr>
          <w:rFonts w:ascii="Arial" w:hAnsi="Arial" w:cs="Arial"/>
          <w:lang w:eastAsia="en-US"/>
        </w:rPr>
        <w:t>When using a register, buyers will have access to information about pre-qualified suppliers. This information should be reliable, up-to-date, and give buyers confidence to engage pre-qualified suppliers on the register</w:t>
      </w:r>
      <w:r w:rsidR="00C508BE">
        <w:rPr>
          <w:rFonts w:ascii="Arial" w:hAnsi="Arial" w:cs="Arial"/>
          <w:lang w:eastAsia="en-US"/>
        </w:rPr>
        <w:t>.</w:t>
      </w:r>
      <w:r>
        <w:rPr>
          <w:rFonts w:ascii="Arial" w:hAnsi="Arial" w:cs="Arial"/>
          <w:lang w:eastAsia="en-US"/>
        </w:rPr>
        <w:t xml:space="preserve"> </w:t>
      </w:r>
      <w:r w:rsidR="00C508BE">
        <w:rPr>
          <w:rFonts w:ascii="Arial" w:hAnsi="Arial" w:cs="Arial"/>
          <w:lang w:eastAsia="en-US"/>
        </w:rPr>
        <w:t xml:space="preserve">This will </w:t>
      </w:r>
      <w:r>
        <w:rPr>
          <w:rFonts w:ascii="Arial" w:hAnsi="Arial" w:cs="Arial"/>
          <w:lang w:eastAsia="en-US"/>
        </w:rPr>
        <w:t>reduce search costs, risk</w:t>
      </w:r>
      <w:r w:rsidR="004B7C69">
        <w:rPr>
          <w:rFonts w:ascii="Arial" w:hAnsi="Arial" w:cs="Arial"/>
          <w:lang w:eastAsia="en-US"/>
        </w:rPr>
        <w:t>,</w:t>
      </w:r>
      <w:r>
        <w:rPr>
          <w:rFonts w:ascii="Arial" w:hAnsi="Arial" w:cs="Arial"/>
          <w:lang w:eastAsia="en-US"/>
        </w:rPr>
        <w:t xml:space="preserve"> and administrative burden</w:t>
      </w:r>
      <w:r w:rsidR="00C508BE">
        <w:rPr>
          <w:rFonts w:ascii="Arial" w:hAnsi="Arial" w:cs="Arial"/>
          <w:lang w:eastAsia="en-US"/>
        </w:rPr>
        <w:t xml:space="preserve"> for buyers</w:t>
      </w:r>
      <w:r>
        <w:rPr>
          <w:rFonts w:ascii="Arial" w:hAnsi="Arial" w:cs="Arial"/>
          <w:lang w:eastAsia="en-US"/>
        </w:rPr>
        <w:t xml:space="preserve">. </w:t>
      </w:r>
    </w:p>
    <w:p w14:paraId="7AD210EC" w14:textId="77777777" w:rsidR="00FF4B03" w:rsidRPr="00FF4B03" w:rsidRDefault="00FF4B03" w:rsidP="00FF4B03">
      <w:pPr>
        <w:pStyle w:val="Heading3"/>
        <w:spacing w:line="259" w:lineRule="auto"/>
        <w:rPr>
          <w:rFonts w:ascii="Arial" w:hAnsi="Arial" w:cs="Arial"/>
          <w:color w:val="381F6A"/>
          <w:sz w:val="2"/>
          <w:szCs w:val="2"/>
        </w:rPr>
      </w:pPr>
    </w:p>
    <w:p w14:paraId="14EC133E" w14:textId="69A4D04A" w:rsidR="00FF4B03" w:rsidRPr="006A351E" w:rsidRDefault="006A351E" w:rsidP="00FF4B03">
      <w:pPr>
        <w:pStyle w:val="Heading3"/>
        <w:spacing w:line="259" w:lineRule="auto"/>
        <w:rPr>
          <w:rFonts w:ascii="Arial" w:hAnsi="Arial" w:cs="Arial"/>
          <w:b w:val="0"/>
          <w:bCs/>
          <w:color w:val="381F6A"/>
          <w:sz w:val="28"/>
          <w:szCs w:val="28"/>
        </w:rPr>
      </w:pPr>
      <w:r>
        <w:rPr>
          <w:rFonts w:ascii="Arial" w:hAnsi="Arial" w:cs="Arial"/>
          <w:color w:val="381F6A"/>
          <w:sz w:val="28"/>
          <w:szCs w:val="28"/>
        </w:rPr>
        <w:t>Options for structuring procurement arrangements</w:t>
      </w:r>
    </w:p>
    <w:p w14:paraId="41F180E2" w14:textId="32DF43A1" w:rsidR="00FF4B03" w:rsidRDefault="00C508BE" w:rsidP="00FF4B03">
      <w:pPr>
        <w:spacing w:before="120" w:after="120" w:line="259" w:lineRule="auto"/>
        <w:rPr>
          <w:rFonts w:ascii="Arial" w:hAnsi="Arial" w:cs="Arial"/>
          <w:lang w:eastAsia="en-US"/>
        </w:rPr>
      </w:pPr>
      <w:r>
        <w:rPr>
          <w:rFonts w:ascii="Arial" w:hAnsi="Arial" w:cs="Arial"/>
          <w:lang w:eastAsia="en-US"/>
        </w:rPr>
        <w:t xml:space="preserve">Organisations may structure procurement </w:t>
      </w:r>
      <w:r w:rsidR="00FF4B03">
        <w:rPr>
          <w:rFonts w:ascii="Arial" w:hAnsi="Arial" w:cs="Arial"/>
          <w:lang w:eastAsia="en-US"/>
        </w:rPr>
        <w:t>arrangements as:</w:t>
      </w:r>
    </w:p>
    <w:p w14:paraId="07FDB2FE" w14:textId="77777777" w:rsidR="00DD78FB" w:rsidRDefault="00DD78FB" w:rsidP="00DD78FB">
      <w:pPr>
        <w:pStyle w:val="ListParagraph"/>
        <w:numPr>
          <w:ilvl w:val="0"/>
          <w:numId w:val="2"/>
        </w:numPr>
        <w:spacing w:before="120" w:after="120" w:line="259" w:lineRule="auto"/>
        <w:ind w:left="714" w:hanging="357"/>
        <w:contextualSpacing w:val="0"/>
        <w:rPr>
          <w:rFonts w:ascii="Arial" w:hAnsi="Arial" w:cs="Arial"/>
          <w:lang w:eastAsia="en-US"/>
        </w:rPr>
      </w:pPr>
      <w:r>
        <w:rPr>
          <w:rFonts w:ascii="Arial" w:hAnsi="Arial" w:cs="Arial"/>
          <w:lang w:eastAsia="en-US"/>
        </w:rPr>
        <w:t xml:space="preserve">mandatory or non-mandatory </w:t>
      </w:r>
    </w:p>
    <w:p w14:paraId="2AC85E2A" w14:textId="77777777" w:rsidR="00DD78FB" w:rsidRPr="00FC23CC" w:rsidRDefault="00DD78FB" w:rsidP="00DD78FB">
      <w:pPr>
        <w:pStyle w:val="ListParagraph"/>
        <w:numPr>
          <w:ilvl w:val="0"/>
          <w:numId w:val="2"/>
        </w:numPr>
        <w:spacing w:before="120" w:after="120" w:line="259" w:lineRule="auto"/>
        <w:ind w:left="714" w:hanging="357"/>
        <w:contextualSpacing w:val="0"/>
        <w:rPr>
          <w:rFonts w:ascii="Arial" w:hAnsi="Arial" w:cs="Arial"/>
          <w:lang w:eastAsia="en-US"/>
        </w:rPr>
      </w:pPr>
      <w:r w:rsidRPr="00FC23CC">
        <w:rPr>
          <w:rFonts w:ascii="Arial" w:hAnsi="Arial" w:cs="Arial"/>
          <w:lang w:eastAsia="en-US"/>
        </w:rPr>
        <w:t xml:space="preserve">open or closed </w:t>
      </w:r>
    </w:p>
    <w:p w14:paraId="63D14B52" w14:textId="77777777" w:rsidR="00DD78FB" w:rsidRDefault="00DD78FB" w:rsidP="00DD78FB">
      <w:pPr>
        <w:pStyle w:val="ListParagraph"/>
        <w:numPr>
          <w:ilvl w:val="0"/>
          <w:numId w:val="2"/>
        </w:numPr>
        <w:spacing w:before="120" w:after="120" w:line="259" w:lineRule="auto"/>
        <w:rPr>
          <w:rFonts w:ascii="Arial" w:hAnsi="Arial" w:cs="Arial"/>
          <w:lang w:eastAsia="en-US"/>
        </w:rPr>
      </w:pPr>
      <w:r w:rsidRPr="00F753A1">
        <w:rPr>
          <w:rFonts w:ascii="Arial" w:hAnsi="Arial" w:cs="Arial"/>
          <w:lang w:eastAsia="en-US"/>
        </w:rPr>
        <w:t>sole or multiple supplier</w:t>
      </w:r>
    </w:p>
    <w:p w14:paraId="7ACF9114" w14:textId="0914362E" w:rsidR="00DD78FB" w:rsidRPr="00DD78FB" w:rsidRDefault="00DD78FB" w:rsidP="00FF4B03">
      <w:pPr>
        <w:spacing w:before="120" w:after="120" w:line="259" w:lineRule="auto"/>
        <w:rPr>
          <w:rFonts w:ascii="Arial" w:hAnsi="Arial" w:cs="Arial"/>
          <w:color w:val="381F6A"/>
          <w:sz w:val="28"/>
          <w:szCs w:val="28"/>
        </w:rPr>
      </w:pPr>
      <w:r>
        <w:rPr>
          <w:rFonts w:ascii="Arial" w:hAnsi="Arial" w:cs="Arial"/>
          <w:lang w:eastAsia="en-US"/>
        </w:rPr>
        <w:t>When assessing these options, some considerations may not be relevant to agency-specific arrangements because they involve one organisation only.</w:t>
      </w:r>
    </w:p>
    <w:tbl>
      <w:tblPr>
        <w:tblStyle w:val="TableGrid"/>
        <w:tblpPr w:leftFromText="180" w:rightFromText="180" w:vertAnchor="text" w:horzAnchor="margin" w:tblpY="1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DD78FB" w14:paraId="3C636BBF" w14:textId="77777777" w:rsidTr="00AB4987">
        <w:tc>
          <w:tcPr>
            <w:tcW w:w="9016" w:type="dxa"/>
          </w:tcPr>
          <w:p w14:paraId="7A99FA6D" w14:textId="77777777" w:rsidR="00DD78FB" w:rsidRPr="00DD78FB" w:rsidRDefault="00DD78FB" w:rsidP="00DD78FB">
            <w:pPr>
              <w:pStyle w:val="Heading3"/>
              <w:spacing w:line="259" w:lineRule="auto"/>
              <w:rPr>
                <w:rFonts w:ascii="Arial" w:hAnsi="Arial" w:cs="Arial"/>
                <w:color w:val="7030A0"/>
                <w:sz w:val="28"/>
                <w:szCs w:val="28"/>
              </w:rPr>
            </w:pPr>
            <w:bookmarkStart w:id="1" w:name="_Hlk160541738"/>
            <w:r w:rsidRPr="00DD78FB">
              <w:rPr>
                <w:rFonts w:ascii="Arial" w:hAnsi="Arial" w:cs="Arial"/>
                <w:color w:val="7030A0"/>
                <w:sz w:val="28"/>
                <w:szCs w:val="28"/>
                <w:u w:val="single"/>
              </w:rPr>
              <w:t>Option 1</w:t>
            </w:r>
            <w:r w:rsidRPr="00DD78FB">
              <w:rPr>
                <w:rFonts w:ascii="Arial" w:hAnsi="Arial" w:cs="Arial"/>
                <w:color w:val="7030A0"/>
                <w:sz w:val="28"/>
                <w:szCs w:val="28"/>
              </w:rPr>
              <w:t xml:space="preserve"> – Mandatory or non-mandatory arrangement</w:t>
            </w:r>
          </w:p>
          <w:p w14:paraId="002914FF" w14:textId="77777777" w:rsidR="00DD78FB" w:rsidRPr="00DD78FB" w:rsidRDefault="00DD78FB" w:rsidP="00DD78FB">
            <w:pPr>
              <w:spacing w:before="120" w:after="120" w:line="259" w:lineRule="auto"/>
              <w:rPr>
                <w:rFonts w:ascii="Arial" w:hAnsi="Arial" w:cs="Arial"/>
                <w:b/>
                <w:bCs/>
                <w:color w:val="7030A0"/>
                <w:lang w:eastAsia="en-US"/>
              </w:rPr>
            </w:pPr>
            <w:r w:rsidRPr="00DD78FB">
              <w:rPr>
                <w:rFonts w:ascii="Arial" w:hAnsi="Arial" w:cs="Arial"/>
                <w:b/>
                <w:bCs/>
                <w:color w:val="7030A0"/>
                <w:lang w:eastAsia="en-US"/>
              </w:rPr>
              <w:t>Mandatory arrangements</w:t>
            </w:r>
          </w:p>
          <w:p w14:paraId="4317359B" w14:textId="77777777" w:rsidR="00DD78FB" w:rsidRPr="00DD78FB" w:rsidRDefault="00DD78FB" w:rsidP="00DD78FB">
            <w:pPr>
              <w:spacing w:before="120" w:after="120" w:line="259" w:lineRule="auto"/>
              <w:rPr>
                <w:rFonts w:ascii="Arial" w:hAnsi="Arial" w:cs="Arial"/>
                <w:color w:val="7030A0"/>
                <w:lang w:eastAsia="en-US"/>
              </w:rPr>
            </w:pPr>
            <w:r w:rsidRPr="00DD78FB">
              <w:rPr>
                <w:rFonts w:ascii="Arial" w:hAnsi="Arial" w:cs="Arial"/>
                <w:color w:val="7030A0"/>
                <w:lang w:eastAsia="en-US"/>
              </w:rPr>
              <w:t xml:space="preserve">A mandatory arrangement may be appropriate where: </w:t>
            </w:r>
          </w:p>
          <w:p w14:paraId="6C705346" w14:textId="77777777" w:rsidR="00DD78FB" w:rsidRPr="00DD78FB" w:rsidRDefault="00DD78FB" w:rsidP="00DD78FB">
            <w:pPr>
              <w:pStyle w:val="ListParagraph"/>
              <w:numPr>
                <w:ilvl w:val="0"/>
                <w:numId w:val="17"/>
              </w:numPr>
              <w:spacing w:before="120" w:after="120" w:line="259" w:lineRule="auto"/>
              <w:ind w:left="714" w:hanging="357"/>
              <w:contextualSpacing w:val="0"/>
              <w:rPr>
                <w:rFonts w:ascii="Arial" w:hAnsi="Arial" w:cs="Arial"/>
                <w:color w:val="7030A0"/>
                <w:lang w:eastAsia="en-US"/>
              </w:rPr>
            </w:pPr>
            <w:r w:rsidRPr="00DD78FB">
              <w:rPr>
                <w:rFonts w:ascii="Arial" w:hAnsi="Arial" w:cs="Arial"/>
                <w:color w:val="7030A0"/>
                <w:lang w:eastAsia="en-US"/>
              </w:rPr>
              <w:t>participating organisations need to meet a specific level of demand to obtain benefits from the market</w:t>
            </w:r>
          </w:p>
          <w:p w14:paraId="2C379619" w14:textId="77777777" w:rsidR="00DD78FB" w:rsidRPr="00DD78FB" w:rsidRDefault="00DD78FB" w:rsidP="00DD78FB">
            <w:pPr>
              <w:pStyle w:val="ListParagraph"/>
              <w:numPr>
                <w:ilvl w:val="0"/>
                <w:numId w:val="17"/>
              </w:numPr>
              <w:spacing w:before="120" w:after="120" w:line="259" w:lineRule="auto"/>
              <w:contextualSpacing w:val="0"/>
              <w:rPr>
                <w:rFonts w:ascii="Arial" w:hAnsi="Arial" w:cs="Arial"/>
                <w:color w:val="7030A0"/>
                <w:lang w:eastAsia="en-US"/>
              </w:rPr>
            </w:pPr>
            <w:r w:rsidRPr="00DD78FB">
              <w:rPr>
                <w:rFonts w:ascii="Arial" w:hAnsi="Arial" w:cs="Arial"/>
                <w:color w:val="7030A0"/>
                <w:lang w:eastAsia="en-US"/>
              </w:rPr>
              <w:t xml:space="preserve">the main purpose of the arrangement is: </w:t>
            </w:r>
          </w:p>
          <w:p w14:paraId="6B8605AF" w14:textId="77777777" w:rsidR="00DD78FB" w:rsidRPr="00DD78FB" w:rsidRDefault="00DD78FB" w:rsidP="00DD78FB">
            <w:pPr>
              <w:pStyle w:val="ListParagraph"/>
              <w:numPr>
                <w:ilvl w:val="1"/>
                <w:numId w:val="17"/>
              </w:numPr>
              <w:spacing w:before="120" w:after="120" w:line="259" w:lineRule="auto"/>
              <w:contextualSpacing w:val="0"/>
              <w:rPr>
                <w:rFonts w:ascii="Arial" w:hAnsi="Arial" w:cs="Arial"/>
                <w:color w:val="7030A0"/>
                <w:lang w:eastAsia="en-US"/>
              </w:rPr>
            </w:pPr>
            <w:r w:rsidRPr="00DD78FB">
              <w:rPr>
                <w:rFonts w:ascii="Arial" w:hAnsi="Arial" w:cs="Arial"/>
                <w:color w:val="7030A0"/>
                <w:lang w:eastAsia="en-US"/>
              </w:rPr>
              <w:t>increasing the efficiency or consistency of the procurement process</w:t>
            </w:r>
          </w:p>
          <w:p w14:paraId="0F950B28" w14:textId="77777777" w:rsidR="00DD78FB" w:rsidRPr="00DD78FB" w:rsidRDefault="00DD78FB" w:rsidP="00DD78FB">
            <w:pPr>
              <w:pStyle w:val="ListParagraph"/>
              <w:numPr>
                <w:ilvl w:val="1"/>
                <w:numId w:val="17"/>
              </w:numPr>
              <w:spacing w:before="120" w:after="120" w:line="259" w:lineRule="auto"/>
              <w:contextualSpacing w:val="0"/>
              <w:rPr>
                <w:rFonts w:ascii="Arial" w:hAnsi="Arial" w:cs="Arial"/>
                <w:color w:val="7030A0"/>
                <w:lang w:eastAsia="en-US"/>
              </w:rPr>
            </w:pPr>
            <w:r w:rsidRPr="00DD78FB">
              <w:rPr>
                <w:rFonts w:ascii="Arial" w:hAnsi="Arial" w:cs="Arial"/>
                <w:color w:val="7030A0"/>
                <w:lang w:eastAsia="en-US"/>
              </w:rPr>
              <w:t>mitigating a significant risk to the State</w:t>
            </w:r>
          </w:p>
          <w:p w14:paraId="63D9A551" w14:textId="77777777" w:rsidR="00DD78FB" w:rsidRPr="00DD78FB" w:rsidRDefault="00DD78FB" w:rsidP="00DD78FB">
            <w:pPr>
              <w:pStyle w:val="ListParagraph"/>
              <w:numPr>
                <w:ilvl w:val="1"/>
                <w:numId w:val="17"/>
              </w:numPr>
              <w:spacing w:before="120" w:after="120" w:line="259" w:lineRule="auto"/>
              <w:contextualSpacing w:val="0"/>
              <w:rPr>
                <w:rFonts w:ascii="Arial" w:hAnsi="Arial" w:cs="Arial"/>
                <w:color w:val="7030A0"/>
                <w:lang w:eastAsia="en-US"/>
              </w:rPr>
            </w:pPr>
            <w:r w:rsidRPr="00DD78FB">
              <w:rPr>
                <w:rFonts w:ascii="Arial" w:hAnsi="Arial" w:cs="Arial"/>
                <w:color w:val="7030A0"/>
                <w:lang w:eastAsia="en-US"/>
              </w:rPr>
              <w:t>achieving broader policy objectives</w:t>
            </w:r>
          </w:p>
          <w:p w14:paraId="2FA7FF93" w14:textId="77777777" w:rsidR="00DD78FB" w:rsidRPr="00DD78FB" w:rsidRDefault="00DD78FB" w:rsidP="00DD78FB">
            <w:pPr>
              <w:pStyle w:val="ListParagraph"/>
              <w:numPr>
                <w:ilvl w:val="0"/>
                <w:numId w:val="17"/>
              </w:numPr>
              <w:spacing w:before="120" w:after="120" w:line="259" w:lineRule="auto"/>
              <w:contextualSpacing w:val="0"/>
              <w:rPr>
                <w:rFonts w:ascii="Arial" w:hAnsi="Arial" w:cs="Arial"/>
                <w:color w:val="7030A0"/>
                <w:lang w:eastAsia="en-US"/>
              </w:rPr>
            </w:pPr>
            <w:r w:rsidRPr="00DD78FB">
              <w:rPr>
                <w:rFonts w:ascii="Arial" w:hAnsi="Arial" w:cs="Arial"/>
                <w:color w:val="7030A0"/>
                <w:lang w:eastAsia="en-US"/>
              </w:rPr>
              <w:t>legislation or government policy requires use of the arrangement</w:t>
            </w:r>
          </w:p>
          <w:p w14:paraId="5B047A80" w14:textId="77777777" w:rsidR="00DD78FB" w:rsidRPr="00DD78FB" w:rsidRDefault="00DD78FB" w:rsidP="00DD78FB">
            <w:pPr>
              <w:pStyle w:val="ListParagraph"/>
              <w:numPr>
                <w:ilvl w:val="0"/>
                <w:numId w:val="17"/>
              </w:numPr>
              <w:spacing w:before="120" w:after="120" w:line="259" w:lineRule="auto"/>
              <w:rPr>
                <w:rFonts w:ascii="Arial" w:hAnsi="Arial" w:cs="Arial"/>
                <w:color w:val="7030A0"/>
                <w:lang w:eastAsia="en-US"/>
              </w:rPr>
            </w:pPr>
            <w:r w:rsidRPr="00DD78FB">
              <w:rPr>
                <w:rFonts w:ascii="Arial" w:hAnsi="Arial" w:cs="Arial"/>
                <w:color w:val="7030A0"/>
                <w:lang w:eastAsia="en-US"/>
              </w:rPr>
              <w:t>the needs or requirements of participating organisations are certain and unlikely to change</w:t>
            </w:r>
          </w:p>
          <w:p w14:paraId="55DC6102" w14:textId="77777777" w:rsidR="00DD78FB" w:rsidRPr="00DD78FB" w:rsidRDefault="00DD78FB" w:rsidP="00DD78FB">
            <w:pPr>
              <w:spacing w:before="120" w:after="120" w:line="259" w:lineRule="auto"/>
              <w:rPr>
                <w:rFonts w:ascii="Arial" w:hAnsi="Arial" w:cs="Arial"/>
                <w:color w:val="7030A0"/>
                <w:lang w:eastAsia="en-US"/>
              </w:rPr>
            </w:pPr>
            <w:r w:rsidRPr="00DD78FB">
              <w:rPr>
                <w:rFonts w:ascii="Arial" w:hAnsi="Arial" w:cs="Arial"/>
                <w:color w:val="7030A0"/>
                <w:lang w:eastAsia="en-US"/>
              </w:rPr>
              <w:t xml:space="preserve">Participating organisations must use a mandatory arrangement for its entire term (after any transition period). </w:t>
            </w:r>
          </w:p>
          <w:p w14:paraId="028261C5" w14:textId="77777777" w:rsidR="00DD78FB" w:rsidRPr="00DD78FB" w:rsidRDefault="00DD78FB" w:rsidP="00DD78FB">
            <w:pPr>
              <w:spacing w:before="120" w:after="120" w:line="259" w:lineRule="auto"/>
              <w:rPr>
                <w:rFonts w:ascii="Arial" w:hAnsi="Arial" w:cs="Arial"/>
                <w:b/>
                <w:bCs/>
                <w:color w:val="7030A0"/>
                <w:lang w:eastAsia="en-US"/>
              </w:rPr>
            </w:pPr>
            <w:r w:rsidRPr="00DD78FB">
              <w:rPr>
                <w:rFonts w:ascii="Arial" w:hAnsi="Arial" w:cs="Arial"/>
                <w:b/>
                <w:bCs/>
                <w:color w:val="7030A0"/>
                <w:lang w:eastAsia="en-US"/>
              </w:rPr>
              <w:t>Non-mandatory arrangements</w:t>
            </w:r>
          </w:p>
          <w:p w14:paraId="5EED8673" w14:textId="77777777" w:rsidR="00DD78FB" w:rsidRPr="00DD78FB" w:rsidRDefault="00DD78FB" w:rsidP="00DD78FB">
            <w:pPr>
              <w:spacing w:before="120" w:after="120" w:line="259" w:lineRule="auto"/>
              <w:rPr>
                <w:rFonts w:ascii="Arial" w:hAnsi="Arial" w:cs="Arial"/>
                <w:color w:val="7030A0"/>
                <w:lang w:eastAsia="en-US"/>
              </w:rPr>
            </w:pPr>
            <w:r w:rsidRPr="00DD78FB">
              <w:rPr>
                <w:rFonts w:ascii="Arial" w:hAnsi="Arial" w:cs="Arial"/>
                <w:color w:val="7030A0"/>
                <w:lang w:eastAsia="en-US"/>
              </w:rPr>
              <w:lastRenderedPageBreak/>
              <w:t xml:space="preserve">A non-mandatory arrangement may be appropriate where: </w:t>
            </w:r>
          </w:p>
          <w:p w14:paraId="594BD959" w14:textId="77777777" w:rsidR="00DD78FB" w:rsidRPr="00DD78FB" w:rsidRDefault="00DD78FB" w:rsidP="00DD78FB">
            <w:pPr>
              <w:pStyle w:val="ListParagraph"/>
              <w:numPr>
                <w:ilvl w:val="0"/>
                <w:numId w:val="18"/>
              </w:numPr>
              <w:spacing w:before="120" w:after="120" w:line="259" w:lineRule="auto"/>
              <w:contextualSpacing w:val="0"/>
              <w:rPr>
                <w:rFonts w:ascii="Arial" w:hAnsi="Arial" w:cs="Arial"/>
                <w:color w:val="7030A0"/>
                <w:lang w:eastAsia="en-US"/>
              </w:rPr>
            </w:pPr>
            <w:r w:rsidRPr="00DD78FB">
              <w:rPr>
                <w:rFonts w:ascii="Arial" w:hAnsi="Arial" w:cs="Arial"/>
                <w:color w:val="7030A0"/>
                <w:lang w:eastAsia="en-US"/>
              </w:rPr>
              <w:t>participating organisations can obtain benefits from the market without meeting a specific level of demand</w:t>
            </w:r>
          </w:p>
          <w:p w14:paraId="4DDE0791" w14:textId="77777777" w:rsidR="00DD78FB" w:rsidRPr="00DD78FB" w:rsidRDefault="00DD78FB" w:rsidP="00DD78FB">
            <w:pPr>
              <w:pStyle w:val="ListParagraph"/>
              <w:numPr>
                <w:ilvl w:val="0"/>
                <w:numId w:val="18"/>
              </w:numPr>
              <w:spacing w:before="120" w:after="120" w:line="259" w:lineRule="auto"/>
              <w:contextualSpacing w:val="0"/>
              <w:rPr>
                <w:rFonts w:ascii="Arial" w:hAnsi="Arial" w:cs="Arial"/>
                <w:color w:val="7030A0"/>
                <w:lang w:eastAsia="en-US"/>
              </w:rPr>
            </w:pPr>
            <w:r w:rsidRPr="00DD78FB">
              <w:rPr>
                <w:rFonts w:ascii="Arial" w:hAnsi="Arial" w:cs="Arial"/>
                <w:color w:val="7030A0"/>
                <w:lang w:eastAsia="en-US"/>
              </w:rPr>
              <w:t>participating organisations will often need to procure goods or services outside the arrangement (e.g. in some regional areas)</w:t>
            </w:r>
          </w:p>
          <w:p w14:paraId="59D53684" w14:textId="77777777" w:rsidR="00DD78FB" w:rsidRPr="00DD78FB" w:rsidRDefault="00DD78FB" w:rsidP="00DD78FB">
            <w:pPr>
              <w:pStyle w:val="ListParagraph"/>
              <w:numPr>
                <w:ilvl w:val="0"/>
                <w:numId w:val="18"/>
              </w:numPr>
              <w:spacing w:before="120" w:after="120" w:line="259" w:lineRule="auto"/>
              <w:contextualSpacing w:val="0"/>
              <w:rPr>
                <w:rFonts w:ascii="Arial" w:hAnsi="Arial" w:cs="Arial"/>
                <w:color w:val="7030A0"/>
                <w:lang w:eastAsia="en-US"/>
              </w:rPr>
            </w:pPr>
            <w:r w:rsidRPr="00DD78FB">
              <w:rPr>
                <w:rFonts w:ascii="Arial" w:hAnsi="Arial" w:cs="Arial"/>
                <w:color w:val="7030A0"/>
                <w:lang w:eastAsia="en-US"/>
              </w:rPr>
              <w:t>the arrangement may not provide value for money for a significant proportion of participating organisations (e.g. their value drivers differ)</w:t>
            </w:r>
          </w:p>
          <w:p w14:paraId="639954EC" w14:textId="77777777" w:rsidR="00DD78FB" w:rsidRPr="00DD78FB" w:rsidRDefault="00DD78FB" w:rsidP="00DD78FB">
            <w:pPr>
              <w:pStyle w:val="ListParagraph"/>
              <w:numPr>
                <w:ilvl w:val="0"/>
                <w:numId w:val="18"/>
              </w:numPr>
              <w:spacing w:before="120" w:after="120" w:line="259" w:lineRule="auto"/>
              <w:rPr>
                <w:rFonts w:ascii="Arial" w:hAnsi="Arial" w:cs="Arial"/>
                <w:color w:val="7030A0"/>
                <w:lang w:eastAsia="en-US"/>
              </w:rPr>
            </w:pPr>
            <w:r w:rsidRPr="00DD78FB">
              <w:rPr>
                <w:rFonts w:ascii="Arial" w:hAnsi="Arial" w:cs="Arial"/>
                <w:color w:val="7030A0"/>
                <w:lang w:eastAsia="en-US"/>
              </w:rPr>
              <w:t xml:space="preserve">the needs or requirements of participating organisations are uncertain or likely to change </w:t>
            </w:r>
          </w:p>
          <w:p w14:paraId="0C5BBBF4" w14:textId="77777777" w:rsidR="00DD78FB" w:rsidRPr="00DD78FB" w:rsidRDefault="00DD78FB" w:rsidP="00DD78FB">
            <w:pPr>
              <w:spacing w:before="120" w:after="120" w:line="259" w:lineRule="auto"/>
              <w:rPr>
                <w:rFonts w:ascii="Arial" w:hAnsi="Arial" w:cs="Arial"/>
                <w:color w:val="7030A0"/>
                <w:lang w:eastAsia="en-US"/>
              </w:rPr>
            </w:pPr>
            <w:r w:rsidRPr="00DD78FB">
              <w:rPr>
                <w:rFonts w:ascii="Arial" w:hAnsi="Arial" w:cs="Arial"/>
                <w:color w:val="7030A0"/>
                <w:lang w:eastAsia="en-US"/>
              </w:rPr>
              <w:t xml:space="preserve">A mandatory arrangement may include categories of goods or services that are ‘non-mandatory’. In this scenario, the rules of use should clearly state which goods or services are mandatory and non-mandatory. </w:t>
            </w:r>
          </w:p>
          <w:p w14:paraId="3646276E" w14:textId="77777777" w:rsidR="00DD78FB" w:rsidRPr="0084795D" w:rsidRDefault="00DD78FB" w:rsidP="00DD78FB">
            <w:pPr>
              <w:rPr>
                <w:lang w:eastAsia="en-US"/>
              </w:rPr>
            </w:pPr>
            <w:r w:rsidRPr="00DD78FB">
              <w:rPr>
                <w:rFonts w:ascii="Arial" w:hAnsi="Arial" w:cs="Arial"/>
                <w:color w:val="7030A0"/>
                <w:lang w:eastAsia="en-US"/>
              </w:rPr>
              <w:t>Participating organisations are strongly recommended to use a non-mandatory arrangement (or non-mandatory goods or services covered by an arrangement) if it demonstrates value for money for their organisation.</w:t>
            </w:r>
          </w:p>
        </w:tc>
      </w:tr>
      <w:bookmarkEnd w:id="1"/>
    </w:tbl>
    <w:p w14:paraId="081B62E4" w14:textId="6B4D24DD" w:rsidR="00EE077A" w:rsidRPr="002B1D7A" w:rsidRDefault="00EE077A" w:rsidP="00932BB7">
      <w:pPr>
        <w:spacing w:before="120" w:after="120" w:line="259" w:lineRule="auto"/>
        <w:rPr>
          <w:rFonts w:ascii="Arial" w:hAnsi="Arial" w:cs="Arial"/>
          <w:sz w:val="2"/>
          <w:szCs w:val="2"/>
          <w:lang w:eastAsia="en-US"/>
        </w:rPr>
      </w:pPr>
    </w:p>
    <w:p w14:paraId="26B1D5D5" w14:textId="77777777" w:rsidR="00FF4B03" w:rsidRPr="00FF4B03" w:rsidRDefault="00FF4B03" w:rsidP="00EE077A">
      <w:pPr>
        <w:pStyle w:val="Heading3"/>
        <w:spacing w:line="259" w:lineRule="auto"/>
        <w:rPr>
          <w:rFonts w:ascii="Arial" w:hAnsi="Arial" w:cs="Arial"/>
          <w:color w:val="381F6A"/>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F4B03" w14:paraId="127A296C" w14:textId="77777777" w:rsidTr="00AB4987">
        <w:tc>
          <w:tcPr>
            <w:tcW w:w="9016" w:type="dxa"/>
          </w:tcPr>
          <w:p w14:paraId="5633AF79" w14:textId="77777777" w:rsidR="00FF4B03" w:rsidRPr="00DD78FB" w:rsidRDefault="00FF4B03" w:rsidP="00FF4B03">
            <w:pPr>
              <w:spacing w:before="120" w:after="120" w:line="259" w:lineRule="auto"/>
              <w:rPr>
                <w:rFonts w:ascii="Arial" w:hAnsi="Arial" w:cs="Arial"/>
                <w:b/>
                <w:bCs/>
                <w:color w:val="7030A0"/>
                <w:sz w:val="28"/>
                <w:szCs w:val="28"/>
              </w:rPr>
            </w:pPr>
            <w:r w:rsidRPr="00DD78FB">
              <w:rPr>
                <w:rFonts w:ascii="Arial" w:hAnsi="Arial" w:cs="Arial"/>
                <w:b/>
                <w:bCs/>
                <w:color w:val="7030A0"/>
                <w:sz w:val="28"/>
                <w:szCs w:val="28"/>
                <w:u w:val="single"/>
              </w:rPr>
              <w:t>Option 2</w:t>
            </w:r>
            <w:r w:rsidRPr="00DD78FB">
              <w:rPr>
                <w:rFonts w:ascii="Arial" w:hAnsi="Arial" w:cs="Arial"/>
                <w:b/>
                <w:bCs/>
                <w:color w:val="7030A0"/>
                <w:sz w:val="28"/>
                <w:szCs w:val="28"/>
              </w:rPr>
              <w:t xml:space="preserve"> – Open or closed arrangement</w:t>
            </w:r>
          </w:p>
          <w:p w14:paraId="7F2D1222" w14:textId="77777777" w:rsidR="0084795D" w:rsidRPr="00DD78FB" w:rsidRDefault="0084795D" w:rsidP="0084795D">
            <w:pPr>
              <w:spacing w:before="120" w:after="120" w:line="259" w:lineRule="auto"/>
              <w:rPr>
                <w:rFonts w:ascii="Arial" w:hAnsi="Arial" w:cs="Arial"/>
                <w:b/>
                <w:bCs/>
                <w:color w:val="7030A0"/>
                <w:lang w:eastAsia="en-US"/>
              </w:rPr>
            </w:pPr>
            <w:r w:rsidRPr="00DD78FB">
              <w:rPr>
                <w:rFonts w:ascii="Arial" w:hAnsi="Arial" w:cs="Arial"/>
                <w:b/>
                <w:bCs/>
                <w:color w:val="7030A0"/>
                <w:lang w:eastAsia="en-US"/>
              </w:rPr>
              <w:t>Open arrangement</w:t>
            </w:r>
          </w:p>
          <w:p w14:paraId="7F1DA9F8" w14:textId="77777777" w:rsidR="0084795D" w:rsidRPr="00DD78FB" w:rsidRDefault="0084795D" w:rsidP="0084795D">
            <w:pPr>
              <w:spacing w:before="120" w:after="120" w:line="259" w:lineRule="auto"/>
              <w:rPr>
                <w:rFonts w:ascii="Arial" w:hAnsi="Arial" w:cs="Arial"/>
                <w:color w:val="7030A0"/>
                <w:lang w:eastAsia="en-US"/>
              </w:rPr>
            </w:pPr>
            <w:r w:rsidRPr="00DD78FB">
              <w:rPr>
                <w:rFonts w:ascii="Arial" w:hAnsi="Arial" w:cs="Arial"/>
                <w:color w:val="7030A0"/>
                <w:lang w:eastAsia="en-US"/>
              </w:rPr>
              <w:t xml:space="preserve">An open arrangement allows new suppliers to be added during the arrangement. </w:t>
            </w:r>
          </w:p>
          <w:p w14:paraId="300E869B" w14:textId="77777777" w:rsidR="0084795D" w:rsidRPr="00DD78FB" w:rsidRDefault="0084795D" w:rsidP="0084795D">
            <w:pPr>
              <w:spacing w:before="120" w:after="120" w:line="259" w:lineRule="auto"/>
              <w:rPr>
                <w:rFonts w:ascii="Arial" w:hAnsi="Arial" w:cs="Arial"/>
                <w:color w:val="7030A0"/>
                <w:lang w:eastAsia="en-US"/>
              </w:rPr>
            </w:pPr>
            <w:r w:rsidRPr="00DD78FB">
              <w:rPr>
                <w:rFonts w:ascii="Arial" w:hAnsi="Arial" w:cs="Arial"/>
                <w:color w:val="7030A0"/>
                <w:lang w:eastAsia="en-US"/>
              </w:rPr>
              <w:t>An open arrangement may be appropriate when:</w:t>
            </w:r>
          </w:p>
          <w:p w14:paraId="384EB75C" w14:textId="77777777" w:rsidR="0084795D" w:rsidRPr="00DD78FB" w:rsidRDefault="0084795D" w:rsidP="0084795D">
            <w:pPr>
              <w:pStyle w:val="Bullet1"/>
              <w:numPr>
                <w:ilvl w:val="0"/>
                <w:numId w:val="5"/>
              </w:numPr>
              <w:spacing w:before="120" w:after="120" w:line="259" w:lineRule="auto"/>
              <w:rPr>
                <w:rFonts w:ascii="Arial" w:hAnsi="Arial" w:cs="Arial"/>
                <w:color w:val="7030A0"/>
                <w:lang w:eastAsia="en-US"/>
              </w:rPr>
            </w:pPr>
            <w:r w:rsidRPr="00DD78FB">
              <w:rPr>
                <w:rFonts w:ascii="Arial" w:hAnsi="Arial" w:cs="Arial"/>
                <w:color w:val="7030A0"/>
                <w:lang w:eastAsia="en-US"/>
              </w:rPr>
              <w:t>market conditions are dynamic (e.g. new solutions, providers and technologies are emerging)</w:t>
            </w:r>
          </w:p>
          <w:p w14:paraId="3EDD101A" w14:textId="77777777" w:rsidR="0084795D" w:rsidRPr="00DD78FB" w:rsidRDefault="0084795D" w:rsidP="0084795D">
            <w:pPr>
              <w:pStyle w:val="Bullet1"/>
              <w:numPr>
                <w:ilvl w:val="0"/>
                <w:numId w:val="5"/>
              </w:numPr>
              <w:spacing w:before="120" w:after="120" w:line="259" w:lineRule="auto"/>
              <w:rPr>
                <w:rFonts w:ascii="Arial" w:hAnsi="Arial" w:cs="Arial"/>
                <w:color w:val="7030A0"/>
                <w:lang w:eastAsia="en-US"/>
              </w:rPr>
            </w:pPr>
            <w:r w:rsidRPr="00DD78FB">
              <w:rPr>
                <w:rFonts w:ascii="Arial" w:hAnsi="Arial" w:cs="Arial"/>
                <w:color w:val="7030A0"/>
                <w:lang w:eastAsia="en-US"/>
              </w:rPr>
              <w:t xml:space="preserve">prices, fees, or rates are indicative or may fluctuate </w:t>
            </w:r>
          </w:p>
          <w:p w14:paraId="41BF7A74" w14:textId="77777777" w:rsidR="0084795D" w:rsidRPr="00DD78FB" w:rsidRDefault="0084795D" w:rsidP="0084795D">
            <w:pPr>
              <w:pStyle w:val="Bullet1"/>
              <w:numPr>
                <w:ilvl w:val="0"/>
                <w:numId w:val="5"/>
              </w:numPr>
              <w:spacing w:before="120" w:after="120" w:line="259" w:lineRule="auto"/>
              <w:rPr>
                <w:rFonts w:ascii="Arial" w:hAnsi="Arial" w:cs="Arial"/>
                <w:color w:val="7030A0"/>
                <w:lang w:eastAsia="en-US"/>
              </w:rPr>
            </w:pPr>
            <w:r w:rsidRPr="00DD78FB">
              <w:rPr>
                <w:rFonts w:ascii="Arial" w:hAnsi="Arial" w:cs="Arial"/>
                <w:color w:val="7030A0"/>
                <w:lang w:eastAsia="en-US"/>
              </w:rPr>
              <w:t>the supply market has diverse expertise or many potential suppliers</w:t>
            </w:r>
          </w:p>
          <w:p w14:paraId="69C99924" w14:textId="77777777" w:rsidR="0084795D" w:rsidRPr="00DD78FB" w:rsidRDefault="0084795D" w:rsidP="0084795D">
            <w:pPr>
              <w:pStyle w:val="Bullet1"/>
              <w:numPr>
                <w:ilvl w:val="0"/>
                <w:numId w:val="5"/>
              </w:numPr>
              <w:spacing w:before="120" w:after="120" w:line="259" w:lineRule="auto"/>
              <w:rPr>
                <w:rFonts w:ascii="Arial" w:hAnsi="Arial" w:cs="Arial"/>
                <w:color w:val="7030A0"/>
                <w:lang w:eastAsia="en-US"/>
              </w:rPr>
            </w:pPr>
            <w:r w:rsidRPr="00DD78FB">
              <w:rPr>
                <w:rFonts w:ascii="Arial" w:hAnsi="Arial" w:cs="Arial"/>
                <w:color w:val="7030A0"/>
                <w:lang w:eastAsia="en-US"/>
              </w:rPr>
              <w:t>requirements are broad or expected to evolve</w:t>
            </w:r>
          </w:p>
          <w:p w14:paraId="7604F495" w14:textId="77777777" w:rsidR="0084795D" w:rsidRPr="00DD78FB" w:rsidRDefault="0084795D" w:rsidP="0084795D">
            <w:pPr>
              <w:pStyle w:val="ListParagraph"/>
              <w:numPr>
                <w:ilvl w:val="0"/>
                <w:numId w:val="6"/>
              </w:numPr>
              <w:spacing w:before="120" w:after="120" w:line="259" w:lineRule="auto"/>
              <w:rPr>
                <w:rFonts w:ascii="Arial" w:hAnsi="Arial" w:cs="Arial"/>
                <w:color w:val="7030A0"/>
                <w:lang w:eastAsia="en-US"/>
              </w:rPr>
            </w:pPr>
            <w:r w:rsidRPr="00DD78FB">
              <w:rPr>
                <w:rFonts w:ascii="Arial" w:hAnsi="Arial" w:cs="Arial"/>
                <w:color w:val="7030A0"/>
                <w:lang w:eastAsia="en-US"/>
              </w:rPr>
              <w:t>demand is high or expected to increase compared to the number and capacity of potential suppliers when establishing the arrangement</w:t>
            </w:r>
          </w:p>
          <w:p w14:paraId="3727F7A8" w14:textId="77777777" w:rsidR="0084795D" w:rsidRPr="00DD78FB" w:rsidRDefault="0084795D" w:rsidP="0084795D">
            <w:pPr>
              <w:spacing w:before="120" w:after="120" w:line="259" w:lineRule="auto"/>
              <w:rPr>
                <w:rFonts w:ascii="Arial" w:hAnsi="Arial" w:cs="Arial"/>
                <w:color w:val="7030A0"/>
                <w:lang w:eastAsia="en-US"/>
              </w:rPr>
            </w:pPr>
            <w:r w:rsidRPr="00DD78FB">
              <w:rPr>
                <w:rFonts w:ascii="Arial" w:hAnsi="Arial" w:cs="Arial"/>
                <w:color w:val="7030A0"/>
                <w:lang w:eastAsia="en-US"/>
              </w:rPr>
              <w:t xml:space="preserve">When establishing an open arrangement, organisations should: </w:t>
            </w:r>
          </w:p>
          <w:p w14:paraId="1354C7DE" w14:textId="77777777" w:rsidR="0084795D" w:rsidRPr="00DD78FB" w:rsidRDefault="0084795D" w:rsidP="0084795D">
            <w:pPr>
              <w:pStyle w:val="ListParagraph"/>
              <w:numPr>
                <w:ilvl w:val="0"/>
                <w:numId w:val="20"/>
              </w:numPr>
              <w:spacing w:before="120" w:after="120" w:line="259" w:lineRule="auto"/>
              <w:ind w:left="714" w:hanging="357"/>
              <w:contextualSpacing w:val="0"/>
              <w:rPr>
                <w:rFonts w:ascii="Arial" w:hAnsi="Arial" w:cs="Arial"/>
                <w:color w:val="7030A0"/>
                <w:lang w:eastAsia="en-US"/>
              </w:rPr>
            </w:pPr>
            <w:r w:rsidRPr="00DD78FB">
              <w:rPr>
                <w:rFonts w:ascii="Arial" w:hAnsi="Arial" w:cs="Arial"/>
                <w:color w:val="7030A0"/>
                <w:lang w:eastAsia="en-US"/>
              </w:rPr>
              <w:t>determine how they will add or remove suppliers and explain this in the market approach</w:t>
            </w:r>
          </w:p>
          <w:p w14:paraId="36844F57" w14:textId="77777777" w:rsidR="0084795D" w:rsidRPr="00DD78FB" w:rsidRDefault="0084795D" w:rsidP="0084795D">
            <w:pPr>
              <w:pStyle w:val="ListParagraph"/>
              <w:numPr>
                <w:ilvl w:val="0"/>
                <w:numId w:val="20"/>
              </w:numPr>
              <w:spacing w:before="120" w:after="120" w:line="259" w:lineRule="auto"/>
              <w:ind w:left="714" w:hanging="357"/>
              <w:contextualSpacing w:val="0"/>
              <w:rPr>
                <w:rFonts w:ascii="Arial" w:hAnsi="Arial" w:cs="Arial"/>
                <w:color w:val="7030A0"/>
                <w:lang w:eastAsia="en-US"/>
              </w:rPr>
            </w:pPr>
            <w:r w:rsidRPr="00DD78FB">
              <w:rPr>
                <w:rFonts w:ascii="Arial" w:hAnsi="Arial" w:cs="Arial"/>
                <w:color w:val="7030A0"/>
                <w:lang w:eastAsia="en-US"/>
              </w:rPr>
              <w:t>ensure that the expected benefits outweigh the expected cost of operating the arrangement</w:t>
            </w:r>
          </w:p>
          <w:p w14:paraId="0CE47F38" w14:textId="77777777" w:rsidR="0084795D" w:rsidRPr="00DD78FB" w:rsidRDefault="0084795D" w:rsidP="0084795D">
            <w:pPr>
              <w:pStyle w:val="ListParagraph"/>
              <w:numPr>
                <w:ilvl w:val="0"/>
                <w:numId w:val="20"/>
              </w:numPr>
              <w:spacing w:before="120" w:after="120" w:line="259" w:lineRule="auto"/>
              <w:ind w:left="714" w:hanging="357"/>
              <w:contextualSpacing w:val="0"/>
              <w:rPr>
                <w:rFonts w:ascii="Arial" w:hAnsi="Arial" w:cs="Arial"/>
                <w:color w:val="7030A0"/>
                <w:lang w:eastAsia="en-US"/>
              </w:rPr>
            </w:pPr>
            <w:r w:rsidRPr="00DD78FB">
              <w:rPr>
                <w:rFonts w:ascii="Arial" w:hAnsi="Arial" w:cs="Arial"/>
                <w:color w:val="7030A0"/>
                <w:lang w:eastAsia="en-US"/>
              </w:rPr>
              <w:t xml:space="preserve">assess and manage any risks relating to the arrangement </w:t>
            </w:r>
          </w:p>
          <w:p w14:paraId="34F14D2E" w14:textId="77777777" w:rsidR="0084795D" w:rsidRPr="00DD78FB" w:rsidRDefault="0084795D" w:rsidP="0084795D">
            <w:pPr>
              <w:spacing w:before="120" w:after="120" w:line="259" w:lineRule="auto"/>
              <w:rPr>
                <w:rFonts w:ascii="Arial" w:hAnsi="Arial" w:cs="Arial"/>
                <w:b/>
                <w:bCs/>
                <w:color w:val="7030A0"/>
                <w:lang w:eastAsia="en-US"/>
              </w:rPr>
            </w:pPr>
            <w:r w:rsidRPr="00DD78FB">
              <w:rPr>
                <w:rFonts w:ascii="Arial" w:hAnsi="Arial" w:cs="Arial"/>
                <w:b/>
                <w:bCs/>
                <w:color w:val="7030A0"/>
                <w:lang w:eastAsia="en-US"/>
              </w:rPr>
              <w:t>Closed arrangement</w:t>
            </w:r>
          </w:p>
          <w:p w14:paraId="282A9C47" w14:textId="77777777" w:rsidR="0084795D" w:rsidRPr="00DD78FB" w:rsidRDefault="0084795D" w:rsidP="0084795D">
            <w:pPr>
              <w:spacing w:before="120" w:after="120" w:line="259" w:lineRule="auto"/>
              <w:rPr>
                <w:rFonts w:ascii="Arial" w:hAnsi="Arial" w:cs="Arial"/>
                <w:color w:val="7030A0"/>
                <w:lang w:eastAsia="en-US"/>
              </w:rPr>
            </w:pPr>
            <w:r w:rsidRPr="00DD78FB">
              <w:rPr>
                <w:rFonts w:ascii="Arial" w:hAnsi="Arial" w:cs="Arial"/>
                <w:color w:val="7030A0"/>
                <w:lang w:eastAsia="en-US"/>
              </w:rPr>
              <w:t xml:space="preserve">A closed arrangement does not allow new suppliers to be added during the arrangement. </w:t>
            </w:r>
          </w:p>
          <w:p w14:paraId="05BA1CF9" w14:textId="77777777" w:rsidR="0084795D" w:rsidRPr="00DD78FB" w:rsidRDefault="0084795D" w:rsidP="0084795D">
            <w:pPr>
              <w:spacing w:before="120" w:after="120" w:line="259" w:lineRule="auto"/>
              <w:rPr>
                <w:rFonts w:ascii="Arial" w:hAnsi="Arial" w:cs="Arial"/>
                <w:color w:val="7030A0"/>
                <w:lang w:eastAsia="en-US"/>
              </w:rPr>
            </w:pPr>
            <w:r w:rsidRPr="00DD78FB">
              <w:rPr>
                <w:rFonts w:ascii="Arial" w:hAnsi="Arial" w:cs="Arial"/>
                <w:color w:val="7030A0"/>
                <w:lang w:eastAsia="en-US"/>
              </w:rPr>
              <w:t>A closed arrangement may be appropriate when:</w:t>
            </w:r>
          </w:p>
          <w:p w14:paraId="4FF63361" w14:textId="77777777" w:rsidR="0084795D" w:rsidRPr="00DD78FB" w:rsidRDefault="0084795D" w:rsidP="0084795D">
            <w:pPr>
              <w:pStyle w:val="Bullet1"/>
              <w:numPr>
                <w:ilvl w:val="0"/>
                <w:numId w:val="10"/>
              </w:numPr>
              <w:spacing w:before="120" w:after="120" w:line="259" w:lineRule="auto"/>
              <w:rPr>
                <w:rFonts w:ascii="Arial" w:hAnsi="Arial" w:cs="Arial"/>
                <w:color w:val="7030A0"/>
                <w:lang w:eastAsia="en-US"/>
              </w:rPr>
            </w:pPr>
            <w:r w:rsidRPr="00DD78FB">
              <w:rPr>
                <w:rFonts w:ascii="Arial" w:hAnsi="Arial" w:cs="Arial"/>
                <w:color w:val="7030A0"/>
                <w:lang w:eastAsia="en-US"/>
              </w:rPr>
              <w:lastRenderedPageBreak/>
              <w:t>fixed prices, fees or rates apply</w:t>
            </w:r>
          </w:p>
          <w:p w14:paraId="331DEF8C" w14:textId="77777777" w:rsidR="0084795D" w:rsidRPr="00DD78FB" w:rsidRDefault="0084795D" w:rsidP="0084795D">
            <w:pPr>
              <w:pStyle w:val="Bullet1"/>
              <w:numPr>
                <w:ilvl w:val="0"/>
                <w:numId w:val="10"/>
              </w:numPr>
              <w:spacing w:before="120" w:after="120" w:line="259" w:lineRule="auto"/>
              <w:rPr>
                <w:rFonts w:ascii="Arial" w:hAnsi="Arial" w:cs="Arial"/>
                <w:color w:val="7030A0"/>
                <w:lang w:eastAsia="en-US"/>
              </w:rPr>
            </w:pPr>
            <w:r w:rsidRPr="00DD78FB">
              <w:rPr>
                <w:rFonts w:ascii="Arial" w:hAnsi="Arial" w:cs="Arial"/>
                <w:color w:val="7030A0"/>
                <w:lang w:eastAsia="en-US"/>
              </w:rPr>
              <w:t>requirements are specific (e.g. specialised skills and knowledge, intellectual property) or stable</w:t>
            </w:r>
          </w:p>
          <w:p w14:paraId="1E7BA980" w14:textId="77777777" w:rsidR="0084795D" w:rsidRPr="00DD78FB" w:rsidRDefault="0084795D" w:rsidP="0084795D">
            <w:pPr>
              <w:pStyle w:val="Bullet1"/>
              <w:numPr>
                <w:ilvl w:val="0"/>
                <w:numId w:val="10"/>
              </w:numPr>
              <w:spacing w:before="120" w:after="120" w:line="259" w:lineRule="auto"/>
              <w:rPr>
                <w:rFonts w:ascii="Arial" w:hAnsi="Arial" w:cs="Arial"/>
                <w:color w:val="7030A0"/>
                <w:lang w:eastAsia="en-US"/>
              </w:rPr>
            </w:pPr>
            <w:r w:rsidRPr="00DD78FB">
              <w:rPr>
                <w:rFonts w:ascii="Arial" w:hAnsi="Arial" w:cs="Arial"/>
                <w:color w:val="7030A0"/>
                <w:lang w:eastAsia="en-US"/>
              </w:rPr>
              <w:t>requirements (e.g. regulatory, confidentiality, security) are better managed by working with a known and trusted group of suppliers</w:t>
            </w:r>
          </w:p>
          <w:p w14:paraId="09224C99" w14:textId="77777777" w:rsidR="0084795D" w:rsidRPr="00DD78FB" w:rsidRDefault="0084795D" w:rsidP="0084795D">
            <w:pPr>
              <w:pStyle w:val="Bullet1"/>
              <w:numPr>
                <w:ilvl w:val="0"/>
                <w:numId w:val="10"/>
              </w:numPr>
              <w:spacing w:before="120" w:after="120" w:line="259" w:lineRule="auto"/>
              <w:rPr>
                <w:rFonts w:ascii="Arial" w:hAnsi="Arial" w:cs="Arial"/>
                <w:color w:val="7030A0"/>
                <w:lang w:eastAsia="en-US"/>
              </w:rPr>
            </w:pPr>
            <w:r w:rsidRPr="00DD78FB">
              <w:rPr>
                <w:rFonts w:ascii="Arial" w:hAnsi="Arial" w:cs="Arial"/>
                <w:color w:val="7030A0"/>
                <w:lang w:eastAsia="en-US"/>
              </w:rPr>
              <w:t xml:space="preserve">concentrating demand with fewer suppliers would increase the potential for government demand to influence the market </w:t>
            </w:r>
          </w:p>
          <w:p w14:paraId="03E14CCC" w14:textId="77777777" w:rsidR="0084795D" w:rsidRPr="00DD78FB" w:rsidRDefault="0084795D" w:rsidP="0084795D">
            <w:pPr>
              <w:pStyle w:val="Bullet1"/>
              <w:numPr>
                <w:ilvl w:val="0"/>
                <w:numId w:val="10"/>
              </w:numPr>
              <w:spacing w:before="120" w:after="120" w:line="259" w:lineRule="auto"/>
              <w:rPr>
                <w:rFonts w:ascii="Arial" w:hAnsi="Arial" w:cs="Arial"/>
                <w:color w:val="7030A0"/>
                <w:lang w:eastAsia="en-US"/>
              </w:rPr>
            </w:pPr>
            <w:r w:rsidRPr="00DD78FB">
              <w:rPr>
                <w:rFonts w:ascii="Arial" w:hAnsi="Arial" w:cs="Arial"/>
                <w:color w:val="7030A0"/>
                <w:lang w:eastAsia="en-US"/>
              </w:rPr>
              <w:t xml:space="preserve">demand can be met by the number and capacity of potential suppliers when establishing the arrangement and is not expected to increase beyond their capacity </w:t>
            </w:r>
          </w:p>
          <w:p w14:paraId="398DDD93" w14:textId="754BDEF6" w:rsidR="0084795D" w:rsidRPr="00FF4B03" w:rsidRDefault="0084795D" w:rsidP="0084795D">
            <w:pPr>
              <w:spacing w:before="120" w:after="120" w:line="259" w:lineRule="auto"/>
              <w:rPr>
                <w:rFonts w:ascii="Arial" w:hAnsi="Arial" w:cs="Arial"/>
                <w:b/>
                <w:bCs/>
                <w:lang w:eastAsia="en-US"/>
              </w:rPr>
            </w:pPr>
            <w:r w:rsidRPr="00DD78FB">
              <w:rPr>
                <w:rFonts w:ascii="Arial" w:hAnsi="Arial" w:cs="Arial"/>
                <w:color w:val="7030A0"/>
                <w:lang w:eastAsia="en-US"/>
              </w:rPr>
              <w:t>When establishing a closed arrangement, organisations should consider the potential impact on small to medium-sized enterprises, social benefit suppliers, or new entrants. These impacts can be reduced by limiting the duration of the arrangement.</w:t>
            </w:r>
          </w:p>
        </w:tc>
      </w:tr>
    </w:tbl>
    <w:p w14:paraId="4C20BA89" w14:textId="77777777" w:rsidR="00FF4B03" w:rsidRPr="00FF4B03" w:rsidRDefault="00FF4B03" w:rsidP="00EE077A">
      <w:pPr>
        <w:spacing w:before="120" w:after="120" w:line="259" w:lineRule="auto"/>
        <w:rPr>
          <w:rFonts w:ascii="Arial" w:hAnsi="Arial" w:cs="Arial"/>
          <w:sz w:val="2"/>
          <w:szCs w:val="2"/>
          <w:lang w:eastAsia="en-US"/>
        </w:rPr>
      </w:pPr>
    </w:p>
    <w:tbl>
      <w:tblPr>
        <w:tblStyle w:val="TableGrid"/>
        <w:tblW w:w="0" w:type="auto"/>
        <w:tblLook w:val="04A0" w:firstRow="1" w:lastRow="0" w:firstColumn="1" w:lastColumn="0" w:noHBand="0" w:noVBand="1"/>
      </w:tblPr>
      <w:tblGrid>
        <w:gridCol w:w="9016"/>
      </w:tblGrid>
      <w:tr w:rsidR="00FF4B03" w14:paraId="2F41DCA0" w14:textId="77777777" w:rsidTr="00AB4987">
        <w:tc>
          <w:tcPr>
            <w:tcW w:w="9016" w:type="dxa"/>
            <w:tcBorders>
              <w:top w:val="nil"/>
              <w:left w:val="nil"/>
              <w:bottom w:val="nil"/>
              <w:right w:val="nil"/>
            </w:tcBorders>
          </w:tcPr>
          <w:p w14:paraId="78FCF5B4" w14:textId="77777777" w:rsidR="00FF4B03" w:rsidRPr="00DD78FB" w:rsidRDefault="00FF4B03" w:rsidP="00FF4B03">
            <w:pPr>
              <w:spacing w:before="120" w:after="120" w:line="259" w:lineRule="auto"/>
              <w:rPr>
                <w:rFonts w:ascii="Arial" w:hAnsi="Arial" w:cs="Arial"/>
                <w:b/>
                <w:bCs/>
                <w:color w:val="7030A0"/>
                <w:sz w:val="28"/>
                <w:szCs w:val="28"/>
              </w:rPr>
            </w:pPr>
            <w:r w:rsidRPr="00DD78FB">
              <w:rPr>
                <w:rFonts w:ascii="Arial" w:hAnsi="Arial" w:cs="Arial"/>
                <w:b/>
                <w:bCs/>
                <w:color w:val="7030A0"/>
                <w:sz w:val="28"/>
                <w:szCs w:val="28"/>
                <w:u w:val="single"/>
              </w:rPr>
              <w:t>Option 3</w:t>
            </w:r>
            <w:r w:rsidRPr="00DD78FB">
              <w:rPr>
                <w:rFonts w:ascii="Arial" w:hAnsi="Arial" w:cs="Arial"/>
                <w:b/>
                <w:bCs/>
                <w:color w:val="7030A0"/>
                <w:sz w:val="28"/>
                <w:szCs w:val="28"/>
              </w:rPr>
              <w:t xml:space="preserve"> – Sole or multiple supplier arrangement</w:t>
            </w:r>
          </w:p>
          <w:p w14:paraId="213F2935" w14:textId="77777777" w:rsidR="00DD78FB" w:rsidRPr="00DD78FB" w:rsidRDefault="00DD78FB" w:rsidP="00DD78FB">
            <w:pPr>
              <w:spacing w:before="120" w:after="120" w:line="259" w:lineRule="auto"/>
              <w:rPr>
                <w:rFonts w:ascii="Arial" w:hAnsi="Arial" w:cs="Arial"/>
                <w:b/>
                <w:bCs/>
                <w:color w:val="7030A0"/>
                <w:lang w:eastAsia="en-US"/>
              </w:rPr>
            </w:pPr>
            <w:r w:rsidRPr="00DD78FB">
              <w:rPr>
                <w:rFonts w:ascii="Arial" w:hAnsi="Arial" w:cs="Arial"/>
                <w:b/>
                <w:bCs/>
                <w:color w:val="7030A0"/>
                <w:lang w:eastAsia="en-US"/>
              </w:rPr>
              <w:t>Number of suppliers</w:t>
            </w:r>
          </w:p>
          <w:p w14:paraId="0F1C919A" w14:textId="77777777" w:rsidR="00DD78FB" w:rsidRPr="00DD78FB" w:rsidRDefault="00DD78FB" w:rsidP="00DD78FB">
            <w:pPr>
              <w:spacing w:before="120" w:after="120" w:line="259" w:lineRule="auto"/>
              <w:rPr>
                <w:rFonts w:ascii="Arial" w:hAnsi="Arial" w:cs="Arial"/>
                <w:color w:val="7030A0"/>
                <w:lang w:eastAsia="en-US"/>
              </w:rPr>
            </w:pPr>
            <w:r w:rsidRPr="00DD78FB">
              <w:rPr>
                <w:rFonts w:ascii="Arial" w:hAnsi="Arial" w:cs="Arial"/>
                <w:color w:val="7030A0"/>
                <w:lang w:eastAsia="en-US"/>
              </w:rPr>
              <w:t xml:space="preserve">The number of suppliers included in an arrangement can have a significant impact on value for money. This includes the organisation’s costs to establish and manage the arrangement. </w:t>
            </w:r>
          </w:p>
          <w:p w14:paraId="560A6F06" w14:textId="77777777" w:rsidR="00DD78FB" w:rsidRPr="00DD78FB" w:rsidRDefault="00DD78FB" w:rsidP="00DD78FB">
            <w:pPr>
              <w:spacing w:before="120" w:after="120" w:line="259" w:lineRule="auto"/>
              <w:rPr>
                <w:rFonts w:ascii="Arial" w:hAnsi="Arial" w:cs="Arial"/>
                <w:color w:val="7030A0"/>
                <w:lang w:eastAsia="en-US"/>
              </w:rPr>
            </w:pPr>
            <w:r w:rsidRPr="00DD78FB">
              <w:rPr>
                <w:rFonts w:ascii="Arial" w:hAnsi="Arial" w:cs="Arial"/>
                <w:color w:val="7030A0"/>
                <w:lang w:eastAsia="en-US"/>
              </w:rPr>
              <w:t xml:space="preserve">When establishing an arrangement, organisations should disclose to potential suppliers: </w:t>
            </w:r>
          </w:p>
          <w:p w14:paraId="69522E37" w14:textId="77777777" w:rsidR="00DD78FB" w:rsidRPr="00DD78FB" w:rsidRDefault="00DD78FB" w:rsidP="00DD78FB">
            <w:pPr>
              <w:pStyle w:val="ListParagraph"/>
              <w:numPr>
                <w:ilvl w:val="0"/>
                <w:numId w:val="21"/>
              </w:numPr>
              <w:spacing w:before="120" w:after="120" w:line="259" w:lineRule="auto"/>
              <w:ind w:left="714" w:hanging="357"/>
              <w:contextualSpacing w:val="0"/>
              <w:rPr>
                <w:rFonts w:ascii="Arial" w:hAnsi="Arial" w:cs="Arial"/>
                <w:color w:val="7030A0"/>
                <w:lang w:eastAsia="en-US"/>
              </w:rPr>
            </w:pPr>
            <w:r w:rsidRPr="00DD78FB">
              <w:rPr>
                <w:rFonts w:ascii="Arial" w:hAnsi="Arial" w:cs="Arial"/>
                <w:color w:val="7030A0"/>
                <w:lang w:eastAsia="en-US"/>
              </w:rPr>
              <w:t xml:space="preserve">their demand forecast (e.g. quantity, timing) </w:t>
            </w:r>
          </w:p>
          <w:p w14:paraId="10C3E98C" w14:textId="77777777" w:rsidR="00DD78FB" w:rsidRPr="00DD78FB" w:rsidRDefault="00DD78FB" w:rsidP="00DD78FB">
            <w:pPr>
              <w:pStyle w:val="ListParagraph"/>
              <w:numPr>
                <w:ilvl w:val="0"/>
                <w:numId w:val="21"/>
              </w:numPr>
              <w:spacing w:before="120" w:after="120" w:line="259" w:lineRule="auto"/>
              <w:ind w:left="714" w:hanging="357"/>
              <w:contextualSpacing w:val="0"/>
              <w:rPr>
                <w:rFonts w:ascii="Arial" w:hAnsi="Arial" w:cs="Arial"/>
                <w:color w:val="7030A0"/>
                <w:lang w:eastAsia="en-US"/>
              </w:rPr>
            </w:pPr>
            <w:r w:rsidRPr="00DD78FB">
              <w:rPr>
                <w:rFonts w:ascii="Arial" w:hAnsi="Arial" w:cs="Arial"/>
                <w:color w:val="7030A0"/>
                <w:lang w:eastAsia="en-US"/>
              </w:rPr>
              <w:t xml:space="preserve">the expected structure of the arrangement (e.g. sole supplier, supplier panel) </w:t>
            </w:r>
          </w:p>
          <w:p w14:paraId="46E3531C" w14:textId="77777777" w:rsidR="00DD78FB" w:rsidRPr="00DD78FB" w:rsidRDefault="00DD78FB" w:rsidP="00DD78FB">
            <w:pPr>
              <w:spacing w:before="120" w:after="120" w:line="259" w:lineRule="auto"/>
              <w:rPr>
                <w:rFonts w:ascii="Arial" w:hAnsi="Arial" w:cs="Arial"/>
                <w:color w:val="7030A0"/>
                <w:lang w:eastAsia="en-US"/>
              </w:rPr>
            </w:pPr>
            <w:r w:rsidRPr="00DD78FB">
              <w:rPr>
                <w:rFonts w:ascii="Arial" w:hAnsi="Arial" w:cs="Arial"/>
                <w:color w:val="7030A0"/>
                <w:lang w:eastAsia="en-US"/>
              </w:rPr>
              <w:t xml:space="preserve">This will help potential suppliers compare the expected costs and benefits of participation.   </w:t>
            </w:r>
          </w:p>
          <w:p w14:paraId="19F83C4E" w14:textId="77777777" w:rsidR="00DD78FB" w:rsidRPr="00DD78FB" w:rsidRDefault="00DD78FB" w:rsidP="00DD78FB">
            <w:pPr>
              <w:spacing w:before="120" w:after="120" w:line="259" w:lineRule="auto"/>
              <w:rPr>
                <w:rFonts w:ascii="Arial" w:hAnsi="Arial" w:cs="Arial"/>
                <w:b/>
                <w:color w:val="7030A0"/>
              </w:rPr>
            </w:pPr>
            <w:r w:rsidRPr="00DD78FB">
              <w:rPr>
                <w:rFonts w:ascii="Arial" w:hAnsi="Arial" w:cs="Arial"/>
                <w:b/>
                <w:color w:val="7030A0"/>
              </w:rPr>
              <w:t>Sole supplier arrangements</w:t>
            </w:r>
          </w:p>
          <w:p w14:paraId="632E3BB9" w14:textId="77777777" w:rsidR="00DD78FB" w:rsidRPr="00DD78FB" w:rsidRDefault="00DD78FB" w:rsidP="00DD78FB">
            <w:pPr>
              <w:spacing w:before="120" w:after="120" w:line="259" w:lineRule="auto"/>
              <w:rPr>
                <w:rFonts w:ascii="Arial" w:hAnsi="Arial" w:cs="Arial"/>
                <w:color w:val="7030A0"/>
              </w:rPr>
            </w:pPr>
            <w:r w:rsidRPr="00DD78FB">
              <w:rPr>
                <w:rFonts w:ascii="Arial" w:hAnsi="Arial" w:cs="Arial"/>
                <w:color w:val="7030A0"/>
              </w:rPr>
              <w:t xml:space="preserve">A sole supplier arrangement has a single supplier to meet the needs of participating organisations. This is typically a closed arrangement and may be appropriate when: </w:t>
            </w:r>
          </w:p>
          <w:p w14:paraId="7FB61BAB" w14:textId="77777777" w:rsidR="00DD78FB" w:rsidRPr="00DD78FB" w:rsidRDefault="00DD78FB" w:rsidP="00DD78FB">
            <w:pPr>
              <w:pStyle w:val="ListParagraph"/>
              <w:numPr>
                <w:ilvl w:val="0"/>
                <w:numId w:val="7"/>
              </w:numPr>
              <w:spacing w:before="120" w:after="120" w:line="259" w:lineRule="auto"/>
              <w:contextualSpacing w:val="0"/>
              <w:rPr>
                <w:rFonts w:ascii="Arial" w:hAnsi="Arial" w:cs="Arial"/>
                <w:color w:val="7030A0"/>
              </w:rPr>
            </w:pPr>
            <w:r w:rsidRPr="00DD78FB">
              <w:rPr>
                <w:rFonts w:ascii="Arial" w:hAnsi="Arial" w:cs="Arial"/>
                <w:color w:val="7030A0"/>
              </w:rPr>
              <w:t>only one supplier can meet the requirements (e.g. proprietary products or services)</w:t>
            </w:r>
          </w:p>
          <w:p w14:paraId="08506BCE" w14:textId="77777777" w:rsidR="00DD78FB" w:rsidRPr="00DD78FB" w:rsidRDefault="00DD78FB" w:rsidP="00DD78FB">
            <w:pPr>
              <w:pStyle w:val="ListParagraph"/>
              <w:numPr>
                <w:ilvl w:val="0"/>
                <w:numId w:val="7"/>
              </w:numPr>
              <w:spacing w:before="120" w:after="120" w:line="259" w:lineRule="auto"/>
              <w:contextualSpacing w:val="0"/>
              <w:rPr>
                <w:rFonts w:ascii="Arial" w:hAnsi="Arial" w:cs="Arial"/>
                <w:color w:val="7030A0"/>
              </w:rPr>
            </w:pPr>
            <w:r w:rsidRPr="00DD78FB">
              <w:rPr>
                <w:rFonts w:ascii="Arial" w:hAnsi="Arial" w:cs="Arial"/>
                <w:color w:val="7030A0"/>
              </w:rPr>
              <w:t>the needs or requirements of participating organisations are similar and unlikely to change</w:t>
            </w:r>
          </w:p>
          <w:p w14:paraId="10447AE8" w14:textId="77777777" w:rsidR="00DD78FB" w:rsidRPr="00DD78FB" w:rsidRDefault="00DD78FB" w:rsidP="00DD78FB">
            <w:pPr>
              <w:pStyle w:val="ListParagraph"/>
              <w:numPr>
                <w:ilvl w:val="0"/>
                <w:numId w:val="7"/>
              </w:numPr>
              <w:spacing w:before="120" w:after="120" w:line="259" w:lineRule="auto"/>
              <w:contextualSpacing w:val="0"/>
              <w:rPr>
                <w:rFonts w:ascii="Arial" w:hAnsi="Arial" w:cs="Arial"/>
                <w:color w:val="7030A0"/>
              </w:rPr>
            </w:pPr>
            <w:r w:rsidRPr="00DD78FB">
              <w:rPr>
                <w:rFonts w:ascii="Arial" w:hAnsi="Arial" w:cs="Arial"/>
                <w:color w:val="7030A0"/>
              </w:rPr>
              <w:t>the expected benefits of offering exclusivity outweigh the costs or risks of limiting competition between suppliers or the choice and flexibility for buyers</w:t>
            </w:r>
          </w:p>
          <w:p w14:paraId="2E2BCB2F" w14:textId="77777777" w:rsidR="00DD78FB" w:rsidRPr="00DD78FB" w:rsidRDefault="00DD78FB" w:rsidP="00DD78FB">
            <w:pPr>
              <w:pStyle w:val="ListParagraph"/>
              <w:numPr>
                <w:ilvl w:val="0"/>
                <w:numId w:val="7"/>
              </w:numPr>
              <w:spacing w:before="120" w:after="120" w:line="259" w:lineRule="auto"/>
              <w:contextualSpacing w:val="0"/>
              <w:rPr>
                <w:rFonts w:ascii="Arial" w:hAnsi="Arial" w:cs="Arial"/>
                <w:color w:val="7030A0"/>
              </w:rPr>
            </w:pPr>
            <w:r w:rsidRPr="00DD78FB">
              <w:rPr>
                <w:rFonts w:ascii="Arial" w:hAnsi="Arial" w:cs="Arial"/>
                <w:color w:val="7030A0"/>
              </w:rPr>
              <w:t xml:space="preserve">there are fixed rates or established boundaries around rates, time, and performance levels </w:t>
            </w:r>
          </w:p>
          <w:p w14:paraId="611E86B1" w14:textId="77777777" w:rsidR="00DD78FB" w:rsidRPr="00DD78FB" w:rsidRDefault="00DD78FB" w:rsidP="00DD78FB">
            <w:pPr>
              <w:pStyle w:val="ListParagraph"/>
              <w:numPr>
                <w:ilvl w:val="0"/>
                <w:numId w:val="7"/>
              </w:numPr>
              <w:spacing w:before="120" w:after="120" w:line="259" w:lineRule="auto"/>
              <w:contextualSpacing w:val="0"/>
              <w:rPr>
                <w:rFonts w:ascii="Arial" w:hAnsi="Arial" w:cs="Arial"/>
                <w:color w:val="7030A0"/>
              </w:rPr>
            </w:pPr>
            <w:r w:rsidRPr="00DD78FB">
              <w:rPr>
                <w:rFonts w:ascii="Arial" w:hAnsi="Arial" w:cs="Arial"/>
                <w:color w:val="7030A0"/>
              </w:rPr>
              <w:t>developing a long-term relationship with one supplier would improve coordination, responsiveness and understanding of requirements</w:t>
            </w:r>
          </w:p>
          <w:p w14:paraId="6B220C1D" w14:textId="77777777" w:rsidR="00DD78FB" w:rsidRPr="00DD78FB" w:rsidRDefault="00DD78FB" w:rsidP="00DD78FB">
            <w:pPr>
              <w:pStyle w:val="ListParagraph"/>
              <w:numPr>
                <w:ilvl w:val="0"/>
                <w:numId w:val="7"/>
              </w:numPr>
              <w:spacing w:before="120" w:after="120" w:line="259" w:lineRule="auto"/>
              <w:contextualSpacing w:val="0"/>
              <w:rPr>
                <w:rFonts w:ascii="Arial" w:hAnsi="Arial" w:cs="Arial"/>
                <w:color w:val="7030A0"/>
              </w:rPr>
            </w:pPr>
            <w:r w:rsidRPr="00DD78FB">
              <w:rPr>
                <w:rFonts w:ascii="Arial" w:hAnsi="Arial" w:cs="Arial"/>
                <w:color w:val="7030A0"/>
              </w:rPr>
              <w:t>participating organisations aim to simplify or streamline their supplier base or the procurement process by dealing with only one supplier</w:t>
            </w:r>
          </w:p>
          <w:p w14:paraId="1437B03F" w14:textId="77777777" w:rsidR="00DD78FB" w:rsidRPr="00DD78FB" w:rsidRDefault="00DD78FB" w:rsidP="00DD78FB">
            <w:pPr>
              <w:spacing w:before="120" w:after="120" w:line="259" w:lineRule="auto"/>
              <w:rPr>
                <w:rFonts w:ascii="Arial" w:hAnsi="Arial" w:cs="Arial"/>
                <w:color w:val="7030A0"/>
              </w:rPr>
            </w:pPr>
            <w:r w:rsidRPr="00DD78FB">
              <w:rPr>
                <w:rFonts w:ascii="Arial" w:hAnsi="Arial" w:cs="Arial"/>
                <w:color w:val="7030A0"/>
              </w:rPr>
              <w:lastRenderedPageBreak/>
              <w:t>Sole supplier arrangements may take different forms, including:</w:t>
            </w:r>
          </w:p>
          <w:p w14:paraId="3771102B" w14:textId="77777777" w:rsidR="00DD78FB" w:rsidRPr="00DD78FB" w:rsidRDefault="00DD78FB" w:rsidP="00DD78FB">
            <w:pPr>
              <w:pStyle w:val="ListParagraph"/>
              <w:numPr>
                <w:ilvl w:val="0"/>
                <w:numId w:val="8"/>
              </w:numPr>
              <w:spacing w:before="120" w:after="120" w:line="259" w:lineRule="auto"/>
              <w:contextualSpacing w:val="0"/>
              <w:rPr>
                <w:rFonts w:ascii="Arial" w:hAnsi="Arial" w:cs="Arial"/>
                <w:color w:val="7030A0"/>
              </w:rPr>
            </w:pPr>
            <w:r w:rsidRPr="00DD78FB">
              <w:rPr>
                <w:rFonts w:ascii="Arial" w:hAnsi="Arial" w:cs="Arial"/>
                <w:color w:val="7030A0"/>
              </w:rPr>
              <w:t xml:space="preserve">Exclusive supplier model – Participating organisations meet their needs by entering an agreement to exclusively acquire goods or services from a single supplier for the duration of the agreement.  </w:t>
            </w:r>
          </w:p>
          <w:p w14:paraId="07860CB4" w14:textId="77777777" w:rsidR="00DD78FB" w:rsidRPr="00DD78FB" w:rsidRDefault="00DD78FB" w:rsidP="00DD78FB">
            <w:pPr>
              <w:pStyle w:val="ListParagraph"/>
              <w:numPr>
                <w:ilvl w:val="0"/>
                <w:numId w:val="8"/>
              </w:numPr>
              <w:spacing w:before="120" w:after="120" w:line="259" w:lineRule="auto"/>
              <w:contextualSpacing w:val="0"/>
              <w:rPr>
                <w:rFonts w:ascii="Arial" w:hAnsi="Arial" w:cs="Arial"/>
                <w:color w:val="7030A0"/>
              </w:rPr>
            </w:pPr>
            <w:r w:rsidRPr="00DD78FB">
              <w:rPr>
                <w:rFonts w:ascii="Arial" w:hAnsi="Arial" w:cs="Arial"/>
                <w:color w:val="7030A0"/>
              </w:rPr>
              <w:t xml:space="preserve">Master vendor model – Participating organisations appoint a single supplier (the master vendor) to coordinate and manage the supply of goods or services from multiple (second tier) suppliers. </w:t>
            </w:r>
          </w:p>
          <w:p w14:paraId="3CA20904" w14:textId="77777777" w:rsidR="00DD78FB" w:rsidRPr="00DD78FB" w:rsidRDefault="00DD78FB" w:rsidP="00DD78FB">
            <w:pPr>
              <w:pStyle w:val="ListParagraph"/>
              <w:numPr>
                <w:ilvl w:val="0"/>
                <w:numId w:val="8"/>
              </w:numPr>
              <w:spacing w:before="120" w:after="120" w:line="259" w:lineRule="auto"/>
              <w:contextualSpacing w:val="0"/>
              <w:rPr>
                <w:rFonts w:ascii="Arial" w:hAnsi="Arial" w:cs="Arial"/>
                <w:color w:val="7030A0"/>
              </w:rPr>
            </w:pPr>
            <w:r w:rsidRPr="00DD78FB">
              <w:rPr>
                <w:rFonts w:ascii="Arial" w:hAnsi="Arial" w:cs="Arial"/>
                <w:color w:val="7030A0"/>
              </w:rPr>
              <w:t>Brokerage service model – Participating organisations engage a single supplier (the broker) to facilitate the connection of buyers with suppliers. This can leverage a broker’s market knowledge, supplier network, or procurement expertise.</w:t>
            </w:r>
          </w:p>
          <w:p w14:paraId="2F40BE10" w14:textId="5836F8F7" w:rsidR="00DD78FB" w:rsidRPr="00DD78FB" w:rsidRDefault="00DD78FB" w:rsidP="00DD78FB">
            <w:pPr>
              <w:pStyle w:val="ListParagraph"/>
              <w:numPr>
                <w:ilvl w:val="0"/>
                <w:numId w:val="8"/>
              </w:numPr>
              <w:spacing w:before="120" w:after="120" w:line="259" w:lineRule="auto"/>
              <w:contextualSpacing w:val="0"/>
              <w:rPr>
                <w:rFonts w:ascii="Arial" w:hAnsi="Arial" w:cs="Arial"/>
                <w:color w:val="7030A0"/>
              </w:rPr>
            </w:pPr>
            <w:r w:rsidRPr="00DD78FB">
              <w:rPr>
                <w:rFonts w:ascii="Arial" w:hAnsi="Arial" w:cs="Arial"/>
                <w:color w:val="7030A0"/>
              </w:rPr>
              <w:t xml:space="preserve">Software enterprise licence agreement </w:t>
            </w:r>
            <w:r w:rsidR="00D91AB7" w:rsidRPr="00DD78FB">
              <w:rPr>
                <w:rFonts w:ascii="Arial" w:hAnsi="Arial" w:cs="Arial"/>
                <w:color w:val="7030A0"/>
              </w:rPr>
              <w:t xml:space="preserve">– </w:t>
            </w:r>
            <w:r w:rsidRPr="00DD78FB">
              <w:rPr>
                <w:rFonts w:ascii="Arial" w:hAnsi="Arial" w:cs="Arial"/>
                <w:color w:val="7030A0"/>
              </w:rPr>
              <w:t xml:space="preserve">Participating organisations enter an agreement with a software provider that allows licensees to use the provider’s software products at an organisational or whole-of-government level. The agreement may cover multiple products or associated services from a provider. </w:t>
            </w:r>
          </w:p>
          <w:p w14:paraId="61C83CF5" w14:textId="77777777" w:rsidR="00DD78FB" w:rsidRPr="00DD78FB" w:rsidRDefault="00DD78FB" w:rsidP="00DD78FB">
            <w:pPr>
              <w:spacing w:before="120" w:after="120" w:line="259" w:lineRule="auto"/>
              <w:rPr>
                <w:rFonts w:ascii="Arial" w:hAnsi="Arial" w:cs="Arial"/>
                <w:b/>
                <w:bCs/>
                <w:color w:val="7030A0"/>
                <w:lang w:eastAsia="en-US"/>
              </w:rPr>
            </w:pPr>
            <w:r w:rsidRPr="00DD78FB">
              <w:rPr>
                <w:rFonts w:ascii="Arial" w:hAnsi="Arial" w:cs="Arial"/>
                <w:b/>
                <w:bCs/>
                <w:color w:val="7030A0"/>
                <w:lang w:eastAsia="en-US"/>
              </w:rPr>
              <w:t>Multiple supplier arrangements</w:t>
            </w:r>
          </w:p>
          <w:p w14:paraId="59D77857" w14:textId="77777777" w:rsidR="00DD78FB" w:rsidRPr="00DD78FB" w:rsidRDefault="00DD78FB" w:rsidP="00DD78FB">
            <w:pPr>
              <w:spacing w:before="120" w:after="120" w:line="259" w:lineRule="auto"/>
              <w:rPr>
                <w:rFonts w:ascii="Arial" w:hAnsi="Arial" w:cs="Arial"/>
                <w:color w:val="7030A0"/>
              </w:rPr>
            </w:pPr>
            <w:r w:rsidRPr="00DD78FB">
              <w:rPr>
                <w:rFonts w:ascii="Arial" w:hAnsi="Arial" w:cs="Arial"/>
                <w:color w:val="7030A0"/>
                <w:lang w:eastAsia="en-US"/>
              </w:rPr>
              <w:t xml:space="preserve">A multiple supplier arrangement </w:t>
            </w:r>
            <w:r w:rsidRPr="00DD78FB">
              <w:rPr>
                <w:rFonts w:ascii="Arial" w:hAnsi="Arial" w:cs="Arial"/>
                <w:color w:val="7030A0"/>
              </w:rPr>
              <w:t>has more than one supplier to meet the needs of participating organisations. This may be an open or closed arrangement. A multiple supplier arrangement may be appropriate when:</w:t>
            </w:r>
          </w:p>
          <w:p w14:paraId="3A308CAE" w14:textId="77777777" w:rsidR="00DD78FB" w:rsidRPr="00DD78FB" w:rsidRDefault="00DD78FB" w:rsidP="00DD78FB">
            <w:pPr>
              <w:pStyle w:val="ListParagraph"/>
              <w:numPr>
                <w:ilvl w:val="0"/>
                <w:numId w:val="9"/>
              </w:numPr>
              <w:spacing w:before="120" w:after="120" w:line="259" w:lineRule="auto"/>
              <w:contextualSpacing w:val="0"/>
              <w:rPr>
                <w:rFonts w:ascii="Arial" w:hAnsi="Arial" w:cs="Arial"/>
                <w:color w:val="7030A0"/>
              </w:rPr>
            </w:pPr>
            <w:r w:rsidRPr="00DD78FB">
              <w:rPr>
                <w:rFonts w:ascii="Arial" w:hAnsi="Arial" w:cs="Arial"/>
                <w:color w:val="7030A0"/>
              </w:rPr>
              <w:t>multiple suppliers can, or are necessary to, meet the requirements</w:t>
            </w:r>
          </w:p>
          <w:p w14:paraId="7391B857" w14:textId="77777777" w:rsidR="00DD78FB" w:rsidRPr="00DD78FB" w:rsidRDefault="00DD78FB" w:rsidP="00DD78FB">
            <w:pPr>
              <w:pStyle w:val="ListParagraph"/>
              <w:numPr>
                <w:ilvl w:val="0"/>
                <w:numId w:val="9"/>
              </w:numPr>
              <w:spacing w:before="120" w:after="120" w:line="259" w:lineRule="auto"/>
              <w:contextualSpacing w:val="0"/>
              <w:rPr>
                <w:rFonts w:ascii="Arial" w:hAnsi="Arial" w:cs="Arial"/>
                <w:color w:val="7030A0"/>
              </w:rPr>
            </w:pPr>
            <w:r w:rsidRPr="00DD78FB">
              <w:rPr>
                <w:rFonts w:ascii="Arial" w:hAnsi="Arial" w:cs="Arial"/>
                <w:color w:val="7030A0"/>
              </w:rPr>
              <w:t xml:space="preserve">the needs or requirements of participating organisations are diverse or likely to change </w:t>
            </w:r>
          </w:p>
          <w:p w14:paraId="3859C63C" w14:textId="77777777" w:rsidR="00DD78FB" w:rsidRPr="00DD78FB" w:rsidRDefault="00DD78FB" w:rsidP="00DD78FB">
            <w:pPr>
              <w:pStyle w:val="ListParagraph"/>
              <w:numPr>
                <w:ilvl w:val="0"/>
                <w:numId w:val="9"/>
              </w:numPr>
              <w:spacing w:before="120" w:after="120" w:line="259" w:lineRule="auto"/>
              <w:contextualSpacing w:val="0"/>
              <w:rPr>
                <w:rFonts w:ascii="Arial" w:hAnsi="Arial" w:cs="Arial"/>
                <w:color w:val="7030A0"/>
              </w:rPr>
            </w:pPr>
            <w:r w:rsidRPr="00DD78FB">
              <w:rPr>
                <w:rFonts w:ascii="Arial" w:hAnsi="Arial" w:cs="Arial"/>
                <w:color w:val="7030A0"/>
              </w:rPr>
              <w:t xml:space="preserve">the costs or risks of limiting competition between suppliers or the choice and flexibility for buyers outweighs the expected benefits of offering exclusivity </w:t>
            </w:r>
          </w:p>
          <w:p w14:paraId="6716C389" w14:textId="77777777" w:rsidR="00DD78FB" w:rsidRPr="00DD78FB" w:rsidRDefault="00DD78FB" w:rsidP="00DD78FB">
            <w:pPr>
              <w:pStyle w:val="Bullet1"/>
              <w:numPr>
                <w:ilvl w:val="0"/>
                <w:numId w:val="9"/>
              </w:numPr>
              <w:spacing w:before="120" w:after="120" w:line="259" w:lineRule="auto"/>
              <w:rPr>
                <w:rFonts w:ascii="Arial" w:hAnsi="Arial" w:cs="Arial"/>
                <w:color w:val="7030A0"/>
                <w:lang w:eastAsia="en-US"/>
              </w:rPr>
            </w:pPr>
            <w:r w:rsidRPr="00DD78FB">
              <w:rPr>
                <w:rFonts w:ascii="Arial" w:hAnsi="Arial" w:cs="Arial"/>
                <w:color w:val="7030A0"/>
                <w:lang w:eastAsia="en-US"/>
              </w:rPr>
              <w:t xml:space="preserve">prices, fees or rates are indicative or may fluctuate </w:t>
            </w:r>
            <w:r w:rsidRPr="00DD78FB">
              <w:rPr>
                <w:rFonts w:ascii="Arial" w:hAnsi="Arial" w:cs="Arial"/>
                <w:color w:val="7030A0"/>
              </w:rPr>
              <w:t xml:space="preserve"> </w:t>
            </w:r>
          </w:p>
          <w:p w14:paraId="6F585381" w14:textId="77777777" w:rsidR="00DD78FB" w:rsidRPr="00DD78FB" w:rsidRDefault="00DD78FB" w:rsidP="00DD78FB">
            <w:pPr>
              <w:pStyle w:val="ListParagraph"/>
              <w:numPr>
                <w:ilvl w:val="0"/>
                <w:numId w:val="9"/>
              </w:numPr>
              <w:spacing w:before="120" w:after="120" w:line="259" w:lineRule="auto"/>
              <w:contextualSpacing w:val="0"/>
              <w:rPr>
                <w:rFonts w:ascii="Arial" w:hAnsi="Arial" w:cs="Arial"/>
                <w:color w:val="7030A0"/>
              </w:rPr>
            </w:pPr>
            <w:r w:rsidRPr="00DD78FB">
              <w:rPr>
                <w:rFonts w:ascii="Arial" w:hAnsi="Arial" w:cs="Arial"/>
                <w:color w:val="7030A0"/>
              </w:rPr>
              <w:t>developing relationships with multiple suppliers can improve responsiveness and fulfilment of requirements</w:t>
            </w:r>
          </w:p>
          <w:p w14:paraId="2A887BEB" w14:textId="77777777" w:rsidR="00DD78FB" w:rsidRPr="00DD78FB" w:rsidRDefault="00DD78FB" w:rsidP="00DD78FB">
            <w:pPr>
              <w:pStyle w:val="ListParagraph"/>
              <w:numPr>
                <w:ilvl w:val="0"/>
                <w:numId w:val="9"/>
              </w:numPr>
              <w:spacing w:before="120" w:after="120" w:line="259" w:lineRule="auto"/>
              <w:contextualSpacing w:val="0"/>
              <w:rPr>
                <w:rFonts w:ascii="Arial" w:hAnsi="Arial" w:cs="Arial"/>
                <w:color w:val="7030A0"/>
              </w:rPr>
            </w:pPr>
            <w:r w:rsidRPr="00DD78FB">
              <w:rPr>
                <w:rFonts w:ascii="Arial" w:hAnsi="Arial" w:cs="Arial"/>
                <w:color w:val="7030A0"/>
              </w:rPr>
              <w:t xml:space="preserve">participating organisations aim to simplify or streamline their supply base or the procurement process while </w:t>
            </w:r>
            <w:r w:rsidRPr="00DD78FB">
              <w:rPr>
                <w:rFonts w:ascii="Arial" w:hAnsi="Arial" w:cs="Arial"/>
                <w:color w:val="7030A0"/>
                <w:lang w:eastAsia="en-US"/>
              </w:rPr>
              <w:t>providing choice and flexibility for buyers</w:t>
            </w:r>
          </w:p>
          <w:p w14:paraId="5106AA2E" w14:textId="77777777" w:rsidR="00DD78FB" w:rsidRPr="00DD78FB" w:rsidRDefault="00DD78FB" w:rsidP="00DD78FB">
            <w:pPr>
              <w:spacing w:before="120" w:after="120" w:line="259" w:lineRule="auto"/>
              <w:rPr>
                <w:rFonts w:ascii="Arial" w:hAnsi="Arial" w:cs="Arial"/>
                <w:color w:val="7030A0"/>
                <w:lang w:eastAsia="en-US"/>
              </w:rPr>
            </w:pPr>
            <w:r w:rsidRPr="00DD78FB">
              <w:rPr>
                <w:rFonts w:ascii="Arial" w:hAnsi="Arial" w:cs="Arial"/>
                <w:color w:val="7030A0"/>
                <w:lang w:eastAsia="en-US"/>
              </w:rPr>
              <w:t xml:space="preserve">Multiple supplier arrangements may take the form of a: </w:t>
            </w:r>
          </w:p>
          <w:p w14:paraId="07BB8F51" w14:textId="77777777" w:rsidR="00DD78FB" w:rsidRPr="00DD78FB" w:rsidRDefault="00DD78FB" w:rsidP="00DD78FB">
            <w:pPr>
              <w:pStyle w:val="ListParagraph"/>
              <w:numPr>
                <w:ilvl w:val="0"/>
                <w:numId w:val="23"/>
              </w:numPr>
              <w:spacing w:before="120" w:after="120" w:line="259" w:lineRule="auto"/>
              <w:ind w:left="714" w:hanging="357"/>
              <w:contextualSpacing w:val="0"/>
              <w:rPr>
                <w:rFonts w:ascii="Arial" w:hAnsi="Arial" w:cs="Arial"/>
                <w:color w:val="7030A0"/>
                <w:lang w:eastAsia="en-US"/>
              </w:rPr>
            </w:pPr>
            <w:r w:rsidRPr="00DD78FB">
              <w:rPr>
                <w:rFonts w:ascii="Arial" w:hAnsi="Arial" w:cs="Arial"/>
                <w:color w:val="7030A0"/>
                <w:lang w:eastAsia="en-US"/>
              </w:rPr>
              <w:t xml:space="preserve">supplier panel (i.e. a standing offer with two or more selected suppliers) </w:t>
            </w:r>
          </w:p>
          <w:p w14:paraId="7759132F" w14:textId="4175B96B" w:rsidR="00DD78FB" w:rsidRDefault="00DD78FB" w:rsidP="00DD78FB">
            <w:pPr>
              <w:spacing w:before="120" w:after="120" w:line="259" w:lineRule="auto"/>
              <w:rPr>
                <w:rFonts w:ascii="Arial" w:hAnsi="Arial" w:cs="Arial"/>
                <w:lang w:eastAsia="en-US"/>
              </w:rPr>
            </w:pPr>
            <w:r w:rsidRPr="00DD78FB">
              <w:rPr>
                <w:rFonts w:ascii="Arial" w:hAnsi="Arial" w:cs="Arial"/>
                <w:color w:val="7030A0"/>
                <w:lang w:eastAsia="en-US"/>
              </w:rPr>
              <w:t>register with multiple pre-qualified suppliers</w:t>
            </w:r>
          </w:p>
        </w:tc>
      </w:tr>
    </w:tbl>
    <w:p w14:paraId="64EDEDBF" w14:textId="77777777" w:rsidR="00EE077A" w:rsidRPr="00E76FD2" w:rsidRDefault="00EE077A" w:rsidP="00EE077A">
      <w:pPr>
        <w:pStyle w:val="Heading3"/>
        <w:spacing w:line="259" w:lineRule="auto"/>
        <w:rPr>
          <w:rFonts w:ascii="Arial" w:hAnsi="Arial" w:cs="Arial"/>
          <w:color w:val="381F6A"/>
          <w:sz w:val="2"/>
          <w:szCs w:val="2"/>
        </w:rPr>
      </w:pPr>
    </w:p>
    <w:p w14:paraId="20A3F22D" w14:textId="77777777" w:rsidR="00EE077A" w:rsidRPr="006A351E" w:rsidRDefault="00EE077A" w:rsidP="00373F7F">
      <w:pPr>
        <w:pStyle w:val="Heading3"/>
        <w:rPr>
          <w:rFonts w:ascii="Arial" w:hAnsi="Arial" w:cs="Arial"/>
          <w:sz w:val="2"/>
          <w:szCs w:val="2"/>
        </w:rPr>
      </w:pPr>
    </w:p>
    <w:p w14:paraId="4C8E694F" w14:textId="77777777" w:rsidR="00EE077A" w:rsidRPr="00E43705" w:rsidRDefault="00EE077A" w:rsidP="00EE077A">
      <w:pPr>
        <w:pStyle w:val="Heading2"/>
        <w:spacing w:line="259" w:lineRule="auto"/>
        <w:rPr>
          <w:rFonts w:ascii="Arial" w:hAnsi="Arial" w:cs="Arial"/>
          <w:color w:val="381F6A"/>
          <w:szCs w:val="28"/>
        </w:rPr>
      </w:pPr>
      <w:r w:rsidRPr="00E43705">
        <w:rPr>
          <w:rFonts w:ascii="Arial" w:hAnsi="Arial" w:cs="Arial"/>
          <w:color w:val="381F6A"/>
          <w:szCs w:val="28"/>
        </w:rPr>
        <w:t>Using this guide</w:t>
      </w:r>
    </w:p>
    <w:p w14:paraId="0E6AE80D" w14:textId="77777777" w:rsidR="00EE077A" w:rsidRPr="00FC23CC" w:rsidRDefault="00EE077A" w:rsidP="00EE077A">
      <w:pPr>
        <w:spacing w:before="120" w:after="120" w:line="259" w:lineRule="auto"/>
        <w:rPr>
          <w:rFonts w:ascii="Arial" w:hAnsi="Arial" w:cs="Arial"/>
        </w:rPr>
      </w:pPr>
      <w:r w:rsidRPr="00FC23CC">
        <w:rPr>
          <w:rFonts w:ascii="Arial" w:hAnsi="Arial" w:cs="Arial"/>
        </w:rPr>
        <w:t xml:space="preserve">This guide accompanies the </w:t>
      </w:r>
      <w:hyperlink r:id="rId9" w:history="1">
        <w:r w:rsidRPr="00FC23CC">
          <w:rPr>
            <w:rStyle w:val="Hyperlink"/>
            <w:rFonts w:ascii="Arial" w:hAnsi="Arial" w:cs="Arial"/>
          </w:rPr>
          <w:t>goods and services supply policies</w:t>
        </w:r>
      </w:hyperlink>
      <w:r w:rsidRPr="00FC23CC">
        <w:rPr>
          <w:rFonts w:ascii="Arial" w:hAnsi="Arial" w:cs="Arial"/>
        </w:rPr>
        <w:t>. There are 5 suppl</w:t>
      </w:r>
      <w:r>
        <w:rPr>
          <w:rFonts w:ascii="Arial" w:hAnsi="Arial" w:cs="Arial"/>
        </w:rPr>
        <w:t>y</w:t>
      </w:r>
      <w:r w:rsidRPr="00FC23CC">
        <w:rPr>
          <w:rFonts w:ascii="Arial" w:hAnsi="Arial" w:cs="Arial"/>
        </w:rPr>
        <w:t xml:space="preserve"> policies:</w:t>
      </w:r>
    </w:p>
    <w:p w14:paraId="3654E0DD" w14:textId="77777777" w:rsidR="00EE077A" w:rsidRPr="00FC23CC" w:rsidRDefault="00EE077A" w:rsidP="00EE077A">
      <w:pPr>
        <w:pStyle w:val="ListParagraph"/>
        <w:numPr>
          <w:ilvl w:val="0"/>
          <w:numId w:val="3"/>
        </w:numPr>
        <w:spacing w:before="120" w:after="120" w:line="259" w:lineRule="auto"/>
        <w:contextualSpacing w:val="0"/>
        <w:rPr>
          <w:rFonts w:ascii="Arial" w:hAnsi="Arial" w:cs="Arial"/>
        </w:rPr>
      </w:pPr>
      <w:r w:rsidRPr="00FC23CC">
        <w:rPr>
          <w:rFonts w:ascii="Arial" w:hAnsi="Arial" w:cs="Arial"/>
        </w:rPr>
        <w:t>Governance policy</w:t>
      </w:r>
    </w:p>
    <w:p w14:paraId="71434337" w14:textId="77777777" w:rsidR="00EE077A" w:rsidRPr="00FC23CC" w:rsidRDefault="00EE077A" w:rsidP="00EE077A">
      <w:pPr>
        <w:pStyle w:val="ListParagraph"/>
        <w:numPr>
          <w:ilvl w:val="0"/>
          <w:numId w:val="3"/>
        </w:numPr>
        <w:spacing w:before="120" w:after="120" w:line="259" w:lineRule="auto"/>
        <w:contextualSpacing w:val="0"/>
        <w:rPr>
          <w:rFonts w:ascii="Arial" w:hAnsi="Arial" w:cs="Arial"/>
        </w:rPr>
      </w:pPr>
      <w:r w:rsidRPr="00FC23CC">
        <w:rPr>
          <w:rFonts w:ascii="Arial" w:hAnsi="Arial" w:cs="Arial"/>
        </w:rPr>
        <w:t>Complexity and capability assessment policy</w:t>
      </w:r>
    </w:p>
    <w:p w14:paraId="3C769961" w14:textId="77777777" w:rsidR="00EE077A" w:rsidRPr="00FC23CC" w:rsidRDefault="00EE077A" w:rsidP="00EE077A">
      <w:pPr>
        <w:pStyle w:val="ListParagraph"/>
        <w:numPr>
          <w:ilvl w:val="0"/>
          <w:numId w:val="3"/>
        </w:numPr>
        <w:spacing w:before="120" w:after="120" w:line="259" w:lineRule="auto"/>
        <w:contextualSpacing w:val="0"/>
        <w:rPr>
          <w:rFonts w:ascii="Arial" w:hAnsi="Arial" w:cs="Arial"/>
        </w:rPr>
      </w:pPr>
      <w:r w:rsidRPr="00FC23CC">
        <w:rPr>
          <w:rFonts w:ascii="Arial" w:hAnsi="Arial" w:cs="Arial"/>
        </w:rPr>
        <w:t>Market analysis and review policy</w:t>
      </w:r>
    </w:p>
    <w:p w14:paraId="2CE6F695" w14:textId="77777777" w:rsidR="00EE077A" w:rsidRPr="00FC23CC" w:rsidRDefault="00EE077A" w:rsidP="00EE077A">
      <w:pPr>
        <w:pStyle w:val="ListParagraph"/>
        <w:numPr>
          <w:ilvl w:val="0"/>
          <w:numId w:val="3"/>
        </w:numPr>
        <w:spacing w:before="120" w:after="120" w:line="259" w:lineRule="auto"/>
        <w:contextualSpacing w:val="0"/>
        <w:rPr>
          <w:rFonts w:ascii="Arial" w:hAnsi="Arial" w:cs="Arial"/>
        </w:rPr>
      </w:pPr>
      <w:r w:rsidRPr="00FC23CC">
        <w:rPr>
          <w:rFonts w:ascii="Arial" w:hAnsi="Arial" w:cs="Arial"/>
        </w:rPr>
        <w:lastRenderedPageBreak/>
        <w:t>Market approach policy</w:t>
      </w:r>
    </w:p>
    <w:p w14:paraId="338E6B86" w14:textId="77777777" w:rsidR="00EE077A" w:rsidRPr="00FC23CC" w:rsidRDefault="00EE077A" w:rsidP="00EE077A">
      <w:pPr>
        <w:pStyle w:val="ListParagraph"/>
        <w:numPr>
          <w:ilvl w:val="0"/>
          <w:numId w:val="3"/>
        </w:numPr>
        <w:spacing w:before="120" w:after="120" w:line="259" w:lineRule="auto"/>
        <w:contextualSpacing w:val="0"/>
        <w:rPr>
          <w:rFonts w:ascii="Arial" w:hAnsi="Arial" w:cs="Arial"/>
        </w:rPr>
      </w:pPr>
      <w:r w:rsidRPr="00FC23CC">
        <w:rPr>
          <w:rFonts w:ascii="Arial" w:hAnsi="Arial" w:cs="Arial"/>
        </w:rPr>
        <w:t>Contract management and disclosure policy</w:t>
      </w:r>
    </w:p>
    <w:p w14:paraId="79BFD2C3" w14:textId="77777777" w:rsidR="00EE077A" w:rsidRPr="00FC23CC" w:rsidRDefault="00EE077A" w:rsidP="00EE077A">
      <w:pPr>
        <w:spacing w:before="120" w:after="120" w:line="259" w:lineRule="auto"/>
        <w:rPr>
          <w:rFonts w:ascii="Arial" w:hAnsi="Arial" w:cs="Arial"/>
        </w:rPr>
      </w:pPr>
      <w:r w:rsidRPr="00FC23CC">
        <w:rPr>
          <w:rFonts w:ascii="Arial" w:hAnsi="Arial" w:cs="Arial"/>
        </w:rPr>
        <w:t xml:space="preserve">This guide supports the </w:t>
      </w:r>
      <w:hyperlink r:id="rId10" w:history="1">
        <w:r w:rsidRPr="00FC23CC">
          <w:rPr>
            <w:rStyle w:val="Hyperlink"/>
            <w:rFonts w:ascii="Arial" w:hAnsi="Arial" w:cs="Arial"/>
          </w:rPr>
          <w:t>Market analysis and review policy</w:t>
        </w:r>
      </w:hyperlink>
      <w:r w:rsidRPr="00FC23CC">
        <w:rPr>
          <w:rFonts w:ascii="Arial" w:hAnsi="Arial" w:cs="Arial"/>
        </w:rPr>
        <w:t>.</w:t>
      </w:r>
    </w:p>
    <w:p w14:paraId="4F056FEF" w14:textId="77777777" w:rsidR="00EE077A" w:rsidRPr="000B4051" w:rsidRDefault="00EE077A" w:rsidP="00EE077A">
      <w:pPr>
        <w:spacing w:before="120" w:after="120" w:line="259" w:lineRule="auto"/>
        <w:rPr>
          <w:rFonts w:ascii="Arial" w:hAnsi="Arial" w:cs="Arial"/>
          <w:sz w:val="2"/>
          <w:szCs w:val="2"/>
          <w:lang w:eastAsia="en-US"/>
        </w:rPr>
      </w:pPr>
    </w:p>
    <w:p w14:paraId="1EA40FA6" w14:textId="77777777" w:rsidR="00EE077A" w:rsidRPr="000B4051" w:rsidRDefault="00EE077A" w:rsidP="00EE077A">
      <w:pPr>
        <w:pStyle w:val="Heading2"/>
        <w:rPr>
          <w:rFonts w:ascii="Arial" w:hAnsi="Arial" w:cs="Arial"/>
          <w:bCs/>
          <w:color w:val="381F6A"/>
          <w:szCs w:val="28"/>
        </w:rPr>
      </w:pPr>
      <w:r w:rsidRPr="000B4051">
        <w:rPr>
          <w:rFonts w:ascii="Arial" w:hAnsi="Arial" w:cs="Arial"/>
          <w:bCs/>
          <w:color w:val="381F6A"/>
          <w:szCs w:val="28"/>
        </w:rPr>
        <w:t>Tools and support</w:t>
      </w:r>
    </w:p>
    <w:p w14:paraId="16F91565" w14:textId="2B9504F5" w:rsidR="00EE077A" w:rsidRPr="00C30A40" w:rsidRDefault="00EE077A" w:rsidP="00EE077A">
      <w:pPr>
        <w:pStyle w:val="NormalWeb"/>
        <w:spacing w:before="120" w:after="120" w:line="240" w:lineRule="auto"/>
        <w:rPr>
          <w:rFonts w:ascii="Arial" w:hAnsi="Arial" w:cs="Arial"/>
          <w:color w:val="011A3C"/>
          <w:sz w:val="22"/>
          <w:szCs w:val="22"/>
        </w:rPr>
      </w:pPr>
      <w:r w:rsidRPr="00C30A40">
        <w:rPr>
          <w:rFonts w:ascii="Arial" w:hAnsi="Arial" w:cs="Arial"/>
          <w:sz w:val="22"/>
          <w:szCs w:val="22"/>
        </w:rPr>
        <w:t>Access a document version of this guide in the</w:t>
      </w:r>
      <w:r w:rsidRPr="00C30A40">
        <w:rPr>
          <w:rFonts w:ascii="Arial" w:hAnsi="Arial" w:cs="Arial"/>
          <w:color w:val="011A3C"/>
          <w:sz w:val="22"/>
          <w:szCs w:val="22"/>
        </w:rPr>
        <w:t> </w:t>
      </w:r>
      <w:hyperlink r:id="rId11" w:history="1">
        <w:r w:rsidRPr="001B63DF">
          <w:rPr>
            <w:rStyle w:val="Hyperlink"/>
            <w:rFonts w:ascii="Arial" w:hAnsi="Arial" w:cs="Arial"/>
            <w:sz w:val="22"/>
            <w:szCs w:val="22"/>
          </w:rPr>
          <w:t>Toolkit and library</w:t>
        </w:r>
        <w:r w:rsidRPr="001B63DF">
          <w:rPr>
            <w:rStyle w:val="Hyperlink"/>
            <w:sz w:val="22"/>
            <w:szCs w:val="22"/>
          </w:rPr>
          <w:t>.</w:t>
        </w:r>
      </w:hyperlink>
    </w:p>
    <w:p w14:paraId="504FB50C" w14:textId="69486980" w:rsidR="00EE077A" w:rsidRPr="00CF7957" w:rsidRDefault="00EE077A" w:rsidP="00CF7957">
      <w:pPr>
        <w:pStyle w:val="NormalWeb"/>
        <w:spacing w:before="120" w:after="120" w:line="240" w:lineRule="auto"/>
        <w:rPr>
          <w:rFonts w:ascii="Arial" w:hAnsi="Arial" w:cs="Arial"/>
          <w:color w:val="011A3C"/>
          <w:sz w:val="22"/>
          <w:szCs w:val="22"/>
        </w:rPr>
      </w:pPr>
      <w:r w:rsidRPr="00C30A40">
        <w:rPr>
          <w:rFonts w:ascii="Arial" w:hAnsi="Arial" w:cs="Arial"/>
          <w:sz w:val="22"/>
          <w:szCs w:val="22"/>
        </w:rPr>
        <w:t xml:space="preserve">For more information </w:t>
      </w:r>
      <w:r>
        <w:rPr>
          <w:rFonts w:ascii="Arial" w:hAnsi="Arial" w:cs="Arial"/>
          <w:sz w:val="22"/>
          <w:szCs w:val="22"/>
        </w:rPr>
        <w:t>on how to structure collaborative procurement</w:t>
      </w:r>
      <w:r w:rsidRPr="00C30A40">
        <w:rPr>
          <w:rFonts w:ascii="Arial" w:hAnsi="Arial" w:cs="Arial"/>
          <w:sz w:val="22"/>
          <w:szCs w:val="22"/>
        </w:rPr>
        <w:t>, please contact the</w:t>
      </w:r>
      <w:r w:rsidRPr="00C30A40">
        <w:rPr>
          <w:rFonts w:ascii="Arial" w:hAnsi="Arial" w:cs="Arial"/>
          <w:color w:val="011A3C"/>
          <w:sz w:val="22"/>
          <w:szCs w:val="22"/>
        </w:rPr>
        <w:t> </w:t>
      </w:r>
      <w:hyperlink r:id="rId12" w:history="1">
        <w:r w:rsidRPr="00C30A40">
          <w:rPr>
            <w:rStyle w:val="rpl-text-label"/>
            <w:rFonts w:ascii="Arial" w:hAnsi="Arial" w:cs="Arial"/>
            <w:color w:val="87189D"/>
            <w:sz w:val="22"/>
            <w:szCs w:val="22"/>
          </w:rPr>
          <w:t>goods and services policy team</w:t>
        </w:r>
      </w:hyperlink>
      <w:r w:rsidRPr="00C30A40">
        <w:rPr>
          <w:rFonts w:ascii="Arial" w:hAnsi="Arial" w:cs="Arial"/>
          <w:color w:val="011A3C"/>
          <w:sz w:val="22"/>
          <w:szCs w:val="22"/>
        </w:rPr>
        <w:t>.</w:t>
      </w:r>
      <w:bookmarkEnd w:id="0"/>
    </w:p>
    <w:p w14:paraId="5EA0918E" w14:textId="741F4E99" w:rsidR="00DD78FB" w:rsidRDefault="00DD78FB" w:rsidP="00DD78FB">
      <w:pPr>
        <w:spacing w:before="120" w:after="120" w:line="259" w:lineRule="auto"/>
      </w:pPr>
    </w:p>
    <w:p w14:paraId="25D3DAA8" w14:textId="77777777" w:rsidR="00872C3C" w:rsidRDefault="00872C3C" w:rsidP="00DD78FB">
      <w:pPr>
        <w:spacing w:before="120" w:after="120" w:line="259" w:lineRule="auto"/>
      </w:pPr>
    </w:p>
    <w:p w14:paraId="58E39CF8" w14:textId="77777777" w:rsidR="00872C3C" w:rsidRDefault="00872C3C" w:rsidP="00DD78FB">
      <w:pPr>
        <w:spacing w:before="120" w:after="120" w:line="259" w:lineRule="auto"/>
      </w:pPr>
    </w:p>
    <w:p w14:paraId="20DD5EF0" w14:textId="77777777" w:rsidR="00872C3C" w:rsidRDefault="00872C3C" w:rsidP="00DD78FB">
      <w:pPr>
        <w:spacing w:before="120" w:after="120" w:line="259" w:lineRule="auto"/>
      </w:pPr>
    </w:p>
    <w:p w14:paraId="180A8478" w14:textId="77777777" w:rsidR="00872C3C" w:rsidRDefault="00872C3C" w:rsidP="00DD78FB">
      <w:pPr>
        <w:spacing w:before="120" w:after="120" w:line="259" w:lineRule="auto"/>
      </w:pPr>
    </w:p>
    <w:p w14:paraId="24D04519" w14:textId="77777777" w:rsidR="00872C3C" w:rsidRDefault="00872C3C" w:rsidP="00DD78FB">
      <w:pPr>
        <w:spacing w:before="120" w:after="120" w:line="259" w:lineRule="auto"/>
      </w:pPr>
    </w:p>
    <w:p w14:paraId="0A0E0DA1" w14:textId="77777777" w:rsidR="00872C3C" w:rsidRDefault="00872C3C" w:rsidP="00DD78FB">
      <w:pPr>
        <w:spacing w:before="120" w:after="120" w:line="259" w:lineRule="auto"/>
      </w:pPr>
    </w:p>
    <w:p w14:paraId="6626D5AB" w14:textId="77777777" w:rsidR="00872C3C" w:rsidRDefault="00872C3C" w:rsidP="00DD78FB">
      <w:pPr>
        <w:spacing w:before="120" w:after="120" w:line="259" w:lineRule="auto"/>
      </w:pPr>
    </w:p>
    <w:p w14:paraId="7BF09DBB" w14:textId="77777777" w:rsidR="00872C3C" w:rsidRDefault="00872C3C" w:rsidP="00DD78FB">
      <w:pPr>
        <w:spacing w:before="120" w:after="120" w:line="259" w:lineRule="auto"/>
      </w:pPr>
    </w:p>
    <w:p w14:paraId="24C319B5" w14:textId="77777777" w:rsidR="00872C3C" w:rsidRDefault="00872C3C" w:rsidP="00DD78FB">
      <w:pPr>
        <w:spacing w:before="120" w:after="120" w:line="259" w:lineRule="auto"/>
      </w:pPr>
    </w:p>
    <w:p w14:paraId="733A664C" w14:textId="77777777" w:rsidR="00872C3C" w:rsidRDefault="00872C3C" w:rsidP="00DD78FB">
      <w:pPr>
        <w:spacing w:before="120" w:after="120" w:line="259" w:lineRule="auto"/>
      </w:pPr>
    </w:p>
    <w:p w14:paraId="3EA06FD0" w14:textId="77777777" w:rsidR="00872C3C" w:rsidRDefault="00872C3C" w:rsidP="00DD78FB">
      <w:pPr>
        <w:spacing w:before="120" w:after="120" w:line="259" w:lineRule="auto"/>
      </w:pPr>
    </w:p>
    <w:p w14:paraId="675B14CE" w14:textId="77777777" w:rsidR="00872C3C" w:rsidRDefault="00872C3C" w:rsidP="00DD78FB">
      <w:pPr>
        <w:spacing w:before="120" w:after="120" w:line="259" w:lineRule="auto"/>
      </w:pPr>
    </w:p>
    <w:p w14:paraId="4BB59B72" w14:textId="77777777" w:rsidR="00872C3C" w:rsidRDefault="00872C3C" w:rsidP="00DD78FB">
      <w:pPr>
        <w:spacing w:before="120" w:after="120" w:line="259" w:lineRule="auto"/>
      </w:pPr>
    </w:p>
    <w:p w14:paraId="739C83C0" w14:textId="77777777" w:rsidR="00872C3C" w:rsidRDefault="00872C3C" w:rsidP="00DD78FB">
      <w:pPr>
        <w:spacing w:before="120" w:after="120" w:line="259" w:lineRule="auto"/>
      </w:pPr>
    </w:p>
    <w:p w14:paraId="4E2A2C08" w14:textId="77777777" w:rsidR="000D20C0" w:rsidRDefault="000D20C0" w:rsidP="00DD78FB">
      <w:pPr>
        <w:spacing w:before="120" w:after="120" w:line="259" w:lineRule="auto"/>
      </w:pPr>
    </w:p>
    <w:p w14:paraId="20B86702" w14:textId="5178C431" w:rsidR="00872C3C" w:rsidRPr="00843160" w:rsidRDefault="00872C3C" w:rsidP="00872C3C">
      <w:r w:rsidRPr="00CB3554">
        <w:t xml:space="preserve">© </w:t>
      </w:r>
      <w:r w:rsidRPr="00843160">
        <w:t>State of Victoria 20</w:t>
      </w:r>
      <w:r>
        <w:t>2</w:t>
      </w:r>
      <w:r w:rsidR="000D20C0">
        <w:t>4</w:t>
      </w:r>
      <w:r>
        <w:t xml:space="preserve"> (Victorian Government Purchasing Board)</w:t>
      </w:r>
    </w:p>
    <w:p w14:paraId="5D5475FE" w14:textId="77777777" w:rsidR="00872C3C" w:rsidRPr="00843160" w:rsidRDefault="00872C3C" w:rsidP="00872C3C">
      <w:r w:rsidRPr="00843160">
        <w:rPr>
          <w:noProof/>
        </w:rPr>
        <w:drawing>
          <wp:inline distT="0" distB="0" distL="0" distR="0" wp14:anchorId="435D10D0" wp14:editId="645AE549">
            <wp:extent cx="1117460" cy="393651"/>
            <wp:effectExtent l="0" t="0" r="6985" b="6985"/>
            <wp:docPr id="3" name="Picture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4">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843160">
        <w:t xml:space="preserve"> </w:t>
      </w:r>
    </w:p>
    <w:p w14:paraId="0C3F68F1" w14:textId="77777777" w:rsidR="00872C3C" w:rsidRPr="00843160" w:rsidRDefault="00872C3C" w:rsidP="00872C3C">
      <w:r w:rsidRPr="00843160">
        <w:t xml:space="preserve">This work is licensed under a </w:t>
      </w:r>
      <w:hyperlink r:id="rId15" w:history="1">
        <w:r w:rsidRPr="00961335">
          <w:rPr>
            <w:rStyle w:val="Hyperlink"/>
          </w:rPr>
          <w:t>Creative Commons Attribution 4.0 licence</w:t>
        </w:r>
      </w:hyperlink>
      <w:r w:rsidRPr="00961335">
        <w:t>.</w:t>
      </w:r>
      <w:r w:rsidRPr="00843160">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6CFD0A8C" w14:textId="111939E9" w:rsidR="00872C3C" w:rsidRPr="00872C3C" w:rsidRDefault="00872C3C" w:rsidP="00872C3C">
      <w:pPr>
        <w:rPr>
          <w:color w:val="660B68"/>
        </w:rPr>
      </w:pPr>
      <w:r w:rsidRPr="00843160">
        <w:t xml:space="preserve">Copyright queries may be directed to </w:t>
      </w:r>
      <w:hyperlink r:id="rId16" w:history="1">
        <w:r w:rsidRPr="00843160">
          <w:rPr>
            <w:color w:val="660B68"/>
          </w:rPr>
          <w:t>IPpolicy@dtf.vic.gov.au</w:t>
        </w:r>
      </w:hyperlink>
      <w:r>
        <w:rPr>
          <w:color w:val="660B68"/>
        </w:rPr>
        <w:t>.</w:t>
      </w:r>
    </w:p>
    <w:sectPr w:rsidR="00872C3C" w:rsidRPr="00872C3C" w:rsidSect="00EB2356">
      <w:headerReference w:type="default" r:id="rId17"/>
      <w:footerReference w:type="even" r:id="rId18"/>
      <w:footerReference w:type="default" r:id="rId19"/>
      <w:footerReference w:type="firs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C3675" w14:textId="77777777" w:rsidR="006642D5" w:rsidRDefault="006642D5" w:rsidP="00DE7D3C">
      <w:pPr>
        <w:spacing w:before="0" w:after="0" w:line="240" w:lineRule="auto"/>
      </w:pPr>
      <w:r>
        <w:separator/>
      </w:r>
    </w:p>
  </w:endnote>
  <w:endnote w:type="continuationSeparator" w:id="0">
    <w:p w14:paraId="011B4B54" w14:textId="77777777" w:rsidR="006642D5" w:rsidRDefault="006642D5" w:rsidP="00DE7D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25C01" w14:textId="109B81A6" w:rsidR="0040030D" w:rsidRDefault="0037597D">
    <w:pPr>
      <w:pStyle w:val="Footer"/>
    </w:pPr>
    <w:r>
      <w:rPr>
        <w:noProof/>
        <w14:ligatures w14:val="standardContextual"/>
      </w:rPr>
      <mc:AlternateContent>
        <mc:Choice Requires="wps">
          <w:drawing>
            <wp:anchor distT="0" distB="0" distL="0" distR="0" simplePos="0" relativeHeight="251659264" behindDoc="0" locked="0" layoutInCell="1" allowOverlap="1" wp14:anchorId="38C96997" wp14:editId="18D1E427">
              <wp:simplePos x="635" y="635"/>
              <wp:positionH relativeFrom="page">
                <wp:align>left</wp:align>
              </wp:positionH>
              <wp:positionV relativeFrom="page">
                <wp:align>bottom</wp:align>
              </wp:positionV>
              <wp:extent cx="443865" cy="443865"/>
              <wp:effectExtent l="0" t="0" r="254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729C0A" w14:textId="49D9168E" w:rsidR="0037597D" w:rsidRPr="0037597D" w:rsidRDefault="0037597D" w:rsidP="0037597D">
                          <w:pPr>
                            <w:spacing w:after="0"/>
                            <w:rPr>
                              <w:rFonts w:eastAsia="Calibri"/>
                              <w:noProof/>
                              <w:color w:val="000000"/>
                            </w:rPr>
                          </w:pPr>
                          <w:r w:rsidRPr="0037597D">
                            <w:rPr>
                              <w:rFonts w:eastAsia="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C96997" id="_x0000_t202" coordsize="21600,21600" o:spt="202" path="m,l,21600r21600,l21600,xe">
              <v:stroke joinstyle="miter"/>
              <v:path gradientshapeok="t" o:connecttype="rect"/>
            </v:shapetype>
            <v:shape id="Text Box 2" o:spid="_x0000_s1027"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A729C0A" w14:textId="49D9168E" w:rsidR="0037597D" w:rsidRPr="0037597D" w:rsidRDefault="0037597D" w:rsidP="0037597D">
                    <w:pPr>
                      <w:spacing w:after="0"/>
                      <w:rPr>
                        <w:rFonts w:eastAsia="Calibri"/>
                        <w:noProof/>
                        <w:color w:val="000000"/>
                      </w:rPr>
                    </w:pPr>
                    <w:r w:rsidRPr="0037597D">
                      <w:rPr>
                        <w:rFonts w:eastAsia="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703FA" w14:textId="77777777" w:rsidR="00EB2356" w:rsidRDefault="00EB2356" w:rsidP="00EB2356">
    <w:pPr>
      <w:pStyle w:val="Footer"/>
    </w:pPr>
  </w:p>
  <w:p w14:paraId="18B971AF" w14:textId="29EDC9E4" w:rsidR="00EB2356" w:rsidRPr="000D20C0" w:rsidRDefault="00EB2356" w:rsidP="00EB2356">
    <w:pPr>
      <w:pStyle w:val="Footer"/>
      <w:rPr>
        <w:rFonts w:ascii="Arial" w:hAnsi="Arial" w:cs="Arial"/>
        <w:sz w:val="18"/>
        <w:szCs w:val="18"/>
      </w:rPr>
    </w:pPr>
    <w:r w:rsidRPr="000D20C0">
      <w:rPr>
        <w:rFonts w:ascii="Arial" w:hAnsi="Arial" w:cs="Arial"/>
        <w:sz w:val="18"/>
        <w:szCs w:val="18"/>
      </w:rPr>
      <w:t>Victorian Government Purchasing Board</w:t>
    </w:r>
  </w:p>
  <w:p w14:paraId="1D4AF39C" w14:textId="46F213B6" w:rsidR="00EB2356" w:rsidRPr="000D20C0" w:rsidRDefault="00EB2356" w:rsidP="00EB2356">
    <w:pPr>
      <w:pStyle w:val="Footer"/>
      <w:rPr>
        <w:rFonts w:ascii="Arial" w:hAnsi="Arial" w:cs="Arial"/>
        <w:sz w:val="18"/>
        <w:szCs w:val="18"/>
      </w:rPr>
    </w:pPr>
    <w:r w:rsidRPr="000D20C0">
      <w:rPr>
        <w:rFonts w:ascii="Arial" w:hAnsi="Arial" w:cs="Arial"/>
        <w:sz w:val="18"/>
        <w:szCs w:val="18"/>
      </w:rPr>
      <w:t>Structuring state purchase contracts and other procurement arrangements</w:t>
    </w:r>
    <w:r w:rsidR="001B63DF">
      <w:rPr>
        <w:rFonts w:ascii="Arial" w:hAnsi="Arial" w:cs="Arial"/>
        <w:sz w:val="18"/>
        <w:szCs w:val="18"/>
      </w:rPr>
      <w:t>: G</w:t>
    </w:r>
    <w:r w:rsidR="000D20C0" w:rsidRPr="000D20C0">
      <w:rPr>
        <w:rFonts w:ascii="Arial" w:hAnsi="Arial" w:cs="Arial"/>
        <w:sz w:val="18"/>
        <w:szCs w:val="18"/>
      </w:rPr>
      <w:t xml:space="preserve">oods and services </w:t>
    </w:r>
    <w:r w:rsidRPr="000D20C0">
      <w:rPr>
        <w:rFonts w:ascii="Arial" w:hAnsi="Arial" w:cs="Arial"/>
        <w:sz w:val="18"/>
        <w:szCs w:val="18"/>
      </w:rPr>
      <w:t>guide</w:t>
    </w:r>
  </w:p>
  <w:p w14:paraId="5F706184" w14:textId="70EAAE93" w:rsidR="00EB2356" w:rsidRPr="000D20C0" w:rsidRDefault="00EB2356" w:rsidP="00EB2356">
    <w:pPr>
      <w:pStyle w:val="Footer"/>
      <w:rPr>
        <w:rFonts w:ascii="Arial" w:hAnsi="Arial" w:cs="Arial"/>
        <w:sz w:val="18"/>
        <w:szCs w:val="18"/>
      </w:rPr>
    </w:pPr>
    <w:r w:rsidRPr="000D20C0">
      <w:rPr>
        <w:rFonts w:ascii="Arial" w:hAnsi="Arial" w:cs="Arial"/>
        <w:sz w:val="18"/>
        <w:szCs w:val="18"/>
      </w:rPr>
      <w:t>Ju</w:t>
    </w:r>
    <w:r w:rsidR="000D20C0" w:rsidRPr="000D20C0">
      <w:rPr>
        <w:rFonts w:ascii="Arial" w:hAnsi="Arial" w:cs="Arial"/>
        <w:sz w:val="18"/>
        <w:szCs w:val="18"/>
      </w:rPr>
      <w:t>ly</w:t>
    </w:r>
    <w:r w:rsidRPr="000D20C0">
      <w:rPr>
        <w:rFonts w:ascii="Arial" w:hAnsi="Arial" w:cs="Arial"/>
        <w:sz w:val="18"/>
        <w:szCs w:val="18"/>
      </w:rPr>
      <w:t xml:space="preserve"> 2024</w:t>
    </w:r>
  </w:p>
  <w:p w14:paraId="0C0B607B" w14:textId="2E93C70F" w:rsidR="00A94B9E" w:rsidRPr="000D20C0" w:rsidRDefault="001B63DF">
    <w:pPr>
      <w:pStyle w:val="Footer"/>
      <w:jc w:val="right"/>
      <w:rPr>
        <w:rFonts w:ascii="Arial" w:hAnsi="Arial" w:cs="Arial"/>
      </w:rPr>
    </w:pPr>
    <w:sdt>
      <w:sdtPr>
        <w:rPr>
          <w:rFonts w:ascii="Arial" w:hAnsi="Arial" w:cs="Arial"/>
        </w:rPr>
        <w:id w:val="-140571554"/>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r w:rsidR="00A94B9E" w:rsidRPr="000D20C0">
              <w:rPr>
                <w:rFonts w:ascii="Arial" w:hAnsi="Arial" w:cs="Arial"/>
              </w:rPr>
              <w:t xml:space="preserve">Page </w:t>
            </w:r>
            <w:r w:rsidR="00A94B9E" w:rsidRPr="000D20C0">
              <w:rPr>
                <w:rFonts w:ascii="Arial" w:hAnsi="Arial" w:cs="Arial"/>
                <w:b/>
                <w:bCs/>
                <w:sz w:val="24"/>
                <w:szCs w:val="24"/>
              </w:rPr>
              <w:fldChar w:fldCharType="begin"/>
            </w:r>
            <w:r w:rsidR="00A94B9E" w:rsidRPr="000D20C0">
              <w:rPr>
                <w:rFonts w:ascii="Arial" w:hAnsi="Arial" w:cs="Arial"/>
                <w:b/>
                <w:bCs/>
              </w:rPr>
              <w:instrText xml:space="preserve"> PAGE </w:instrText>
            </w:r>
            <w:r w:rsidR="00A94B9E" w:rsidRPr="000D20C0">
              <w:rPr>
                <w:rFonts w:ascii="Arial" w:hAnsi="Arial" w:cs="Arial"/>
                <w:b/>
                <w:bCs/>
                <w:sz w:val="24"/>
                <w:szCs w:val="24"/>
              </w:rPr>
              <w:fldChar w:fldCharType="separate"/>
            </w:r>
            <w:r w:rsidR="00A94B9E" w:rsidRPr="000D20C0">
              <w:rPr>
                <w:rFonts w:ascii="Arial" w:hAnsi="Arial" w:cs="Arial"/>
                <w:b/>
                <w:bCs/>
                <w:noProof/>
              </w:rPr>
              <w:t>2</w:t>
            </w:r>
            <w:r w:rsidR="00A94B9E" w:rsidRPr="000D20C0">
              <w:rPr>
                <w:rFonts w:ascii="Arial" w:hAnsi="Arial" w:cs="Arial"/>
                <w:b/>
                <w:bCs/>
                <w:sz w:val="24"/>
                <w:szCs w:val="24"/>
              </w:rPr>
              <w:fldChar w:fldCharType="end"/>
            </w:r>
            <w:r w:rsidR="00A94B9E" w:rsidRPr="000D20C0">
              <w:rPr>
                <w:rFonts w:ascii="Arial" w:hAnsi="Arial" w:cs="Arial"/>
              </w:rPr>
              <w:t xml:space="preserve"> of </w:t>
            </w:r>
            <w:r w:rsidR="00A94B9E" w:rsidRPr="000D20C0">
              <w:rPr>
                <w:rFonts w:ascii="Arial" w:hAnsi="Arial" w:cs="Arial"/>
                <w:b/>
                <w:bCs/>
                <w:sz w:val="24"/>
                <w:szCs w:val="24"/>
              </w:rPr>
              <w:fldChar w:fldCharType="begin"/>
            </w:r>
            <w:r w:rsidR="00A94B9E" w:rsidRPr="000D20C0">
              <w:rPr>
                <w:rFonts w:ascii="Arial" w:hAnsi="Arial" w:cs="Arial"/>
                <w:b/>
                <w:bCs/>
              </w:rPr>
              <w:instrText xml:space="preserve"> NUMPAGES  </w:instrText>
            </w:r>
            <w:r w:rsidR="00A94B9E" w:rsidRPr="000D20C0">
              <w:rPr>
                <w:rFonts w:ascii="Arial" w:hAnsi="Arial" w:cs="Arial"/>
                <w:b/>
                <w:bCs/>
                <w:sz w:val="24"/>
                <w:szCs w:val="24"/>
              </w:rPr>
              <w:fldChar w:fldCharType="separate"/>
            </w:r>
            <w:r w:rsidR="00A94B9E" w:rsidRPr="000D20C0">
              <w:rPr>
                <w:rFonts w:ascii="Arial" w:hAnsi="Arial" w:cs="Arial"/>
                <w:b/>
                <w:bCs/>
                <w:noProof/>
              </w:rPr>
              <w:t>2</w:t>
            </w:r>
            <w:r w:rsidR="00A94B9E" w:rsidRPr="000D20C0">
              <w:rPr>
                <w:rFonts w:ascii="Arial" w:hAnsi="Arial" w:cs="Arial"/>
                <w:b/>
                <w:bCs/>
                <w:sz w:val="24"/>
                <w:szCs w:val="24"/>
              </w:rPr>
              <w:fldChar w:fldCharType="end"/>
            </w:r>
          </w:sdtContent>
        </w:sdt>
      </w:sdtContent>
    </w:sdt>
  </w:p>
  <w:p w14:paraId="5A0F1BFB" w14:textId="764848DD" w:rsidR="0040030D" w:rsidRDefault="00EB2356">
    <w:pPr>
      <w:pStyle w:val="Footer"/>
    </w:pPr>
    <w:r>
      <w:rPr>
        <w:noProof/>
      </w:rPr>
      <mc:AlternateContent>
        <mc:Choice Requires="wps">
          <w:drawing>
            <wp:anchor distT="0" distB="0" distL="114300" distR="114300" simplePos="0" relativeHeight="251661312" behindDoc="0" locked="0" layoutInCell="0" allowOverlap="1" wp14:anchorId="4D0DA1D0" wp14:editId="3B2AD853">
              <wp:simplePos x="0" y="0"/>
              <wp:positionH relativeFrom="page">
                <wp:posOffset>33337</wp:posOffset>
              </wp:positionH>
              <wp:positionV relativeFrom="page">
                <wp:posOffset>10339388</wp:posOffset>
              </wp:positionV>
              <wp:extent cx="1062037" cy="228600"/>
              <wp:effectExtent l="0" t="0" r="0" b="0"/>
              <wp:wrapNone/>
              <wp:docPr id="4" name="MSIPCMcd054bbbbc31af7246b4272f"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2037"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60253" w14:textId="77777777" w:rsidR="00A94B9E" w:rsidRPr="000D20C0" w:rsidRDefault="00A94B9E" w:rsidP="00A94B9E">
                          <w:pPr>
                            <w:spacing w:after="0"/>
                            <w:rPr>
                              <w:rFonts w:ascii="Arial" w:hAnsi="Arial" w:cs="Arial"/>
                              <w:color w:val="000000"/>
                            </w:rPr>
                          </w:pPr>
                          <w:r w:rsidRPr="000D20C0">
                            <w:rPr>
                              <w:rFonts w:ascii="Arial" w:hAnsi="Arial" w:cs="Arial"/>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DA1D0" id="_x0000_t202" coordsize="21600,21600" o:spt="202" path="m,l,21600r21600,l21600,xe">
              <v:stroke joinstyle="miter"/>
              <v:path gradientshapeok="t" o:connecttype="rect"/>
            </v:shapetype>
            <v:shape id="_x0000_s1028" type="#_x0000_t202" alt="{&quot;HashCode&quot;:-1267603503,&quot;Height&quot;:841.0,&quot;Width&quot;:595.0,&quot;Placement&quot;:&quot;Footer&quot;,&quot;Index&quot;:&quot;Primary&quot;,&quot;Section&quot;:1,&quot;Top&quot;:0.0,&quot;Left&quot;:0.0}" style="position:absolute;margin-left:2.6pt;margin-top:814.15pt;width:83.6pt;height: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" o:allowincell="f" filled="f" stroked="f" strokeweight=".5pt">
              <v:textbox inset="20pt,0,,0">
                <w:txbxContent>
                  <w:p w14:paraId="30B60253" w14:textId="77777777" w:rsidR="00A94B9E" w:rsidRPr="000D20C0" w:rsidRDefault="00A94B9E" w:rsidP="00A94B9E">
                    <w:pPr>
                      <w:spacing w:after="0"/>
                      <w:rPr>
                        <w:rFonts w:ascii="Arial" w:hAnsi="Arial" w:cs="Arial"/>
                        <w:color w:val="000000"/>
                      </w:rPr>
                    </w:pPr>
                    <w:r w:rsidRPr="000D20C0">
                      <w:rPr>
                        <w:rFonts w:ascii="Arial" w:hAnsi="Arial" w:cs="Arial"/>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263BF" w14:textId="358EFC51" w:rsidR="0040030D" w:rsidRDefault="0037597D">
    <w:pPr>
      <w:pStyle w:val="Footer"/>
    </w:pPr>
    <w:r>
      <w:rPr>
        <w:noProof/>
        <w14:ligatures w14:val="standardContextual"/>
      </w:rPr>
      <mc:AlternateContent>
        <mc:Choice Requires="wps">
          <w:drawing>
            <wp:anchor distT="0" distB="0" distL="0" distR="0" simplePos="0" relativeHeight="251658240" behindDoc="0" locked="0" layoutInCell="1" allowOverlap="1" wp14:anchorId="497285BE" wp14:editId="1EDBCC71">
              <wp:simplePos x="635" y="635"/>
              <wp:positionH relativeFrom="page">
                <wp:align>left</wp:align>
              </wp:positionH>
              <wp:positionV relativeFrom="page">
                <wp:align>bottom</wp:align>
              </wp:positionV>
              <wp:extent cx="443865" cy="443865"/>
              <wp:effectExtent l="0" t="0" r="254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B05065" w14:textId="1F0930DF" w:rsidR="0037597D" w:rsidRPr="0037597D" w:rsidRDefault="0037597D" w:rsidP="0037597D">
                          <w:pPr>
                            <w:spacing w:after="0"/>
                            <w:rPr>
                              <w:rFonts w:eastAsia="Calibri"/>
                              <w:noProof/>
                              <w:color w:val="000000"/>
                            </w:rPr>
                          </w:pPr>
                          <w:r w:rsidRPr="0037597D">
                            <w:rPr>
                              <w:rFonts w:eastAsia="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7285BE"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78B05065" w14:textId="1F0930DF" w:rsidR="0037597D" w:rsidRPr="0037597D" w:rsidRDefault="0037597D" w:rsidP="0037597D">
                    <w:pPr>
                      <w:spacing w:after="0"/>
                      <w:rPr>
                        <w:rFonts w:eastAsia="Calibri"/>
                        <w:noProof/>
                        <w:color w:val="000000"/>
                      </w:rPr>
                    </w:pPr>
                    <w:r w:rsidRPr="0037597D">
                      <w:rPr>
                        <w:rFonts w:eastAsia="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FA7EA" w14:textId="77777777" w:rsidR="006642D5" w:rsidRDefault="006642D5" w:rsidP="00DE7D3C">
      <w:pPr>
        <w:spacing w:before="0" w:after="0" w:line="240" w:lineRule="auto"/>
      </w:pPr>
      <w:r>
        <w:separator/>
      </w:r>
    </w:p>
  </w:footnote>
  <w:footnote w:type="continuationSeparator" w:id="0">
    <w:p w14:paraId="693DB288" w14:textId="77777777" w:rsidR="006642D5" w:rsidRDefault="006642D5" w:rsidP="00DE7D3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E56BF" w14:textId="0D0F460C" w:rsidR="00DE7D3C" w:rsidRPr="00DE7D3C" w:rsidRDefault="00EB2356" w:rsidP="00CF7957">
    <w:pPr>
      <w:pStyle w:val="Header"/>
      <w:tabs>
        <w:tab w:val="right" w:pos="9781"/>
      </w:tabs>
      <w:spacing w:before="60" w:after="60"/>
      <w:ind w:right="-40"/>
      <w:jc w:val="right"/>
      <w:rPr>
        <w:b/>
        <w:bCs/>
        <w:color w:val="FF0000"/>
        <w:sz w:val="20"/>
        <w:szCs w:val="20"/>
      </w:rPr>
    </w:pPr>
    <w:r>
      <w:rPr>
        <w:noProof/>
      </w:rPr>
      <mc:AlternateContent>
        <mc:Choice Requires="wps">
          <w:drawing>
            <wp:anchor distT="0" distB="0" distL="114300" distR="114300" simplePos="0" relativeHeight="251663360" behindDoc="0" locked="0" layoutInCell="0" allowOverlap="1" wp14:anchorId="1DFEFABA" wp14:editId="6D823D7E">
              <wp:simplePos x="0" y="0"/>
              <wp:positionH relativeFrom="page">
                <wp:posOffset>661988</wp:posOffset>
              </wp:positionH>
              <wp:positionV relativeFrom="page">
                <wp:posOffset>357188</wp:posOffset>
              </wp:positionV>
              <wp:extent cx="6238875" cy="247650"/>
              <wp:effectExtent l="0" t="0" r="0" b="0"/>
              <wp:wrapNone/>
              <wp:docPr id="1044679250" name="MSIPCMcd054bbbbc31af7246b4272f"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6238875" cy="2476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77E815" w14:textId="334800E0" w:rsidR="00EB2356" w:rsidRPr="000D20C0" w:rsidRDefault="00872C3C" w:rsidP="00EB2356">
                          <w:pPr>
                            <w:spacing w:after="0"/>
                            <w:rPr>
                              <w:rFonts w:ascii="Arial" w:hAnsi="Arial" w:cs="Arial"/>
                              <w:color w:val="000000"/>
                            </w:rPr>
                          </w:pPr>
                          <w:r w:rsidRPr="000D20C0">
                            <w:rPr>
                              <w:rFonts w:ascii="Arial" w:hAnsi="Arial" w:cs="Arial"/>
                              <w:color w:val="000000"/>
                            </w:rPr>
                            <w:t xml:space="preserve">          </w:t>
                          </w:r>
                          <w:r w:rsidR="00EB2356" w:rsidRPr="000D20C0">
                            <w:rPr>
                              <w:rFonts w:ascii="Arial" w:hAnsi="Arial" w:cs="Arial"/>
                              <w:color w:val="000000"/>
                            </w:rPr>
                            <w:t xml:space="preserve">                                                                               </w:t>
                          </w:r>
                          <w:r w:rsidRPr="000D20C0">
                            <w:rPr>
                              <w:rFonts w:ascii="Arial" w:hAnsi="Arial" w:cs="Arial"/>
                              <w:color w:val="000000"/>
                            </w:rPr>
                            <w:t xml:space="preserve"> </w:t>
                          </w:r>
                          <w:r w:rsidR="00EB2356" w:rsidRPr="000D20C0">
                            <w:rPr>
                              <w:rFonts w:ascii="Arial" w:hAnsi="Arial" w:cs="Arial"/>
                              <w:color w:val="000000"/>
                            </w:rPr>
                            <w:t xml:space="preserve"> Department of Government Services                                                                   </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EFABA" id="_x0000_t202" coordsize="21600,21600" o:spt="202" path="m,l,21600r21600,l21600,xe">
              <v:stroke joinstyle="miter"/>
              <v:path gradientshapeok="t" o:connecttype="rect"/>
            </v:shapetype>
            <v:shape id="MSIPCMcd054bbbbc31af7246b4272f" o:spid="_x0000_s1026" type="#_x0000_t202" alt="{&quot;HashCode&quot;:-1267603503,&quot;Height&quot;:841.0,&quot;Width&quot;:595.0,&quot;Placement&quot;:&quot;Footer&quot;,&quot;Index&quot;:&quot;Primary&quot;,&quot;Section&quot;:1,&quot;Top&quot;:0.0,&quot;Left&quot;:0.0}" style="position:absolute;left:0;text-align:left;margin-left:52.15pt;margin-top:28.15pt;width:491.25pt;height:1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" o:allowincell="f" filled="f" stroked="f" strokeweight=".5pt">
              <v:textbox inset="20pt,0,,0">
                <w:txbxContent>
                  <w:p w14:paraId="4277E815" w14:textId="334800E0" w:rsidR="00EB2356" w:rsidRPr="000D20C0" w:rsidRDefault="00872C3C" w:rsidP="00EB2356">
                    <w:pPr>
                      <w:spacing w:after="0"/>
                      <w:rPr>
                        <w:rFonts w:ascii="Arial" w:hAnsi="Arial" w:cs="Arial"/>
                        <w:color w:val="000000"/>
                      </w:rPr>
                    </w:pPr>
                    <w:r w:rsidRPr="000D20C0">
                      <w:rPr>
                        <w:rFonts w:ascii="Arial" w:hAnsi="Arial" w:cs="Arial"/>
                        <w:color w:val="000000"/>
                      </w:rPr>
                      <w:t xml:space="preserve">          </w:t>
                    </w:r>
                    <w:r w:rsidR="00EB2356" w:rsidRPr="000D20C0">
                      <w:rPr>
                        <w:rFonts w:ascii="Arial" w:hAnsi="Arial" w:cs="Arial"/>
                        <w:color w:val="000000"/>
                      </w:rPr>
                      <w:t xml:space="preserve">                                                                               </w:t>
                    </w:r>
                    <w:r w:rsidRPr="000D20C0">
                      <w:rPr>
                        <w:rFonts w:ascii="Arial" w:hAnsi="Arial" w:cs="Arial"/>
                        <w:color w:val="000000"/>
                      </w:rPr>
                      <w:t xml:space="preserve"> </w:t>
                    </w:r>
                    <w:r w:rsidR="00EB2356" w:rsidRPr="000D20C0">
                      <w:rPr>
                        <w:rFonts w:ascii="Arial" w:hAnsi="Arial" w:cs="Arial"/>
                        <w:color w:val="000000"/>
                      </w:rPr>
                      <w:t xml:space="preserve"> Department of Government Services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63D30"/>
    <w:multiLevelType w:val="hybridMultilevel"/>
    <w:tmpl w:val="2AB0E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6674A"/>
    <w:multiLevelType w:val="hybridMultilevel"/>
    <w:tmpl w:val="86A62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02732F"/>
    <w:multiLevelType w:val="hybridMultilevel"/>
    <w:tmpl w:val="4B1A8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495420"/>
    <w:multiLevelType w:val="hybridMultilevel"/>
    <w:tmpl w:val="237CA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D3681C"/>
    <w:multiLevelType w:val="hybridMultilevel"/>
    <w:tmpl w:val="F154D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5A0B44"/>
    <w:multiLevelType w:val="hybridMultilevel"/>
    <w:tmpl w:val="D24AD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F108D1"/>
    <w:multiLevelType w:val="hybridMultilevel"/>
    <w:tmpl w:val="EDC65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A031E2"/>
    <w:multiLevelType w:val="hybridMultilevel"/>
    <w:tmpl w:val="CF2EB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972A0E"/>
    <w:multiLevelType w:val="hybridMultilevel"/>
    <w:tmpl w:val="074672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6F1E0A"/>
    <w:multiLevelType w:val="hybridMultilevel"/>
    <w:tmpl w:val="51FE0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555787"/>
    <w:multiLevelType w:val="hybridMultilevel"/>
    <w:tmpl w:val="EB1C2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010342"/>
    <w:multiLevelType w:val="hybridMultilevel"/>
    <w:tmpl w:val="710A0D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8E2344"/>
    <w:multiLevelType w:val="hybridMultilevel"/>
    <w:tmpl w:val="ADF066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4" w15:restartNumberingAfterBreak="0">
    <w:nsid w:val="48B5158F"/>
    <w:multiLevelType w:val="hybridMultilevel"/>
    <w:tmpl w:val="660EB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D52FC0"/>
    <w:multiLevelType w:val="hybridMultilevel"/>
    <w:tmpl w:val="104202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2229DC"/>
    <w:multiLevelType w:val="hybridMultilevel"/>
    <w:tmpl w:val="1C1E1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9A585E"/>
    <w:multiLevelType w:val="hybridMultilevel"/>
    <w:tmpl w:val="9CD4E67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611D73FF"/>
    <w:multiLevelType w:val="hybridMultilevel"/>
    <w:tmpl w:val="AB52E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D54D95"/>
    <w:multiLevelType w:val="hybridMultilevel"/>
    <w:tmpl w:val="05282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500989"/>
    <w:multiLevelType w:val="hybridMultilevel"/>
    <w:tmpl w:val="6DD605D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1730EA7"/>
    <w:multiLevelType w:val="hybridMultilevel"/>
    <w:tmpl w:val="882EC39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2"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8412043">
    <w:abstractNumId w:val="13"/>
  </w:num>
  <w:num w:numId="2" w16cid:durableId="1685204552">
    <w:abstractNumId w:val="9"/>
  </w:num>
  <w:num w:numId="3" w16cid:durableId="907767788">
    <w:abstractNumId w:val="22"/>
  </w:num>
  <w:num w:numId="4" w16cid:durableId="151455946">
    <w:abstractNumId w:val="20"/>
  </w:num>
  <w:num w:numId="5" w16cid:durableId="1900362301">
    <w:abstractNumId w:val="0"/>
  </w:num>
  <w:num w:numId="6" w16cid:durableId="2020696508">
    <w:abstractNumId w:val="16"/>
  </w:num>
  <w:num w:numId="7" w16cid:durableId="606425410">
    <w:abstractNumId w:val="11"/>
  </w:num>
  <w:num w:numId="8" w16cid:durableId="299919893">
    <w:abstractNumId w:val="18"/>
  </w:num>
  <w:num w:numId="9" w16cid:durableId="2048412865">
    <w:abstractNumId w:val="15"/>
  </w:num>
  <w:num w:numId="10" w16cid:durableId="1201017575">
    <w:abstractNumId w:val="19"/>
  </w:num>
  <w:num w:numId="11" w16cid:durableId="1230849598">
    <w:abstractNumId w:val="2"/>
  </w:num>
  <w:num w:numId="12" w16cid:durableId="194661593">
    <w:abstractNumId w:val="6"/>
  </w:num>
  <w:num w:numId="13" w16cid:durableId="1502700525">
    <w:abstractNumId w:val="10"/>
  </w:num>
  <w:num w:numId="14" w16cid:durableId="1305312224">
    <w:abstractNumId w:val="14"/>
  </w:num>
  <w:num w:numId="15" w16cid:durableId="176118883">
    <w:abstractNumId w:val="8"/>
  </w:num>
  <w:num w:numId="16" w16cid:durableId="105389948">
    <w:abstractNumId w:val="21"/>
  </w:num>
  <w:num w:numId="17" w16cid:durableId="118769726">
    <w:abstractNumId w:val="12"/>
  </w:num>
  <w:num w:numId="18" w16cid:durableId="1000236087">
    <w:abstractNumId w:val="4"/>
  </w:num>
  <w:num w:numId="19" w16cid:durableId="1828205607">
    <w:abstractNumId w:val="17"/>
  </w:num>
  <w:num w:numId="20" w16cid:durableId="884873151">
    <w:abstractNumId w:val="7"/>
  </w:num>
  <w:num w:numId="21" w16cid:durableId="1969506582">
    <w:abstractNumId w:val="1"/>
  </w:num>
  <w:num w:numId="22" w16cid:durableId="645866028">
    <w:abstractNumId w:val="5"/>
  </w:num>
  <w:num w:numId="23" w16cid:durableId="1355956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3C"/>
    <w:rsid w:val="00000FCA"/>
    <w:rsid w:val="00011775"/>
    <w:rsid w:val="000127F3"/>
    <w:rsid w:val="000D20C0"/>
    <w:rsid w:val="000D732E"/>
    <w:rsid w:val="000E3661"/>
    <w:rsid w:val="00107329"/>
    <w:rsid w:val="00123752"/>
    <w:rsid w:val="00127771"/>
    <w:rsid w:val="00127A56"/>
    <w:rsid w:val="00193B73"/>
    <w:rsid w:val="001B63DF"/>
    <w:rsid w:val="001C578B"/>
    <w:rsid w:val="00202443"/>
    <w:rsid w:val="002707C5"/>
    <w:rsid w:val="00290947"/>
    <w:rsid w:val="002A1A5E"/>
    <w:rsid w:val="002B1763"/>
    <w:rsid w:val="002B1D7A"/>
    <w:rsid w:val="002C1F70"/>
    <w:rsid w:val="002C235E"/>
    <w:rsid w:val="00314F57"/>
    <w:rsid w:val="00334C9E"/>
    <w:rsid w:val="00346D68"/>
    <w:rsid w:val="00373F7F"/>
    <w:rsid w:val="0037597D"/>
    <w:rsid w:val="003C13B9"/>
    <w:rsid w:val="003E24EF"/>
    <w:rsid w:val="0040030D"/>
    <w:rsid w:val="00447A75"/>
    <w:rsid w:val="0047117F"/>
    <w:rsid w:val="0049094A"/>
    <w:rsid w:val="004B7C69"/>
    <w:rsid w:val="004E37E2"/>
    <w:rsid w:val="004F2C6A"/>
    <w:rsid w:val="004F4A4E"/>
    <w:rsid w:val="005030E9"/>
    <w:rsid w:val="00514774"/>
    <w:rsid w:val="005169E9"/>
    <w:rsid w:val="00530756"/>
    <w:rsid w:val="00531CEE"/>
    <w:rsid w:val="00532829"/>
    <w:rsid w:val="005336C9"/>
    <w:rsid w:val="00574AE7"/>
    <w:rsid w:val="005878E9"/>
    <w:rsid w:val="005B4D9C"/>
    <w:rsid w:val="005D7E78"/>
    <w:rsid w:val="005D7FE6"/>
    <w:rsid w:val="005E7BEC"/>
    <w:rsid w:val="006642D5"/>
    <w:rsid w:val="00666A83"/>
    <w:rsid w:val="006A351E"/>
    <w:rsid w:val="006A6004"/>
    <w:rsid w:val="006D1CCD"/>
    <w:rsid w:val="006F6382"/>
    <w:rsid w:val="0072170C"/>
    <w:rsid w:val="00737ECD"/>
    <w:rsid w:val="007977D9"/>
    <w:rsid w:val="007F7AD4"/>
    <w:rsid w:val="00812393"/>
    <w:rsid w:val="00816BD0"/>
    <w:rsid w:val="00820F76"/>
    <w:rsid w:val="00822CF6"/>
    <w:rsid w:val="00841A07"/>
    <w:rsid w:val="0084795D"/>
    <w:rsid w:val="00860EF7"/>
    <w:rsid w:val="008634AB"/>
    <w:rsid w:val="00872202"/>
    <w:rsid w:val="00872C3C"/>
    <w:rsid w:val="0088626B"/>
    <w:rsid w:val="008A43F4"/>
    <w:rsid w:val="008C4535"/>
    <w:rsid w:val="00932BB7"/>
    <w:rsid w:val="00935F16"/>
    <w:rsid w:val="009543F9"/>
    <w:rsid w:val="009B6A64"/>
    <w:rsid w:val="009C360D"/>
    <w:rsid w:val="009F557A"/>
    <w:rsid w:val="00A1771E"/>
    <w:rsid w:val="00A64EEA"/>
    <w:rsid w:val="00A91AD5"/>
    <w:rsid w:val="00A94B9E"/>
    <w:rsid w:val="00AB4987"/>
    <w:rsid w:val="00AC7226"/>
    <w:rsid w:val="00AF3EBC"/>
    <w:rsid w:val="00B32029"/>
    <w:rsid w:val="00B44E47"/>
    <w:rsid w:val="00B605D3"/>
    <w:rsid w:val="00B737A3"/>
    <w:rsid w:val="00B96840"/>
    <w:rsid w:val="00BC3917"/>
    <w:rsid w:val="00BC7601"/>
    <w:rsid w:val="00BC778C"/>
    <w:rsid w:val="00BD5583"/>
    <w:rsid w:val="00BD692B"/>
    <w:rsid w:val="00C01A2A"/>
    <w:rsid w:val="00C125AF"/>
    <w:rsid w:val="00C24896"/>
    <w:rsid w:val="00C35658"/>
    <w:rsid w:val="00C45BCB"/>
    <w:rsid w:val="00C508BE"/>
    <w:rsid w:val="00C5522B"/>
    <w:rsid w:val="00C55CBE"/>
    <w:rsid w:val="00C6575D"/>
    <w:rsid w:val="00CB5D4D"/>
    <w:rsid w:val="00CF7957"/>
    <w:rsid w:val="00D25CD6"/>
    <w:rsid w:val="00D75AAC"/>
    <w:rsid w:val="00D91AB7"/>
    <w:rsid w:val="00DA72B6"/>
    <w:rsid w:val="00DC202A"/>
    <w:rsid w:val="00DD78FB"/>
    <w:rsid w:val="00DE7D3C"/>
    <w:rsid w:val="00E2181E"/>
    <w:rsid w:val="00E50F67"/>
    <w:rsid w:val="00E86D7B"/>
    <w:rsid w:val="00EA0F76"/>
    <w:rsid w:val="00EB0361"/>
    <w:rsid w:val="00EB2356"/>
    <w:rsid w:val="00ED2472"/>
    <w:rsid w:val="00ED73A9"/>
    <w:rsid w:val="00EE077A"/>
    <w:rsid w:val="00EE0EB6"/>
    <w:rsid w:val="00EF28DD"/>
    <w:rsid w:val="00EF625A"/>
    <w:rsid w:val="00F62E13"/>
    <w:rsid w:val="00F64B6B"/>
    <w:rsid w:val="00F753A1"/>
    <w:rsid w:val="00FB544B"/>
    <w:rsid w:val="00FD0C0E"/>
    <w:rsid w:val="00FD57BB"/>
    <w:rsid w:val="00FE1ABF"/>
    <w:rsid w:val="00FF4B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A0F2A"/>
  <w15:chartTrackingRefBased/>
  <w15:docId w15:val="{0025A589-AC3F-470F-8BBE-85B9D802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D3C"/>
    <w:pPr>
      <w:spacing w:before="100" w:after="100" w:line="260" w:lineRule="atLeast"/>
    </w:pPr>
    <w:rPr>
      <w:rFonts w:ascii="Calibri" w:eastAsia="Times New Roman" w:hAnsi="Calibri" w:cs="Calibri"/>
      <w:kern w:val="0"/>
      <w:lang w:eastAsia="en-AU"/>
      <w14:ligatures w14:val="none"/>
    </w:rPr>
  </w:style>
  <w:style w:type="paragraph" w:styleId="Heading1">
    <w:name w:val="heading 1"/>
    <w:basedOn w:val="Normal"/>
    <w:next w:val="Normal"/>
    <w:link w:val="Heading1Char"/>
    <w:uiPriority w:val="3"/>
    <w:qFormat/>
    <w:rsid w:val="00DE7D3C"/>
    <w:pPr>
      <w:keepNext/>
      <w:spacing w:before="200" w:after="120" w:line="240" w:lineRule="auto"/>
      <w:outlineLvl w:val="0"/>
    </w:pPr>
    <w:rPr>
      <w:color w:val="4D4D4D"/>
      <w:sz w:val="34"/>
      <w:lang w:eastAsia="en-US"/>
    </w:rPr>
  </w:style>
  <w:style w:type="paragraph" w:styleId="Heading2">
    <w:name w:val="heading 2"/>
    <w:basedOn w:val="Normal"/>
    <w:next w:val="Normal"/>
    <w:link w:val="Heading2Char"/>
    <w:uiPriority w:val="3"/>
    <w:qFormat/>
    <w:rsid w:val="00DE7D3C"/>
    <w:pPr>
      <w:keepNext/>
      <w:spacing w:before="120" w:after="120" w:line="240" w:lineRule="auto"/>
      <w:outlineLvl w:val="1"/>
    </w:pPr>
    <w:rPr>
      <w:b/>
      <w:color w:val="4D4D4D"/>
      <w:sz w:val="28"/>
      <w:lang w:eastAsia="en-US"/>
    </w:rPr>
  </w:style>
  <w:style w:type="paragraph" w:styleId="Heading3">
    <w:name w:val="heading 3"/>
    <w:basedOn w:val="Heading2"/>
    <w:next w:val="Normal"/>
    <w:link w:val="Heading3Char"/>
    <w:uiPriority w:val="3"/>
    <w:qFormat/>
    <w:rsid w:val="00DE7D3C"/>
    <w:pP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DE7D3C"/>
    <w:rPr>
      <w:rFonts w:ascii="Calibri" w:eastAsia="Times New Roman" w:hAnsi="Calibri" w:cs="Calibri"/>
      <w:color w:val="4D4D4D"/>
      <w:kern w:val="0"/>
      <w:sz w:val="34"/>
      <w14:ligatures w14:val="none"/>
    </w:rPr>
  </w:style>
  <w:style w:type="character" w:customStyle="1" w:styleId="Heading2Char">
    <w:name w:val="Heading 2 Char"/>
    <w:basedOn w:val="DefaultParagraphFont"/>
    <w:link w:val="Heading2"/>
    <w:uiPriority w:val="3"/>
    <w:rsid w:val="00DE7D3C"/>
    <w:rPr>
      <w:rFonts w:ascii="Calibri" w:eastAsia="Times New Roman" w:hAnsi="Calibri" w:cs="Calibri"/>
      <w:b/>
      <w:color w:val="4D4D4D"/>
      <w:kern w:val="0"/>
      <w:sz w:val="28"/>
      <w14:ligatures w14:val="none"/>
    </w:rPr>
  </w:style>
  <w:style w:type="character" w:customStyle="1" w:styleId="Heading3Char">
    <w:name w:val="Heading 3 Char"/>
    <w:basedOn w:val="DefaultParagraphFont"/>
    <w:link w:val="Heading3"/>
    <w:uiPriority w:val="3"/>
    <w:rsid w:val="00DE7D3C"/>
    <w:rPr>
      <w:rFonts w:ascii="Calibri" w:eastAsia="Times New Roman" w:hAnsi="Calibri" w:cs="Calibri"/>
      <w:b/>
      <w:color w:val="4D4D4D"/>
      <w:kern w:val="0"/>
      <w:sz w:val="24"/>
      <w14:ligatures w14:val="none"/>
    </w:rPr>
  </w:style>
  <w:style w:type="paragraph" w:customStyle="1" w:styleId="Bullet1">
    <w:name w:val="Bullet 1"/>
    <w:basedOn w:val="Normal"/>
    <w:uiPriority w:val="11"/>
    <w:qFormat/>
    <w:rsid w:val="00DE7D3C"/>
    <w:pPr>
      <w:numPr>
        <w:numId w:val="1"/>
      </w:numPr>
      <w:spacing w:before="0" w:after="0"/>
    </w:pPr>
  </w:style>
  <w:style w:type="character" w:styleId="CommentReference">
    <w:name w:val="annotation reference"/>
    <w:uiPriority w:val="99"/>
    <w:semiHidden/>
    <w:rsid w:val="00DE7D3C"/>
    <w:rPr>
      <w:rFonts w:ascii="Calibri" w:hAnsi="Calibri"/>
      <w:sz w:val="16"/>
    </w:rPr>
  </w:style>
  <w:style w:type="paragraph" w:styleId="CommentText">
    <w:name w:val="annotation text"/>
    <w:basedOn w:val="Normal"/>
    <w:link w:val="CommentTextChar"/>
    <w:uiPriority w:val="99"/>
    <w:rsid w:val="00DE7D3C"/>
  </w:style>
  <w:style w:type="character" w:customStyle="1" w:styleId="CommentTextChar">
    <w:name w:val="Comment Text Char"/>
    <w:basedOn w:val="DefaultParagraphFont"/>
    <w:link w:val="CommentText"/>
    <w:uiPriority w:val="99"/>
    <w:rsid w:val="00DE7D3C"/>
    <w:rPr>
      <w:rFonts w:ascii="Calibri" w:eastAsia="Times New Roman" w:hAnsi="Calibri" w:cs="Calibri"/>
      <w:kern w:val="0"/>
      <w:lang w:eastAsia="en-AU"/>
      <w14:ligatures w14:val="none"/>
    </w:rPr>
  </w:style>
  <w:style w:type="character" w:styleId="Hyperlink">
    <w:name w:val="Hyperlink"/>
    <w:uiPriority w:val="99"/>
    <w:semiHidden/>
    <w:rsid w:val="00DE7D3C"/>
    <w:rPr>
      <w:color w:val="660B68"/>
      <w:u w:val="none"/>
    </w:rPr>
  </w:style>
  <w:style w:type="paragraph" w:styleId="NormalWeb">
    <w:name w:val="Normal (Web)"/>
    <w:basedOn w:val="Normal"/>
    <w:uiPriority w:val="99"/>
    <w:rsid w:val="00DE7D3C"/>
    <w:rPr>
      <w:sz w:val="24"/>
      <w:szCs w:val="24"/>
    </w:rPr>
  </w:style>
  <w:style w:type="paragraph" w:customStyle="1" w:styleId="Bullet2">
    <w:name w:val="Bullet 2"/>
    <w:basedOn w:val="Bullet1"/>
    <w:uiPriority w:val="11"/>
    <w:qFormat/>
    <w:rsid w:val="00DE7D3C"/>
    <w:pPr>
      <w:numPr>
        <w:ilvl w:val="1"/>
      </w:numPr>
    </w:pPr>
  </w:style>
  <w:style w:type="paragraph" w:customStyle="1" w:styleId="Bullet3">
    <w:name w:val="Bullet 3"/>
    <w:basedOn w:val="Bullet2"/>
    <w:uiPriority w:val="11"/>
    <w:qFormat/>
    <w:rsid w:val="00DE7D3C"/>
    <w:pPr>
      <w:numPr>
        <w:ilvl w:val="2"/>
      </w:numPr>
    </w:pPr>
  </w:style>
  <w:style w:type="paragraph" w:styleId="ListParagraph">
    <w:name w:val="List Paragraph"/>
    <w:basedOn w:val="Normal"/>
    <w:uiPriority w:val="34"/>
    <w:qFormat/>
    <w:rsid w:val="00DE7D3C"/>
    <w:pPr>
      <w:ind w:left="720"/>
      <w:contextualSpacing/>
    </w:pPr>
  </w:style>
  <w:style w:type="character" w:customStyle="1" w:styleId="rpl-text-label">
    <w:name w:val="rpl-text-label"/>
    <w:basedOn w:val="DefaultParagraphFont"/>
    <w:rsid w:val="00DE7D3C"/>
  </w:style>
  <w:style w:type="paragraph" w:customStyle="1" w:styleId="rpl-updated-date">
    <w:name w:val="rpl-updated-date"/>
    <w:basedOn w:val="Normal"/>
    <w:rsid w:val="00DE7D3C"/>
    <w:pPr>
      <w:spacing w:beforeAutospacing="1" w:afterAutospacing="1" w:line="240" w:lineRule="auto"/>
    </w:pPr>
    <w:rPr>
      <w:rFonts w:ascii="Times New Roman" w:hAnsi="Times New Roman" w:cs="Times New Roman"/>
      <w:sz w:val="24"/>
      <w:szCs w:val="24"/>
    </w:rPr>
  </w:style>
  <w:style w:type="paragraph" w:styleId="Header">
    <w:name w:val="header"/>
    <w:basedOn w:val="Normal"/>
    <w:link w:val="HeaderChar"/>
    <w:uiPriority w:val="24"/>
    <w:unhideWhenUsed/>
    <w:rsid w:val="00DE7D3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E7D3C"/>
    <w:rPr>
      <w:rFonts w:ascii="Calibri" w:eastAsia="Times New Roman" w:hAnsi="Calibri" w:cs="Calibri"/>
      <w:kern w:val="0"/>
      <w:lang w:eastAsia="en-AU"/>
      <w14:ligatures w14:val="none"/>
    </w:rPr>
  </w:style>
  <w:style w:type="paragraph" w:styleId="Footer">
    <w:name w:val="footer"/>
    <w:basedOn w:val="Normal"/>
    <w:link w:val="FooterChar"/>
    <w:uiPriority w:val="99"/>
    <w:unhideWhenUsed/>
    <w:rsid w:val="00DE7D3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E7D3C"/>
    <w:rPr>
      <w:rFonts w:ascii="Calibri" w:eastAsia="Times New Roman" w:hAnsi="Calibri" w:cs="Calibri"/>
      <w:kern w:val="0"/>
      <w:lang w:eastAsia="en-AU"/>
      <w14:ligatures w14:val="none"/>
    </w:rPr>
  </w:style>
  <w:style w:type="paragraph" w:styleId="Revision">
    <w:name w:val="Revision"/>
    <w:hidden/>
    <w:uiPriority w:val="99"/>
    <w:semiHidden/>
    <w:rsid w:val="00EA0F76"/>
    <w:pPr>
      <w:spacing w:after="0" w:line="240" w:lineRule="auto"/>
    </w:pPr>
    <w:rPr>
      <w:rFonts w:ascii="Calibri" w:eastAsia="Times New Roman" w:hAnsi="Calibri" w:cs="Calibri"/>
      <w:kern w:val="0"/>
      <w:lang w:eastAsia="en-AU"/>
      <w14:ligatures w14:val="none"/>
    </w:rPr>
  </w:style>
  <w:style w:type="table" w:styleId="TableGrid">
    <w:name w:val="Table Grid"/>
    <w:basedOn w:val="TableNormal"/>
    <w:uiPriority w:val="39"/>
    <w:rsid w:val="00FF4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C202A"/>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DC202A"/>
    <w:rPr>
      <w:rFonts w:ascii="Calibri" w:eastAsia="Times New Roman" w:hAnsi="Calibri" w:cs="Calibri"/>
      <w:b/>
      <w:bCs/>
      <w:kern w:val="0"/>
      <w:sz w:val="20"/>
      <w:szCs w:val="20"/>
      <w:lang w:eastAsia="en-AU"/>
      <w14:ligatures w14:val="none"/>
    </w:rPr>
  </w:style>
  <w:style w:type="character" w:styleId="UnresolvedMention">
    <w:name w:val="Unresolved Mention"/>
    <w:basedOn w:val="DefaultParagraphFont"/>
    <w:uiPriority w:val="99"/>
    <w:semiHidden/>
    <w:unhideWhenUsed/>
    <w:rsid w:val="00847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08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yingfor.vic.gov.au/government-procurement-under-international-agreements-goods-and-services-procurement-guide" TargetMode="External"/><Relationship Id="rId13" Type="http://schemas.openxmlformats.org/officeDocument/2006/relationships/hyperlink" Target="http://creativecommons.org/licenses/by/3.0/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uyingfor.vic.gov.au/contac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Ppolicy@dtf.vic.gov.a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yingfor.vic.gov.au/structuring-state-purchase-contracts-and-other-procurement-arrangements-goods-and-services-guide-0" TargetMode="External"/><Relationship Id="rId5" Type="http://schemas.openxmlformats.org/officeDocument/2006/relationships/webSettings" Target="webSettings.xml"/><Relationship Id="rId15" Type="http://schemas.openxmlformats.org/officeDocument/2006/relationships/hyperlink" Target="http://creativecommons.org/licenses/by/4.0/" TargetMode="External"/><Relationship Id="rId10" Type="http://schemas.openxmlformats.org/officeDocument/2006/relationships/hyperlink" Target="https://buyingfor.vic.gov.au/market-analysis-and-review-polic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buyingfor.vic.gov.au/goods-services-supply-policies"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8BBB1BC-1255-42EA-96C6-CFBF0C23B5C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1765</Words>
  <Characters>9867</Characters>
  <Application>Microsoft Office Word</Application>
  <DocSecurity>0</DocSecurity>
  <Lines>214</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Taylor (DGS)</dc:creator>
  <cp:keywords/>
  <dc:description/>
  <cp:lastModifiedBy>Tharushi Liyanaarachchi (DGS)</cp:lastModifiedBy>
  <cp:revision>2</cp:revision>
  <dcterms:created xsi:type="dcterms:W3CDTF">2024-09-05T03:06:00Z</dcterms:created>
  <dcterms:modified xsi:type="dcterms:W3CDTF">2024-09-05T03:06:00Z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2024-02-05T09:02:33Z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aec8b338-ce9c-4c74-b983-695234276074</vt:lpwstr>
  </property>
  <property fmtid="{D5CDD505-2E9C-101B-9397-08002B2CF9AE}" pid="11" name="MSIP_Label_7158ebbd-6c5e-441f-bfc9-4eb8c11e3978_ContentBits">
    <vt:lpwstr>2</vt:lpwstr>
  </property>
</Properties>
</file>