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BB196" w14:textId="77777777" w:rsidR="00AF7492" w:rsidRPr="00DC4F17" w:rsidRDefault="00AF7492" w:rsidP="00AF7492">
      <w:pPr>
        <w:pStyle w:val="Heading1"/>
        <w:spacing w:before="240" w:after="120" w:line="259" w:lineRule="auto"/>
        <w:rPr>
          <w:rFonts w:ascii="VIC" w:hAnsi="VIC"/>
          <w:sz w:val="32"/>
          <w:szCs w:val="32"/>
        </w:rPr>
      </w:pPr>
      <w:r w:rsidRPr="00DC4F17">
        <w:rPr>
          <w:rFonts w:ascii="VIC" w:hAnsi="VIC"/>
          <w:sz w:val="32"/>
          <w:szCs w:val="32"/>
        </w:rPr>
        <w:t xml:space="preserve">Agency </w:t>
      </w:r>
      <w:r>
        <w:rPr>
          <w:rFonts w:ascii="VIC" w:hAnsi="VIC"/>
          <w:sz w:val="32"/>
          <w:szCs w:val="32"/>
        </w:rPr>
        <w:t>guidance</w:t>
      </w:r>
      <w:r w:rsidRPr="00DC4F17">
        <w:rPr>
          <w:rFonts w:ascii="VIC" w:hAnsi="VIC"/>
          <w:sz w:val="32"/>
          <w:szCs w:val="32"/>
        </w:rPr>
        <w:t xml:space="preserve"> for the Supplier Code of Conduc</w:t>
      </w:r>
      <w:r>
        <w:rPr>
          <w:rFonts w:ascii="VIC" w:hAnsi="VIC"/>
          <w:sz w:val="32"/>
          <w:szCs w:val="32"/>
        </w:rPr>
        <w:t>t</w:t>
      </w:r>
    </w:p>
    <w:p w14:paraId="672880E3" w14:textId="77777777" w:rsidR="00AF7492" w:rsidRPr="00593718" w:rsidRDefault="00AF7492" w:rsidP="00AF7492">
      <w:pPr>
        <w:spacing w:before="0" w:after="60" w:line="259" w:lineRule="auto"/>
        <w:rPr>
          <w:rFonts w:ascii="VIC" w:hAnsi="VIC"/>
          <w:sz w:val="20"/>
        </w:rPr>
      </w:pPr>
      <w:r w:rsidRPr="00593718">
        <w:rPr>
          <w:rFonts w:ascii="VIC" w:hAnsi="VIC"/>
          <w:sz w:val="20"/>
        </w:rPr>
        <w:t xml:space="preserve">These </w:t>
      </w:r>
      <w:r>
        <w:rPr>
          <w:rFonts w:ascii="VIC" w:hAnsi="VIC"/>
          <w:sz w:val="20"/>
        </w:rPr>
        <w:t>g</w:t>
      </w:r>
      <w:r w:rsidRPr="00593718">
        <w:rPr>
          <w:rFonts w:ascii="VIC" w:hAnsi="VIC"/>
          <w:sz w:val="20"/>
        </w:rPr>
        <w:t>uidance notes:</w:t>
      </w:r>
    </w:p>
    <w:p w14:paraId="17E5638E" w14:textId="77777777" w:rsidR="00AF7492" w:rsidRPr="00593718" w:rsidRDefault="00AF7492" w:rsidP="00AF7492">
      <w:pPr>
        <w:pStyle w:val="ListParagraph"/>
        <w:numPr>
          <w:ilvl w:val="0"/>
          <w:numId w:val="36"/>
        </w:numPr>
        <w:spacing w:before="0" w:line="259" w:lineRule="auto"/>
        <w:ind w:left="714" w:hanging="357"/>
        <w:contextualSpacing w:val="0"/>
        <w:rPr>
          <w:rFonts w:ascii="VIC" w:hAnsi="VIC"/>
          <w:sz w:val="20"/>
        </w:rPr>
      </w:pPr>
      <w:r w:rsidRPr="00593718">
        <w:rPr>
          <w:rFonts w:ascii="VIC" w:hAnsi="VIC"/>
          <w:sz w:val="20"/>
        </w:rPr>
        <w:t xml:space="preserve">describe how </w:t>
      </w:r>
      <w:r>
        <w:rPr>
          <w:rFonts w:ascii="VIC" w:hAnsi="VIC"/>
          <w:sz w:val="20"/>
        </w:rPr>
        <w:t>a</w:t>
      </w:r>
      <w:r w:rsidRPr="00593718">
        <w:rPr>
          <w:rFonts w:ascii="VIC" w:hAnsi="VIC"/>
          <w:sz w:val="20"/>
        </w:rPr>
        <w:t>gencies can apply the Supplier Code of Conduct (</w:t>
      </w:r>
      <w:r w:rsidRPr="00593718">
        <w:rPr>
          <w:rFonts w:ascii="VIC" w:hAnsi="VIC"/>
          <w:b/>
          <w:bCs/>
          <w:sz w:val="20"/>
        </w:rPr>
        <w:t>Code</w:t>
      </w:r>
      <w:r w:rsidRPr="00593718">
        <w:rPr>
          <w:rFonts w:ascii="VIC" w:hAnsi="VIC"/>
          <w:sz w:val="20"/>
        </w:rPr>
        <w:t>)</w:t>
      </w:r>
      <w:r>
        <w:rPr>
          <w:rFonts w:ascii="VIC" w:hAnsi="VIC"/>
          <w:sz w:val="20"/>
        </w:rPr>
        <w:t>; and</w:t>
      </w:r>
    </w:p>
    <w:p w14:paraId="5628EA6B" w14:textId="77777777" w:rsidR="00AF7492" w:rsidRPr="00593718" w:rsidRDefault="00AF7492" w:rsidP="00AF7492">
      <w:pPr>
        <w:pStyle w:val="ListParagraph"/>
        <w:numPr>
          <w:ilvl w:val="0"/>
          <w:numId w:val="36"/>
        </w:numPr>
        <w:spacing w:before="0" w:line="259" w:lineRule="auto"/>
        <w:ind w:left="714" w:hanging="357"/>
        <w:contextualSpacing w:val="0"/>
        <w:rPr>
          <w:rFonts w:ascii="VIC" w:hAnsi="VIC"/>
          <w:sz w:val="20"/>
        </w:rPr>
      </w:pPr>
      <w:r w:rsidRPr="00593718">
        <w:rPr>
          <w:rFonts w:ascii="VIC" w:hAnsi="VIC"/>
          <w:sz w:val="20"/>
        </w:rPr>
        <w:t xml:space="preserve">set out ways </w:t>
      </w:r>
      <w:r>
        <w:rPr>
          <w:rFonts w:ascii="VIC" w:hAnsi="VIC"/>
          <w:sz w:val="20"/>
        </w:rPr>
        <w:t>a</w:t>
      </w:r>
      <w:r w:rsidRPr="00593718">
        <w:rPr>
          <w:rFonts w:ascii="VIC" w:hAnsi="VIC"/>
          <w:sz w:val="20"/>
        </w:rPr>
        <w:t xml:space="preserve">gencies monitor and enforce </w:t>
      </w:r>
      <w:r>
        <w:rPr>
          <w:rFonts w:ascii="VIC" w:hAnsi="VIC"/>
          <w:sz w:val="20"/>
        </w:rPr>
        <w:t>S</w:t>
      </w:r>
      <w:r w:rsidRPr="00593718">
        <w:rPr>
          <w:rFonts w:ascii="VIC" w:hAnsi="VIC"/>
          <w:sz w:val="20"/>
        </w:rPr>
        <w:t>upplier conduct</w:t>
      </w:r>
      <w:r>
        <w:rPr>
          <w:rFonts w:ascii="VIC" w:hAnsi="VIC"/>
          <w:sz w:val="20"/>
        </w:rPr>
        <w:t>.</w:t>
      </w:r>
    </w:p>
    <w:p w14:paraId="7AB5EEAC" w14:textId="77777777" w:rsidR="00AF7492" w:rsidRPr="00593718" w:rsidRDefault="00AF7492" w:rsidP="00AF7492">
      <w:pPr>
        <w:spacing w:before="0" w:line="259" w:lineRule="auto"/>
        <w:rPr>
          <w:rFonts w:ascii="VIC" w:hAnsi="VIC"/>
          <w:sz w:val="20"/>
        </w:rPr>
      </w:pPr>
      <w:r w:rsidRPr="00593718">
        <w:rPr>
          <w:rFonts w:ascii="VIC" w:hAnsi="VIC"/>
          <w:sz w:val="20"/>
        </w:rPr>
        <w:t xml:space="preserve">The </w:t>
      </w:r>
      <w:r>
        <w:rPr>
          <w:rFonts w:ascii="VIC" w:hAnsi="VIC"/>
          <w:sz w:val="20"/>
        </w:rPr>
        <w:t>g</w:t>
      </w:r>
      <w:r w:rsidRPr="00593718">
        <w:rPr>
          <w:rFonts w:ascii="VIC" w:hAnsi="VIC"/>
          <w:sz w:val="20"/>
        </w:rPr>
        <w:t>uidance should be read in conjunction with the Code.</w:t>
      </w:r>
    </w:p>
    <w:p w14:paraId="30923A97" w14:textId="77777777" w:rsidR="00AF7492" w:rsidRPr="00593718" w:rsidRDefault="00AF7492" w:rsidP="00AF7492">
      <w:pPr>
        <w:pStyle w:val="Heading1"/>
        <w:spacing w:before="240" w:after="120" w:line="259" w:lineRule="auto"/>
        <w:rPr>
          <w:rFonts w:ascii="VIC" w:hAnsi="VIC"/>
          <w:sz w:val="24"/>
          <w:szCs w:val="24"/>
        </w:rPr>
      </w:pPr>
      <w:r w:rsidRPr="00593718">
        <w:rPr>
          <w:rFonts w:ascii="VIC" w:hAnsi="VIC"/>
          <w:sz w:val="24"/>
          <w:szCs w:val="24"/>
        </w:rPr>
        <w:t xml:space="preserve">How </w:t>
      </w:r>
      <w:r>
        <w:rPr>
          <w:rFonts w:ascii="VIC" w:hAnsi="VIC"/>
          <w:sz w:val="24"/>
          <w:szCs w:val="24"/>
        </w:rPr>
        <w:t>a</w:t>
      </w:r>
      <w:r w:rsidRPr="00593718">
        <w:rPr>
          <w:rFonts w:ascii="VIC" w:hAnsi="VIC"/>
          <w:sz w:val="24"/>
          <w:szCs w:val="24"/>
        </w:rPr>
        <w:t>gencies apply this Code</w:t>
      </w:r>
    </w:p>
    <w:p w14:paraId="74DE814D" w14:textId="77777777" w:rsidR="00AF7492" w:rsidRPr="00593718" w:rsidRDefault="00AF7492" w:rsidP="00AF7492">
      <w:pPr>
        <w:spacing w:before="0" w:after="60" w:line="259" w:lineRule="auto"/>
        <w:rPr>
          <w:rFonts w:ascii="VIC" w:hAnsi="VIC"/>
          <w:sz w:val="20"/>
        </w:rPr>
      </w:pPr>
      <w:r w:rsidRPr="00593718">
        <w:rPr>
          <w:rFonts w:ascii="VIC" w:hAnsi="VIC"/>
          <w:sz w:val="20"/>
        </w:rPr>
        <w:t>Each agency is responsible for implementing th</w:t>
      </w:r>
      <w:r>
        <w:rPr>
          <w:rFonts w:ascii="VIC" w:hAnsi="VIC"/>
          <w:sz w:val="20"/>
        </w:rPr>
        <w:t>e</w:t>
      </w:r>
      <w:r w:rsidRPr="00593718">
        <w:rPr>
          <w:rFonts w:ascii="VIC" w:hAnsi="VIC"/>
          <w:sz w:val="20"/>
        </w:rPr>
        <w:t xml:space="preserve"> </w:t>
      </w:r>
      <w:r>
        <w:rPr>
          <w:rFonts w:ascii="VIC" w:hAnsi="VIC"/>
          <w:sz w:val="20"/>
        </w:rPr>
        <w:t>C</w:t>
      </w:r>
      <w:r w:rsidRPr="00593718">
        <w:rPr>
          <w:rFonts w:ascii="VIC" w:hAnsi="VIC"/>
          <w:sz w:val="20"/>
        </w:rPr>
        <w:t>ode within their procurement and contract management activities.</w:t>
      </w:r>
    </w:p>
    <w:p w14:paraId="17136DFF" w14:textId="77777777" w:rsidR="00AF7492" w:rsidRPr="00593718" w:rsidRDefault="00AF7492" w:rsidP="00AF7492">
      <w:pPr>
        <w:spacing w:before="0" w:after="60" w:line="259" w:lineRule="auto"/>
        <w:rPr>
          <w:rFonts w:ascii="VIC" w:hAnsi="VIC"/>
          <w:sz w:val="20"/>
        </w:rPr>
      </w:pPr>
      <w:r w:rsidRPr="00593718">
        <w:rPr>
          <w:rFonts w:ascii="VIC" w:hAnsi="VIC"/>
          <w:sz w:val="20"/>
        </w:rPr>
        <w:t>Agencies can apply the Code in the way that relates to their enabling legislation and procurement activity. For example, agencies may:</w:t>
      </w:r>
    </w:p>
    <w:p w14:paraId="5F6F8F66" w14:textId="77777777" w:rsidR="00AF7492" w:rsidRPr="00593718" w:rsidRDefault="00AF7492" w:rsidP="00AF7492">
      <w:pPr>
        <w:pStyle w:val="ListParagraph"/>
        <w:numPr>
          <w:ilvl w:val="0"/>
          <w:numId w:val="35"/>
        </w:numPr>
        <w:spacing w:before="0" w:line="259" w:lineRule="auto"/>
        <w:contextualSpacing w:val="0"/>
        <w:rPr>
          <w:rFonts w:ascii="VIC" w:hAnsi="VIC"/>
          <w:sz w:val="20"/>
        </w:rPr>
      </w:pPr>
      <w:bookmarkStart w:id="0" w:name="_Hlk88693055"/>
      <w:r w:rsidRPr="00593718">
        <w:rPr>
          <w:rFonts w:ascii="VIC" w:hAnsi="VIC"/>
          <w:sz w:val="20"/>
        </w:rPr>
        <w:t>use this Code without change, as presented at</w:t>
      </w:r>
      <w:r>
        <w:rPr>
          <w:rFonts w:ascii="VIC" w:hAnsi="VIC"/>
          <w:sz w:val="20"/>
        </w:rPr>
        <w:t xml:space="preserve"> </w:t>
      </w:r>
      <w:hyperlink r:id="rId12" w:history="1">
        <w:r w:rsidRPr="00CE430E">
          <w:rPr>
            <w:rStyle w:val="Hyperlink"/>
            <w:rFonts w:ascii="VIC" w:hAnsi="VIC"/>
            <w:sz w:val="20"/>
          </w:rPr>
          <w:t>https://www.buyingfor.vic.gov.au/supplier-code-conduct</w:t>
        </w:r>
      </w:hyperlink>
      <w:r w:rsidRPr="00593718">
        <w:rPr>
          <w:rFonts w:ascii="VIC" w:hAnsi="VIC"/>
          <w:sz w:val="20"/>
        </w:rPr>
        <w:t>;</w:t>
      </w:r>
      <w:r>
        <w:rPr>
          <w:rFonts w:ascii="VIC" w:hAnsi="VIC"/>
          <w:sz w:val="20"/>
        </w:rPr>
        <w:t xml:space="preserve"> or</w:t>
      </w:r>
    </w:p>
    <w:p w14:paraId="55DD2BFF" w14:textId="77777777" w:rsidR="00AF7492" w:rsidRPr="00593718" w:rsidRDefault="00AF7492" w:rsidP="00AF7492">
      <w:pPr>
        <w:pStyle w:val="ListParagraph"/>
        <w:numPr>
          <w:ilvl w:val="0"/>
          <w:numId w:val="35"/>
        </w:numPr>
        <w:spacing w:before="0" w:after="0" w:line="259" w:lineRule="auto"/>
        <w:ind w:left="714" w:hanging="357"/>
        <w:contextualSpacing w:val="0"/>
        <w:rPr>
          <w:rFonts w:ascii="VIC" w:hAnsi="VIC"/>
          <w:sz w:val="20"/>
        </w:rPr>
      </w:pPr>
      <w:r w:rsidRPr="00593718">
        <w:rPr>
          <w:rFonts w:ascii="VIC" w:hAnsi="VIC"/>
          <w:sz w:val="20"/>
        </w:rPr>
        <w:t>insert further requirements in addition to the Code’s minimum standards in their individual procurement documents and contracts to manage the agency’s procurement risk.</w:t>
      </w:r>
    </w:p>
    <w:p w14:paraId="20EDBDB7" w14:textId="77777777" w:rsidR="00AF7492" w:rsidRPr="00593718" w:rsidRDefault="00AF7492" w:rsidP="00AF7492">
      <w:pPr>
        <w:pStyle w:val="Heading1"/>
        <w:spacing w:before="240" w:after="120" w:line="259" w:lineRule="auto"/>
        <w:rPr>
          <w:rFonts w:ascii="VIC" w:hAnsi="VIC"/>
          <w:sz w:val="24"/>
          <w:szCs w:val="24"/>
        </w:rPr>
      </w:pPr>
      <w:bookmarkStart w:id="1" w:name="_Hlk175828208"/>
      <w:bookmarkEnd w:id="0"/>
      <w:r w:rsidRPr="00593718">
        <w:rPr>
          <w:rFonts w:ascii="VIC" w:hAnsi="VIC"/>
          <w:sz w:val="24"/>
          <w:szCs w:val="24"/>
        </w:rPr>
        <w:t xml:space="preserve">All </w:t>
      </w:r>
      <w:r>
        <w:rPr>
          <w:rFonts w:ascii="VIC" w:hAnsi="VIC"/>
          <w:sz w:val="24"/>
          <w:szCs w:val="24"/>
        </w:rPr>
        <w:t>Supplier</w:t>
      </w:r>
      <w:r w:rsidRPr="00593718">
        <w:rPr>
          <w:rFonts w:ascii="VIC" w:hAnsi="VIC"/>
          <w:sz w:val="24"/>
          <w:szCs w:val="24"/>
        </w:rPr>
        <w:t xml:space="preserve">s commit to this Code to do business with Government </w:t>
      </w:r>
      <w:bookmarkEnd w:id="1"/>
    </w:p>
    <w:p w14:paraId="5B93D46B" w14:textId="77777777" w:rsidR="00AF7492" w:rsidRDefault="00AF7492" w:rsidP="00AF7492">
      <w:pPr>
        <w:spacing w:before="0" w:after="60" w:line="259" w:lineRule="auto"/>
        <w:rPr>
          <w:rFonts w:ascii="VIC" w:hAnsi="VIC"/>
          <w:sz w:val="20"/>
        </w:rPr>
      </w:pPr>
      <w:r w:rsidRPr="00593718">
        <w:rPr>
          <w:rFonts w:ascii="VIC" w:hAnsi="VIC"/>
          <w:sz w:val="20"/>
        </w:rPr>
        <w:t xml:space="preserve">Suppliers </w:t>
      </w:r>
      <w:r>
        <w:rPr>
          <w:rFonts w:ascii="VIC" w:hAnsi="VIC"/>
          <w:sz w:val="20"/>
        </w:rPr>
        <w:t xml:space="preserve">supplying or </w:t>
      </w:r>
      <w:r w:rsidRPr="00593718">
        <w:rPr>
          <w:rFonts w:ascii="VIC" w:hAnsi="VIC"/>
          <w:sz w:val="20"/>
        </w:rPr>
        <w:t xml:space="preserve">wanting to </w:t>
      </w:r>
      <w:r>
        <w:rPr>
          <w:rFonts w:ascii="VIC" w:hAnsi="VIC"/>
          <w:sz w:val="20"/>
        </w:rPr>
        <w:t>supply</w:t>
      </w:r>
      <w:r w:rsidRPr="00593718">
        <w:rPr>
          <w:rFonts w:ascii="VIC" w:hAnsi="VIC"/>
          <w:sz w:val="20"/>
        </w:rPr>
        <w:t xml:space="preserve"> their goods, works or services to the Victorian Government </w:t>
      </w:r>
      <w:r>
        <w:rPr>
          <w:rFonts w:ascii="VIC" w:hAnsi="VIC"/>
          <w:sz w:val="20"/>
        </w:rPr>
        <w:t xml:space="preserve">must </w:t>
      </w:r>
      <w:r w:rsidRPr="00593718">
        <w:rPr>
          <w:rFonts w:ascii="VIC" w:hAnsi="VIC"/>
          <w:sz w:val="20"/>
        </w:rPr>
        <w:t>agree to meet the standards set out in the Code</w:t>
      </w:r>
      <w:r>
        <w:rPr>
          <w:rFonts w:ascii="VIC" w:hAnsi="VIC"/>
          <w:sz w:val="20"/>
        </w:rPr>
        <w:t>.</w:t>
      </w:r>
    </w:p>
    <w:p w14:paraId="5148FCE3" w14:textId="77777777" w:rsidR="00AF7492" w:rsidRDefault="00AF7492" w:rsidP="00AF7492">
      <w:pPr>
        <w:spacing w:before="0" w:after="60" w:line="259" w:lineRule="auto"/>
        <w:rPr>
          <w:rFonts w:ascii="VIC" w:hAnsi="VIC"/>
          <w:sz w:val="20"/>
        </w:rPr>
      </w:pPr>
      <w:r>
        <w:rPr>
          <w:rFonts w:ascii="VIC" w:hAnsi="VIC"/>
          <w:sz w:val="20"/>
        </w:rPr>
        <w:t>This</w:t>
      </w:r>
      <w:r w:rsidRPr="00593718">
        <w:rPr>
          <w:rFonts w:ascii="VIC" w:hAnsi="VIC"/>
          <w:sz w:val="20"/>
        </w:rPr>
        <w:t xml:space="preserve"> includes adopting appropriate business practices that support compliance with the Code</w:t>
      </w:r>
      <w:r>
        <w:rPr>
          <w:rFonts w:ascii="VIC" w:hAnsi="VIC"/>
          <w:sz w:val="20"/>
        </w:rPr>
        <w:t xml:space="preserve">. These are practices that would be </w:t>
      </w:r>
      <w:r w:rsidRPr="00593718">
        <w:rPr>
          <w:rFonts w:ascii="VIC" w:hAnsi="VIC"/>
          <w:sz w:val="20"/>
        </w:rPr>
        <w:t xml:space="preserve">reasonably expected </w:t>
      </w:r>
      <w:r>
        <w:rPr>
          <w:rFonts w:ascii="VIC" w:hAnsi="VIC"/>
          <w:sz w:val="20"/>
        </w:rPr>
        <w:t>when considering the Supplier’s:</w:t>
      </w:r>
    </w:p>
    <w:p w14:paraId="781A7F81" w14:textId="77777777" w:rsidR="00AF7492" w:rsidRDefault="00AF7492" w:rsidP="00AF7492">
      <w:pPr>
        <w:pStyle w:val="ListParagraph"/>
        <w:numPr>
          <w:ilvl w:val="0"/>
          <w:numId w:val="36"/>
        </w:numPr>
        <w:spacing w:before="0" w:line="259" w:lineRule="auto"/>
        <w:ind w:left="714" w:hanging="357"/>
        <w:contextualSpacing w:val="0"/>
        <w:rPr>
          <w:rFonts w:ascii="VIC" w:hAnsi="VIC"/>
          <w:sz w:val="20"/>
        </w:rPr>
      </w:pPr>
      <w:r w:rsidRPr="00F8740D">
        <w:rPr>
          <w:rFonts w:ascii="VIC" w:hAnsi="VIC"/>
          <w:sz w:val="20"/>
        </w:rPr>
        <w:t>size</w:t>
      </w:r>
      <w:r w:rsidRPr="00D97537">
        <w:rPr>
          <w:rFonts w:ascii="VIC" w:hAnsi="VIC" w:cs="Arial"/>
          <w:sz w:val="20"/>
        </w:rPr>
        <w:t xml:space="preserve"> </w:t>
      </w:r>
      <w:r>
        <w:rPr>
          <w:rFonts w:ascii="VIC" w:hAnsi="VIC" w:cs="Arial"/>
          <w:sz w:val="20"/>
        </w:rPr>
        <w:t xml:space="preserve">and scale </w:t>
      </w:r>
      <w:r w:rsidRPr="00FF1B5E">
        <w:rPr>
          <w:rFonts w:ascii="VIC" w:hAnsi="VIC" w:cs="Arial"/>
          <w:sz w:val="20"/>
        </w:rPr>
        <w:t xml:space="preserve">of </w:t>
      </w:r>
      <w:proofErr w:type="gramStart"/>
      <w:r w:rsidRPr="00FF1B5E">
        <w:rPr>
          <w:rFonts w:ascii="VIC" w:hAnsi="VIC" w:cs="Arial"/>
          <w:sz w:val="20"/>
        </w:rPr>
        <w:t>business</w:t>
      </w:r>
      <w:r>
        <w:rPr>
          <w:rFonts w:ascii="VIC" w:hAnsi="VIC"/>
          <w:sz w:val="20"/>
        </w:rPr>
        <w:t>;</w:t>
      </w:r>
      <w:proofErr w:type="gramEnd"/>
    </w:p>
    <w:p w14:paraId="2B9A7F69" w14:textId="77777777" w:rsidR="00AF7492" w:rsidRDefault="00AF7492" w:rsidP="00AF7492">
      <w:pPr>
        <w:pStyle w:val="ListParagraph"/>
        <w:numPr>
          <w:ilvl w:val="0"/>
          <w:numId w:val="36"/>
        </w:numPr>
        <w:spacing w:before="0" w:line="259" w:lineRule="auto"/>
        <w:ind w:left="714" w:hanging="357"/>
        <w:contextualSpacing w:val="0"/>
        <w:rPr>
          <w:rFonts w:ascii="VIC" w:hAnsi="VIC"/>
          <w:sz w:val="20"/>
        </w:rPr>
      </w:pPr>
      <w:r>
        <w:rPr>
          <w:rFonts w:ascii="VIC" w:hAnsi="VIC"/>
          <w:sz w:val="20"/>
        </w:rPr>
        <w:t>location;</w:t>
      </w:r>
      <w:r w:rsidRPr="00C73FE0">
        <w:rPr>
          <w:rFonts w:ascii="VIC" w:hAnsi="VIC"/>
          <w:sz w:val="20"/>
        </w:rPr>
        <w:t xml:space="preserve"> </w:t>
      </w:r>
      <w:r>
        <w:rPr>
          <w:rFonts w:ascii="VIC" w:hAnsi="VIC"/>
          <w:sz w:val="20"/>
        </w:rPr>
        <w:t xml:space="preserve">and </w:t>
      </w:r>
    </w:p>
    <w:p w14:paraId="6116A93F" w14:textId="77777777" w:rsidR="00AF7492" w:rsidRDefault="00AF7492" w:rsidP="00AF7492">
      <w:pPr>
        <w:pStyle w:val="ListParagraph"/>
        <w:numPr>
          <w:ilvl w:val="0"/>
          <w:numId w:val="36"/>
        </w:numPr>
        <w:spacing w:before="0" w:line="259" w:lineRule="auto"/>
        <w:ind w:left="714" w:hanging="357"/>
        <w:contextualSpacing w:val="0"/>
        <w:rPr>
          <w:rFonts w:ascii="VIC" w:hAnsi="VIC"/>
          <w:sz w:val="20"/>
        </w:rPr>
      </w:pPr>
      <w:r>
        <w:rPr>
          <w:rFonts w:ascii="VIC" w:hAnsi="VIC"/>
          <w:sz w:val="20"/>
        </w:rPr>
        <w:t>industry.</w:t>
      </w:r>
    </w:p>
    <w:p w14:paraId="3D67C861" w14:textId="77777777" w:rsidR="00AF7492" w:rsidRDefault="00AF7492" w:rsidP="00AF7492">
      <w:pPr>
        <w:pStyle w:val="NormalWeb"/>
        <w:rPr>
          <w:rFonts w:ascii="VIC" w:hAnsi="VIC"/>
          <w:sz w:val="20"/>
        </w:rPr>
      </w:pPr>
      <w:r w:rsidRPr="00E76477">
        <w:rPr>
          <w:rFonts w:ascii="VIC" w:hAnsi="VIC"/>
          <w:sz w:val="20"/>
        </w:rPr>
        <w:t xml:space="preserve">The Code is supported by clauses in government contracts and/or provisions in procurement documentation. </w:t>
      </w:r>
      <w:r>
        <w:rPr>
          <w:rFonts w:ascii="VIC" w:hAnsi="VIC"/>
          <w:sz w:val="20"/>
        </w:rPr>
        <w:t>C</w:t>
      </w:r>
      <w:r w:rsidRPr="00175AE3">
        <w:rPr>
          <w:rFonts w:ascii="VIC" w:hAnsi="VIC"/>
          <w:sz w:val="20"/>
        </w:rPr>
        <w:t>ontract clauses</w:t>
      </w:r>
      <w:r>
        <w:rPr>
          <w:rFonts w:ascii="VIC" w:hAnsi="VIC"/>
          <w:sz w:val="20"/>
        </w:rPr>
        <w:t xml:space="preserve"> will</w:t>
      </w:r>
      <w:r w:rsidRPr="00175AE3">
        <w:rPr>
          <w:rFonts w:ascii="VIC" w:hAnsi="VIC"/>
          <w:sz w:val="20"/>
        </w:rPr>
        <w:t xml:space="preserve"> provide contractual options for how agencies address non-compliance and breaches of the Code by Suppliers.</w:t>
      </w:r>
    </w:p>
    <w:p w14:paraId="517EF9B1" w14:textId="77777777" w:rsidR="00AF7492" w:rsidRPr="001A2281" w:rsidRDefault="00AF7492" w:rsidP="00AF7492">
      <w:pPr>
        <w:pStyle w:val="NormalWeb"/>
        <w:rPr>
          <w:rFonts w:ascii="VIC" w:hAnsi="VIC"/>
          <w:b/>
          <w:bCs/>
          <w:sz w:val="20"/>
        </w:rPr>
      </w:pPr>
      <w:r w:rsidRPr="001A2281">
        <w:rPr>
          <w:rFonts w:ascii="VIC" w:hAnsi="VIC"/>
          <w:b/>
          <w:bCs/>
          <w:sz w:val="20"/>
        </w:rPr>
        <w:t xml:space="preserve">Removal of the Code Commitment Letter </w:t>
      </w:r>
    </w:p>
    <w:p w14:paraId="0F3DEDF2" w14:textId="77777777" w:rsidR="00AF7492" w:rsidRPr="00175AE3" w:rsidRDefault="00AF7492" w:rsidP="00AF7492">
      <w:pPr>
        <w:pStyle w:val="NormalWeb"/>
        <w:rPr>
          <w:rFonts w:ascii="VIC" w:hAnsi="VIC"/>
          <w:sz w:val="20"/>
        </w:rPr>
      </w:pPr>
      <w:r w:rsidRPr="00BF100E">
        <w:rPr>
          <w:rFonts w:ascii="VIC" w:hAnsi="VIC"/>
          <w:sz w:val="20"/>
        </w:rPr>
        <w:t>The Supplier Code of Conduct commitment letter is no longer required from 1 April 2025.</w:t>
      </w:r>
      <w:r>
        <w:rPr>
          <w:rFonts w:ascii="VIC" w:hAnsi="VIC"/>
          <w:sz w:val="20"/>
        </w:rPr>
        <w:t xml:space="preserve"> </w:t>
      </w:r>
      <w:r w:rsidRPr="002C21FA">
        <w:rPr>
          <w:rFonts w:ascii="VIC" w:hAnsi="VIC"/>
          <w:sz w:val="20"/>
        </w:rPr>
        <w:t xml:space="preserve">Suppliers will instead commit to the Code when </w:t>
      </w:r>
      <w:proofErr w:type="gramStart"/>
      <w:r>
        <w:rPr>
          <w:rFonts w:ascii="VIC" w:hAnsi="VIC"/>
          <w:sz w:val="20"/>
        </w:rPr>
        <w:t>entering into</w:t>
      </w:r>
      <w:proofErr w:type="gramEnd"/>
      <w:r>
        <w:rPr>
          <w:rFonts w:ascii="VIC" w:hAnsi="VIC"/>
          <w:sz w:val="20"/>
        </w:rPr>
        <w:t xml:space="preserve"> contracts with</w:t>
      </w:r>
      <w:r w:rsidRPr="002C21FA">
        <w:rPr>
          <w:rFonts w:ascii="VIC" w:hAnsi="VIC"/>
          <w:sz w:val="20"/>
        </w:rPr>
        <w:t xml:space="preserve"> the new </w:t>
      </w:r>
      <w:r>
        <w:rPr>
          <w:rFonts w:ascii="VIC" w:hAnsi="VIC"/>
          <w:sz w:val="20"/>
        </w:rPr>
        <w:t xml:space="preserve">standard model </w:t>
      </w:r>
      <w:r w:rsidRPr="002C21FA">
        <w:rPr>
          <w:rFonts w:ascii="VIC" w:hAnsi="VIC"/>
          <w:sz w:val="20"/>
        </w:rPr>
        <w:t>clauses</w:t>
      </w:r>
      <w:r>
        <w:rPr>
          <w:rFonts w:ascii="VIC" w:hAnsi="VIC"/>
          <w:sz w:val="20"/>
        </w:rPr>
        <w:t xml:space="preserve">. </w:t>
      </w:r>
    </w:p>
    <w:p w14:paraId="55DE0CF1" w14:textId="77777777" w:rsidR="00AF7492" w:rsidRPr="00593718" w:rsidRDefault="00AF7492" w:rsidP="00AF7492">
      <w:pPr>
        <w:pStyle w:val="Heading1"/>
        <w:spacing w:before="240" w:after="120" w:line="259" w:lineRule="auto"/>
        <w:rPr>
          <w:rFonts w:ascii="VIC" w:hAnsi="VIC"/>
          <w:sz w:val="24"/>
          <w:szCs w:val="24"/>
        </w:rPr>
      </w:pPr>
      <w:r w:rsidRPr="00593718">
        <w:rPr>
          <w:rFonts w:ascii="VIC" w:hAnsi="VIC"/>
          <w:sz w:val="24"/>
          <w:szCs w:val="24"/>
        </w:rPr>
        <w:t>Implementing and enforcing this Code</w:t>
      </w:r>
    </w:p>
    <w:p w14:paraId="42A363F3" w14:textId="77777777" w:rsidR="00AF7492" w:rsidRDefault="00AF7492" w:rsidP="00AF7492">
      <w:pPr>
        <w:spacing w:before="0" w:line="259" w:lineRule="auto"/>
        <w:rPr>
          <w:rFonts w:ascii="VIC" w:hAnsi="VIC"/>
          <w:sz w:val="20"/>
        </w:rPr>
      </w:pPr>
      <w:r w:rsidRPr="00593718">
        <w:rPr>
          <w:rFonts w:ascii="VIC" w:hAnsi="VIC"/>
          <w:sz w:val="20"/>
        </w:rPr>
        <w:t>An agency’s approach to implementing and enforcing the Code will depend on</w:t>
      </w:r>
      <w:r>
        <w:rPr>
          <w:rFonts w:ascii="VIC" w:hAnsi="VIC"/>
          <w:sz w:val="20"/>
        </w:rPr>
        <w:t>:</w:t>
      </w:r>
    </w:p>
    <w:p w14:paraId="113E386C" w14:textId="77777777" w:rsidR="00AF7492" w:rsidRDefault="00AF7492" w:rsidP="00AF7492">
      <w:pPr>
        <w:pStyle w:val="ListParagraph"/>
        <w:numPr>
          <w:ilvl w:val="0"/>
          <w:numId w:val="36"/>
        </w:numPr>
        <w:spacing w:before="0" w:line="259" w:lineRule="auto"/>
        <w:ind w:left="714" w:hanging="357"/>
        <w:contextualSpacing w:val="0"/>
        <w:rPr>
          <w:rFonts w:ascii="VIC" w:hAnsi="VIC"/>
          <w:sz w:val="20"/>
        </w:rPr>
      </w:pPr>
      <w:r w:rsidRPr="00F8740D">
        <w:rPr>
          <w:rFonts w:ascii="VIC" w:hAnsi="VIC"/>
          <w:sz w:val="20"/>
        </w:rPr>
        <w:t>the size, scope and risk of the procurement</w:t>
      </w:r>
      <w:r>
        <w:rPr>
          <w:rFonts w:ascii="VIC" w:hAnsi="VIC"/>
          <w:sz w:val="20"/>
        </w:rPr>
        <w:t>; and</w:t>
      </w:r>
    </w:p>
    <w:p w14:paraId="1B07443B" w14:textId="77777777" w:rsidR="00AF7492" w:rsidRDefault="00AF7492" w:rsidP="00AF7492">
      <w:pPr>
        <w:pStyle w:val="ListParagraph"/>
        <w:numPr>
          <w:ilvl w:val="0"/>
          <w:numId w:val="36"/>
        </w:numPr>
        <w:spacing w:before="0" w:line="259" w:lineRule="auto"/>
        <w:ind w:left="714" w:hanging="357"/>
        <w:contextualSpacing w:val="0"/>
        <w:rPr>
          <w:rFonts w:ascii="VIC" w:hAnsi="VIC"/>
          <w:sz w:val="20"/>
        </w:rPr>
      </w:pPr>
      <w:r w:rsidRPr="00F8740D">
        <w:rPr>
          <w:rFonts w:ascii="VIC" w:hAnsi="VIC"/>
          <w:sz w:val="20"/>
        </w:rPr>
        <w:t>the type of goods, services or works being procured</w:t>
      </w:r>
      <w:r>
        <w:rPr>
          <w:rFonts w:ascii="VIC" w:hAnsi="VIC"/>
          <w:sz w:val="20"/>
        </w:rPr>
        <w:t>.</w:t>
      </w:r>
      <w:r w:rsidRPr="00C73FE0">
        <w:rPr>
          <w:rFonts w:ascii="VIC" w:hAnsi="VIC"/>
          <w:sz w:val="20"/>
        </w:rPr>
        <w:t xml:space="preserve"> </w:t>
      </w:r>
    </w:p>
    <w:p w14:paraId="00D1395E" w14:textId="77777777" w:rsidR="00AF7492" w:rsidRDefault="00AF7492" w:rsidP="00AF7492">
      <w:pPr>
        <w:spacing w:before="0" w:line="259" w:lineRule="auto"/>
        <w:rPr>
          <w:rFonts w:ascii="VIC" w:hAnsi="VIC"/>
          <w:sz w:val="20"/>
        </w:rPr>
      </w:pPr>
      <w:r w:rsidRPr="00593718">
        <w:rPr>
          <w:rFonts w:ascii="VIC" w:hAnsi="VIC"/>
          <w:sz w:val="20"/>
        </w:rPr>
        <w:t xml:space="preserve">The ‘buyer’ within an </w:t>
      </w:r>
      <w:r>
        <w:rPr>
          <w:rFonts w:ascii="VIC" w:hAnsi="VIC"/>
          <w:sz w:val="20"/>
        </w:rPr>
        <w:t>a</w:t>
      </w:r>
      <w:r w:rsidRPr="00593718">
        <w:rPr>
          <w:rFonts w:ascii="VIC" w:hAnsi="VIC"/>
          <w:sz w:val="20"/>
        </w:rPr>
        <w:t>gency must</w:t>
      </w:r>
      <w:r>
        <w:rPr>
          <w:rFonts w:ascii="VIC" w:hAnsi="VIC"/>
          <w:sz w:val="20"/>
        </w:rPr>
        <w:t xml:space="preserve"> consider the Code across all phases of the procurement lifecycle:</w:t>
      </w:r>
    </w:p>
    <w:p w14:paraId="75928BE2" w14:textId="77777777" w:rsidR="00AF7492" w:rsidRPr="00593718" w:rsidRDefault="00AF7492" w:rsidP="00AF7492">
      <w:pPr>
        <w:spacing w:before="0" w:after="60" w:line="259" w:lineRule="auto"/>
        <w:rPr>
          <w:rFonts w:ascii="VIC" w:hAnsi="VIC"/>
          <w:b/>
          <w:bCs/>
          <w:sz w:val="20"/>
        </w:rPr>
      </w:pPr>
      <w:r w:rsidRPr="00593718">
        <w:rPr>
          <w:rFonts w:ascii="VIC" w:hAnsi="VIC"/>
          <w:b/>
          <w:bCs/>
          <w:sz w:val="20"/>
        </w:rPr>
        <w:lastRenderedPageBreak/>
        <w:t>Invit</w:t>
      </w:r>
      <w:r>
        <w:rPr>
          <w:rFonts w:ascii="VIC" w:hAnsi="VIC"/>
          <w:b/>
          <w:bCs/>
          <w:sz w:val="20"/>
        </w:rPr>
        <w:t>ing</w:t>
      </w:r>
      <w:r w:rsidRPr="00593718">
        <w:rPr>
          <w:rFonts w:ascii="VIC" w:hAnsi="VIC"/>
          <w:b/>
          <w:bCs/>
          <w:sz w:val="20"/>
        </w:rPr>
        <w:t xml:space="preserve"> and selecting offers </w:t>
      </w:r>
      <w:r>
        <w:rPr>
          <w:rFonts w:ascii="VIC" w:hAnsi="VIC"/>
          <w:b/>
          <w:bCs/>
          <w:sz w:val="20"/>
        </w:rPr>
        <w:t xml:space="preserve">phase </w:t>
      </w:r>
    </w:p>
    <w:p w14:paraId="120D5AE9" w14:textId="77777777" w:rsidR="00AF7492" w:rsidRPr="00886A2B" w:rsidRDefault="00AF7492" w:rsidP="00AF7492">
      <w:pPr>
        <w:pStyle w:val="ListParagraph"/>
        <w:numPr>
          <w:ilvl w:val="0"/>
          <w:numId w:val="37"/>
        </w:numPr>
        <w:spacing w:before="0" w:after="160" w:line="259" w:lineRule="auto"/>
        <w:contextualSpacing w:val="0"/>
        <w:rPr>
          <w:rFonts w:ascii="VIC" w:hAnsi="VIC"/>
          <w:sz w:val="20"/>
        </w:rPr>
      </w:pPr>
      <w:bookmarkStart w:id="2" w:name="_Hlk88693143"/>
      <w:r w:rsidRPr="00366361">
        <w:rPr>
          <w:rFonts w:ascii="VIC" w:hAnsi="VIC"/>
          <w:sz w:val="20"/>
        </w:rPr>
        <w:t xml:space="preserve">include the Code’s </w:t>
      </w:r>
      <w:r>
        <w:rPr>
          <w:rFonts w:ascii="VIC" w:hAnsi="VIC"/>
          <w:sz w:val="20"/>
        </w:rPr>
        <w:t xml:space="preserve">standard </w:t>
      </w:r>
      <w:r w:rsidRPr="00366361">
        <w:rPr>
          <w:rFonts w:ascii="VIC" w:hAnsi="VIC"/>
          <w:sz w:val="20"/>
        </w:rPr>
        <w:t>model clauses in invitation documents and contracts where such documents are used</w:t>
      </w:r>
    </w:p>
    <w:p w14:paraId="25655AC3" w14:textId="2136B581" w:rsidR="00AF7492" w:rsidRPr="001A2281" w:rsidRDefault="00983D25" w:rsidP="00AF7492">
      <w:pPr>
        <w:pStyle w:val="ListParagraph"/>
        <w:numPr>
          <w:ilvl w:val="0"/>
          <w:numId w:val="37"/>
        </w:numPr>
        <w:spacing w:before="0" w:after="160" w:line="259" w:lineRule="auto"/>
        <w:contextualSpacing w:val="0"/>
        <w:rPr>
          <w:rFonts w:ascii="VIC" w:hAnsi="VIC"/>
          <w:sz w:val="20"/>
        </w:rPr>
      </w:pPr>
      <w:r>
        <w:rPr>
          <w:rFonts w:ascii="VIC" w:hAnsi="VIC"/>
          <w:sz w:val="20"/>
        </w:rPr>
        <w:t>c</w:t>
      </w:r>
      <w:r w:rsidR="00AF7492">
        <w:rPr>
          <w:rFonts w:ascii="VIC" w:hAnsi="VIC"/>
          <w:sz w:val="20"/>
        </w:rPr>
        <w:t>onsider how</w:t>
      </w:r>
      <w:r w:rsidR="00AF7492" w:rsidRPr="00123ED6">
        <w:rPr>
          <w:rFonts w:ascii="VIC" w:hAnsi="VIC"/>
          <w:sz w:val="20"/>
        </w:rPr>
        <w:t xml:space="preserve"> the reputation and behaviour of tenderers </w:t>
      </w:r>
      <w:r w:rsidR="00AF7492">
        <w:rPr>
          <w:rFonts w:ascii="VIC" w:hAnsi="VIC"/>
          <w:sz w:val="20"/>
        </w:rPr>
        <w:t>will be fact</w:t>
      </w:r>
      <w:r w:rsidR="00AF7492" w:rsidRPr="00123ED6">
        <w:rPr>
          <w:rFonts w:ascii="VIC" w:hAnsi="VIC"/>
          <w:sz w:val="20"/>
        </w:rPr>
        <w:t>ored into the procurement process</w:t>
      </w:r>
      <w:r w:rsidR="00AF7492">
        <w:rPr>
          <w:rFonts w:ascii="VIC" w:hAnsi="VIC"/>
          <w:sz w:val="20"/>
        </w:rPr>
        <w:t xml:space="preserve"> and how compliance failures of a tenderer with the Code will be </w:t>
      </w:r>
      <w:proofErr w:type="gramStart"/>
      <w:r w:rsidR="00AF7492">
        <w:rPr>
          <w:rFonts w:ascii="VIC" w:hAnsi="VIC"/>
          <w:sz w:val="20"/>
        </w:rPr>
        <w:t>taken into account</w:t>
      </w:r>
      <w:proofErr w:type="gramEnd"/>
      <w:r w:rsidR="00AF7492">
        <w:rPr>
          <w:rFonts w:ascii="VIC" w:hAnsi="VIC"/>
          <w:sz w:val="20"/>
        </w:rPr>
        <w:t xml:space="preserve"> during the evaluation of a procurement. For example, consider a mandatory requirement that is a pass/fail requirement based on whether a potential supplier has previously breached the Code, a weighted criterion, or as part of the assessment of risk during evaluation. </w:t>
      </w:r>
    </w:p>
    <w:p w14:paraId="3C57B492" w14:textId="77777777" w:rsidR="00AF7492" w:rsidRPr="00593718" w:rsidRDefault="00AF7492" w:rsidP="00AF7492">
      <w:pPr>
        <w:pStyle w:val="ListParagraph"/>
        <w:numPr>
          <w:ilvl w:val="0"/>
          <w:numId w:val="37"/>
        </w:numPr>
        <w:spacing w:before="0" w:after="160" w:line="259" w:lineRule="auto"/>
        <w:contextualSpacing w:val="0"/>
        <w:rPr>
          <w:rFonts w:ascii="VIC" w:hAnsi="VIC"/>
          <w:sz w:val="20"/>
        </w:rPr>
      </w:pPr>
      <w:r>
        <w:rPr>
          <w:rFonts w:ascii="VIC" w:hAnsi="VIC"/>
          <w:sz w:val="20"/>
        </w:rPr>
        <w:t xml:space="preserve">if relevant, </w:t>
      </w:r>
      <w:r w:rsidRPr="00366361">
        <w:rPr>
          <w:rFonts w:ascii="VIC" w:hAnsi="VIC"/>
          <w:sz w:val="20"/>
        </w:rPr>
        <w:t xml:space="preserve">provide early notice to </w:t>
      </w:r>
      <w:r>
        <w:rPr>
          <w:rFonts w:ascii="VIC" w:hAnsi="VIC"/>
          <w:sz w:val="20"/>
        </w:rPr>
        <w:t>Supplier</w:t>
      </w:r>
      <w:r w:rsidRPr="00366361">
        <w:rPr>
          <w:rFonts w:ascii="VIC" w:hAnsi="VIC"/>
          <w:sz w:val="20"/>
        </w:rPr>
        <w:t xml:space="preserve">s of </w:t>
      </w:r>
      <w:r>
        <w:rPr>
          <w:rFonts w:ascii="VIC" w:hAnsi="VIC"/>
          <w:sz w:val="20"/>
        </w:rPr>
        <w:t xml:space="preserve">any </w:t>
      </w:r>
      <w:r w:rsidRPr="00366361">
        <w:rPr>
          <w:rFonts w:ascii="VIC" w:hAnsi="VIC"/>
          <w:sz w:val="20"/>
        </w:rPr>
        <w:t xml:space="preserve">ethical, social, and business requirements in addition to the </w:t>
      </w:r>
      <w:r>
        <w:rPr>
          <w:rFonts w:ascii="VIC" w:hAnsi="VIC"/>
          <w:sz w:val="20"/>
        </w:rPr>
        <w:t>Code.</w:t>
      </w:r>
    </w:p>
    <w:p w14:paraId="0BB714B1" w14:textId="77777777" w:rsidR="00AF7492" w:rsidRPr="001A2281" w:rsidRDefault="00AF7492" w:rsidP="00AF7492">
      <w:pPr>
        <w:pStyle w:val="ListParagraph"/>
        <w:numPr>
          <w:ilvl w:val="0"/>
          <w:numId w:val="37"/>
        </w:numPr>
        <w:spacing w:before="0" w:line="259" w:lineRule="auto"/>
        <w:ind w:left="714" w:hanging="357"/>
        <w:contextualSpacing w:val="0"/>
        <w:rPr>
          <w:rFonts w:ascii="VIC" w:hAnsi="VIC"/>
          <w:sz w:val="20"/>
        </w:rPr>
      </w:pPr>
      <w:r w:rsidRPr="00593718">
        <w:rPr>
          <w:rFonts w:ascii="VIC" w:hAnsi="VIC"/>
          <w:sz w:val="20"/>
        </w:rPr>
        <w:t xml:space="preserve">undertake due diligence of potential </w:t>
      </w:r>
      <w:r>
        <w:rPr>
          <w:rFonts w:ascii="VIC" w:hAnsi="VIC"/>
          <w:sz w:val="20"/>
        </w:rPr>
        <w:t>Supplier</w:t>
      </w:r>
      <w:r w:rsidRPr="00593718">
        <w:rPr>
          <w:rFonts w:ascii="VIC" w:hAnsi="VIC"/>
          <w:sz w:val="20"/>
        </w:rPr>
        <w:t xml:space="preserve">s before </w:t>
      </w:r>
      <w:r>
        <w:rPr>
          <w:rFonts w:ascii="VIC" w:hAnsi="VIC"/>
          <w:sz w:val="20"/>
        </w:rPr>
        <w:t>selecting</w:t>
      </w:r>
      <w:r w:rsidRPr="00593718">
        <w:rPr>
          <w:rFonts w:ascii="VIC" w:hAnsi="VIC"/>
          <w:sz w:val="20"/>
        </w:rPr>
        <w:t xml:space="preserve"> </w:t>
      </w:r>
      <w:r>
        <w:rPr>
          <w:rFonts w:ascii="VIC" w:hAnsi="VIC"/>
          <w:sz w:val="20"/>
        </w:rPr>
        <w:t>a Supplier. This could include actions such as:</w:t>
      </w:r>
    </w:p>
    <w:p w14:paraId="09A18101" w14:textId="77777777" w:rsidR="00AF7492" w:rsidRDefault="00AF7492" w:rsidP="00AF7492">
      <w:pPr>
        <w:pStyle w:val="ListParagraph"/>
        <w:numPr>
          <w:ilvl w:val="1"/>
          <w:numId w:val="37"/>
        </w:numPr>
        <w:spacing w:before="0" w:line="259" w:lineRule="auto"/>
        <w:ind w:left="1434" w:hanging="357"/>
        <w:contextualSpacing w:val="0"/>
        <w:rPr>
          <w:rFonts w:ascii="VIC" w:hAnsi="VIC"/>
          <w:sz w:val="20"/>
        </w:rPr>
      </w:pPr>
      <w:r>
        <w:rPr>
          <w:rFonts w:ascii="VIC" w:hAnsi="VIC"/>
          <w:sz w:val="20"/>
        </w:rPr>
        <w:t xml:space="preserve">conducting reference checks with other </w:t>
      </w:r>
      <w:r w:rsidRPr="006B555D">
        <w:rPr>
          <w:rFonts w:ascii="VIC" w:hAnsi="VIC"/>
          <w:sz w:val="20"/>
        </w:rPr>
        <w:t>agenc</w:t>
      </w:r>
      <w:r>
        <w:rPr>
          <w:rFonts w:ascii="VIC" w:hAnsi="VIC"/>
          <w:sz w:val="20"/>
        </w:rPr>
        <w:t>ies</w:t>
      </w:r>
      <w:r w:rsidRPr="006B555D">
        <w:rPr>
          <w:rFonts w:ascii="VIC" w:hAnsi="VIC"/>
          <w:sz w:val="20"/>
        </w:rPr>
        <w:t xml:space="preserve"> to discuss the ethical performance of a proposed </w:t>
      </w:r>
      <w:r>
        <w:rPr>
          <w:rFonts w:ascii="VIC" w:hAnsi="VIC"/>
          <w:sz w:val="20"/>
        </w:rPr>
        <w:t>Supplier</w:t>
      </w:r>
    </w:p>
    <w:p w14:paraId="13DEA768" w14:textId="77777777" w:rsidR="00AF7492" w:rsidRPr="001A2281" w:rsidRDefault="00AF7492" w:rsidP="00AF7492">
      <w:pPr>
        <w:pStyle w:val="ListParagraph"/>
        <w:numPr>
          <w:ilvl w:val="1"/>
          <w:numId w:val="37"/>
        </w:numPr>
        <w:spacing w:before="0" w:line="259" w:lineRule="auto"/>
        <w:ind w:left="1434" w:hanging="357"/>
        <w:contextualSpacing w:val="0"/>
        <w:rPr>
          <w:rFonts w:ascii="VIC" w:hAnsi="VIC"/>
          <w:sz w:val="20"/>
        </w:rPr>
      </w:pPr>
      <w:r>
        <w:rPr>
          <w:rFonts w:ascii="VIC" w:hAnsi="VIC"/>
          <w:sz w:val="20"/>
        </w:rPr>
        <w:t xml:space="preserve">including a supplier questionnaire requiring suppliers to provide information about ethical business practices in their supply chains and operations </w:t>
      </w:r>
    </w:p>
    <w:p w14:paraId="5FC9026B" w14:textId="77777777" w:rsidR="00AF7492" w:rsidRDefault="00AF7492" w:rsidP="00AF7492">
      <w:pPr>
        <w:pStyle w:val="ListParagraph"/>
        <w:numPr>
          <w:ilvl w:val="1"/>
          <w:numId w:val="37"/>
        </w:numPr>
        <w:spacing w:before="0" w:line="259" w:lineRule="auto"/>
        <w:ind w:left="1434" w:hanging="357"/>
        <w:contextualSpacing w:val="0"/>
        <w:rPr>
          <w:rFonts w:ascii="VIC" w:hAnsi="VIC"/>
          <w:sz w:val="20"/>
        </w:rPr>
      </w:pPr>
      <w:r>
        <w:rPr>
          <w:rFonts w:ascii="VIC" w:hAnsi="VIC"/>
          <w:sz w:val="20"/>
        </w:rPr>
        <w:t>checking for any adverse media coverage of a Supplier</w:t>
      </w:r>
    </w:p>
    <w:p w14:paraId="3D6EA135" w14:textId="77777777" w:rsidR="00AF7492" w:rsidRDefault="00AF7492" w:rsidP="00AF7492">
      <w:pPr>
        <w:pStyle w:val="ListParagraph"/>
        <w:numPr>
          <w:ilvl w:val="1"/>
          <w:numId w:val="37"/>
        </w:numPr>
        <w:spacing w:before="0" w:line="259" w:lineRule="auto"/>
        <w:ind w:hanging="357"/>
        <w:contextualSpacing w:val="0"/>
        <w:rPr>
          <w:rFonts w:ascii="VIC" w:hAnsi="VIC"/>
          <w:sz w:val="20"/>
        </w:rPr>
      </w:pPr>
      <w:r>
        <w:rPr>
          <w:rFonts w:ascii="VIC" w:hAnsi="VIC"/>
          <w:sz w:val="20"/>
        </w:rPr>
        <w:t xml:space="preserve">checking the Australian Business Register to confirm ABN and ACN details </w:t>
      </w:r>
    </w:p>
    <w:p w14:paraId="582B3C07" w14:textId="77777777" w:rsidR="00AF7492" w:rsidRDefault="00AF7492" w:rsidP="00AF7492">
      <w:pPr>
        <w:pStyle w:val="ListParagraph"/>
        <w:numPr>
          <w:ilvl w:val="1"/>
          <w:numId w:val="37"/>
        </w:numPr>
        <w:spacing w:before="0" w:line="259" w:lineRule="auto"/>
        <w:ind w:hanging="357"/>
        <w:contextualSpacing w:val="0"/>
        <w:rPr>
          <w:rFonts w:ascii="VIC" w:hAnsi="VIC"/>
          <w:sz w:val="20"/>
        </w:rPr>
      </w:pPr>
      <w:r>
        <w:rPr>
          <w:rFonts w:ascii="VIC" w:hAnsi="VIC"/>
          <w:sz w:val="20"/>
        </w:rPr>
        <w:t>checking the Australian Securities and Investments Commission register for banned and disqualified persons</w:t>
      </w:r>
    </w:p>
    <w:p w14:paraId="0DAAC737" w14:textId="77777777" w:rsidR="00AF7492" w:rsidRDefault="00AF7492" w:rsidP="00AF7492">
      <w:pPr>
        <w:pStyle w:val="ListParagraph"/>
        <w:numPr>
          <w:ilvl w:val="1"/>
          <w:numId w:val="37"/>
        </w:numPr>
        <w:spacing w:before="0" w:line="259" w:lineRule="auto"/>
        <w:ind w:hanging="357"/>
        <w:contextualSpacing w:val="0"/>
        <w:rPr>
          <w:rFonts w:ascii="VIC" w:hAnsi="VIC"/>
          <w:sz w:val="20"/>
        </w:rPr>
      </w:pPr>
      <w:r>
        <w:rPr>
          <w:rFonts w:ascii="VIC" w:hAnsi="VIC"/>
          <w:sz w:val="20"/>
        </w:rPr>
        <w:t>verifying Supplier telephone and address listings</w:t>
      </w:r>
    </w:p>
    <w:p w14:paraId="6BA94752" w14:textId="77777777" w:rsidR="00AF7492" w:rsidRDefault="00AF7492" w:rsidP="00AF7492">
      <w:pPr>
        <w:pStyle w:val="ListParagraph"/>
        <w:numPr>
          <w:ilvl w:val="1"/>
          <w:numId w:val="37"/>
        </w:numPr>
        <w:spacing w:before="0" w:line="259" w:lineRule="auto"/>
        <w:ind w:left="1434" w:hanging="357"/>
        <w:contextualSpacing w:val="0"/>
        <w:rPr>
          <w:rFonts w:ascii="VIC" w:hAnsi="VIC"/>
          <w:sz w:val="20"/>
        </w:rPr>
      </w:pPr>
      <w:r w:rsidRPr="00006510">
        <w:rPr>
          <w:rFonts w:ascii="VIC" w:hAnsi="VIC"/>
          <w:sz w:val="20"/>
        </w:rPr>
        <w:t>check</w:t>
      </w:r>
      <w:r>
        <w:rPr>
          <w:rFonts w:ascii="VIC" w:hAnsi="VIC"/>
          <w:sz w:val="20"/>
        </w:rPr>
        <w:t>ing</w:t>
      </w:r>
      <w:r w:rsidRPr="00006510">
        <w:rPr>
          <w:rFonts w:ascii="VIC" w:hAnsi="VIC"/>
          <w:sz w:val="20"/>
        </w:rPr>
        <w:t xml:space="preserve"> any information relating to shortlisted </w:t>
      </w:r>
      <w:r>
        <w:rPr>
          <w:rFonts w:ascii="VIC" w:hAnsi="VIC"/>
          <w:sz w:val="20"/>
        </w:rPr>
        <w:t>Supplier</w:t>
      </w:r>
      <w:r w:rsidRPr="00006510">
        <w:rPr>
          <w:rFonts w:ascii="VIC" w:hAnsi="VIC"/>
          <w:sz w:val="20"/>
        </w:rPr>
        <w:t>s</w:t>
      </w:r>
      <w:r>
        <w:rPr>
          <w:rFonts w:ascii="VIC" w:hAnsi="VIC"/>
          <w:sz w:val="20"/>
        </w:rPr>
        <w:t xml:space="preserve"> using</w:t>
      </w:r>
      <w:r w:rsidRPr="00006510">
        <w:rPr>
          <w:rFonts w:ascii="VIC" w:hAnsi="VIC"/>
          <w:sz w:val="20"/>
        </w:rPr>
        <w:t xml:space="preserve"> Government internal database</w:t>
      </w:r>
      <w:r>
        <w:rPr>
          <w:rFonts w:ascii="VIC" w:hAnsi="VIC"/>
          <w:sz w:val="20"/>
        </w:rPr>
        <w:t>s</w:t>
      </w:r>
    </w:p>
    <w:p w14:paraId="5821F36C" w14:textId="77777777" w:rsidR="00AF7492" w:rsidRDefault="00AF7492" w:rsidP="00AF7492">
      <w:pPr>
        <w:pStyle w:val="ListParagraph"/>
        <w:numPr>
          <w:ilvl w:val="1"/>
          <w:numId w:val="37"/>
        </w:numPr>
        <w:spacing w:before="0" w:line="259" w:lineRule="auto"/>
        <w:ind w:hanging="357"/>
        <w:contextualSpacing w:val="0"/>
        <w:rPr>
          <w:rFonts w:ascii="VIC" w:hAnsi="VIC"/>
          <w:sz w:val="20"/>
        </w:rPr>
      </w:pPr>
      <w:r>
        <w:rPr>
          <w:rFonts w:ascii="VIC" w:hAnsi="VIC"/>
          <w:sz w:val="20"/>
        </w:rPr>
        <w:t>checking if a Supplier</w:t>
      </w:r>
      <w:r w:rsidRPr="00366361">
        <w:rPr>
          <w:rFonts w:ascii="VIC" w:hAnsi="VIC"/>
          <w:sz w:val="20"/>
        </w:rPr>
        <w:t xml:space="preserve"> with prior ethical performance issues</w:t>
      </w:r>
      <w:r>
        <w:rPr>
          <w:rFonts w:ascii="VIC" w:hAnsi="VIC"/>
          <w:sz w:val="20"/>
        </w:rPr>
        <w:t xml:space="preserve"> is</w:t>
      </w:r>
      <w:r w:rsidRPr="00366361">
        <w:rPr>
          <w:rFonts w:ascii="VIC" w:hAnsi="VIC"/>
          <w:sz w:val="20"/>
        </w:rPr>
        <w:t xml:space="preserve"> working as a subcontractor or by re-establishing themselves under a different name and </w:t>
      </w:r>
      <w:r>
        <w:rPr>
          <w:rFonts w:ascii="VIC" w:hAnsi="VIC"/>
          <w:sz w:val="20"/>
        </w:rPr>
        <w:t>ABN</w:t>
      </w:r>
    </w:p>
    <w:p w14:paraId="29845FF6" w14:textId="77777777" w:rsidR="00AF7492" w:rsidRDefault="00AF7492" w:rsidP="00AF7492">
      <w:pPr>
        <w:pStyle w:val="ListParagraph"/>
        <w:numPr>
          <w:ilvl w:val="1"/>
          <w:numId w:val="37"/>
        </w:numPr>
        <w:spacing w:before="0" w:line="259" w:lineRule="auto"/>
        <w:ind w:left="1434" w:hanging="357"/>
        <w:contextualSpacing w:val="0"/>
        <w:rPr>
          <w:rFonts w:ascii="VIC" w:hAnsi="VIC"/>
          <w:sz w:val="20"/>
        </w:rPr>
      </w:pPr>
      <w:r w:rsidRPr="00006510">
        <w:rPr>
          <w:rFonts w:ascii="VIC" w:hAnsi="VIC"/>
          <w:sz w:val="20"/>
        </w:rPr>
        <w:t>revie</w:t>
      </w:r>
      <w:r>
        <w:rPr>
          <w:rFonts w:ascii="VIC" w:hAnsi="VIC"/>
          <w:sz w:val="20"/>
        </w:rPr>
        <w:t>wing</w:t>
      </w:r>
      <w:r w:rsidRPr="00006510">
        <w:rPr>
          <w:rFonts w:ascii="VIC" w:hAnsi="VIC"/>
          <w:sz w:val="20"/>
        </w:rPr>
        <w:t xml:space="preserve"> the Modern Slavery register, if applicable, for </w:t>
      </w:r>
      <w:r>
        <w:rPr>
          <w:rFonts w:ascii="VIC" w:hAnsi="VIC"/>
          <w:sz w:val="20"/>
        </w:rPr>
        <w:t>Supplier</w:t>
      </w:r>
      <w:r w:rsidRPr="00006510">
        <w:rPr>
          <w:rFonts w:ascii="VIC" w:hAnsi="VIC"/>
          <w:sz w:val="20"/>
        </w:rPr>
        <w:t xml:space="preserve">s </w:t>
      </w:r>
      <w:r>
        <w:rPr>
          <w:rFonts w:ascii="VIC" w:hAnsi="VIC"/>
          <w:sz w:val="20"/>
        </w:rPr>
        <w:t>that fulfil</w:t>
      </w:r>
      <w:r w:rsidRPr="00006510">
        <w:rPr>
          <w:rFonts w:ascii="VIC" w:hAnsi="VIC"/>
          <w:sz w:val="20"/>
        </w:rPr>
        <w:t xml:space="preserve"> reporting requirements (</w:t>
      </w:r>
      <w:hyperlink r:id="rId13" w:history="1">
        <w:r w:rsidRPr="00F90E94">
          <w:rPr>
            <w:rStyle w:val="Hyperlink"/>
            <w:rFonts w:ascii="VIC" w:hAnsi="VIC"/>
            <w:sz w:val="20"/>
          </w:rPr>
          <w:t>https://modernslaveryregister.gov.au/</w:t>
        </w:r>
      </w:hyperlink>
      <w:r w:rsidRPr="00006510">
        <w:rPr>
          <w:rFonts w:ascii="VIC" w:hAnsi="VIC"/>
          <w:sz w:val="20"/>
        </w:rPr>
        <w:t>)</w:t>
      </w:r>
      <w:r>
        <w:rPr>
          <w:rFonts w:ascii="VIC" w:hAnsi="VIC"/>
          <w:sz w:val="20"/>
        </w:rPr>
        <w:t xml:space="preserve">  </w:t>
      </w:r>
    </w:p>
    <w:p w14:paraId="56621F28" w14:textId="77777777" w:rsidR="00AF7492" w:rsidRPr="00593718" w:rsidRDefault="00AF7492" w:rsidP="00AF7492">
      <w:pPr>
        <w:pStyle w:val="ListParagraph"/>
        <w:numPr>
          <w:ilvl w:val="1"/>
          <w:numId w:val="37"/>
        </w:numPr>
        <w:spacing w:before="0" w:line="259" w:lineRule="auto"/>
        <w:ind w:hanging="357"/>
        <w:contextualSpacing w:val="0"/>
        <w:rPr>
          <w:rFonts w:ascii="VIC" w:hAnsi="VIC"/>
          <w:sz w:val="20"/>
        </w:rPr>
      </w:pPr>
      <w:r>
        <w:rPr>
          <w:rFonts w:ascii="VIC" w:hAnsi="VIC"/>
          <w:sz w:val="20"/>
        </w:rPr>
        <w:t>checking the Fair Jobs Code public register.</w:t>
      </w:r>
    </w:p>
    <w:p w14:paraId="0D52239E" w14:textId="77777777" w:rsidR="00AF7492" w:rsidRDefault="00AF7492" w:rsidP="00AF7492">
      <w:pPr>
        <w:pStyle w:val="ListParagraph"/>
        <w:numPr>
          <w:ilvl w:val="0"/>
          <w:numId w:val="37"/>
        </w:numPr>
        <w:spacing w:before="0" w:after="160" w:line="259" w:lineRule="auto"/>
        <w:contextualSpacing w:val="0"/>
        <w:rPr>
          <w:rFonts w:ascii="VIC" w:hAnsi="VIC"/>
          <w:sz w:val="20"/>
        </w:rPr>
      </w:pPr>
      <w:r w:rsidRPr="00203900">
        <w:rPr>
          <w:rFonts w:ascii="VIC" w:hAnsi="VIC"/>
          <w:sz w:val="20"/>
        </w:rPr>
        <w:t>hav</w:t>
      </w:r>
      <w:r>
        <w:rPr>
          <w:rFonts w:ascii="VIC" w:hAnsi="VIC"/>
          <w:sz w:val="20"/>
        </w:rPr>
        <w:t>e</w:t>
      </w:r>
      <w:r w:rsidRPr="00203900">
        <w:rPr>
          <w:rFonts w:ascii="VIC" w:hAnsi="VIC"/>
          <w:sz w:val="20"/>
        </w:rPr>
        <w:t xml:space="preserve"> awareness of supply chains that are at risk. Risks include links to a country or an industry with high levels of corruption, human rights or environmental abuses or evidence of modern slavery practices. </w:t>
      </w:r>
    </w:p>
    <w:p w14:paraId="232D0EF6" w14:textId="77777777" w:rsidR="00AF7492" w:rsidRPr="00886A2B" w:rsidRDefault="00AF7492" w:rsidP="00AF7492">
      <w:pPr>
        <w:pStyle w:val="ListParagraph"/>
        <w:numPr>
          <w:ilvl w:val="0"/>
          <w:numId w:val="37"/>
        </w:numPr>
        <w:spacing w:before="0" w:after="160" w:line="259" w:lineRule="auto"/>
        <w:contextualSpacing w:val="0"/>
        <w:rPr>
          <w:rFonts w:ascii="VIC" w:hAnsi="VIC"/>
          <w:sz w:val="20"/>
        </w:rPr>
      </w:pPr>
      <w:r>
        <w:rPr>
          <w:rFonts w:ascii="VIC" w:hAnsi="VIC"/>
          <w:sz w:val="20"/>
        </w:rPr>
        <w:t>e</w:t>
      </w:r>
      <w:r w:rsidRPr="00203900">
        <w:rPr>
          <w:rFonts w:ascii="VIC" w:hAnsi="VIC"/>
          <w:sz w:val="20"/>
        </w:rPr>
        <w:t xml:space="preserve">nsure that you keep records of the </w:t>
      </w:r>
      <w:r>
        <w:rPr>
          <w:rFonts w:ascii="VIC" w:hAnsi="VIC"/>
          <w:sz w:val="20"/>
        </w:rPr>
        <w:t>Supplier</w:t>
      </w:r>
      <w:r w:rsidRPr="00203900">
        <w:rPr>
          <w:rFonts w:ascii="VIC" w:hAnsi="VIC"/>
          <w:sz w:val="20"/>
        </w:rPr>
        <w:t xml:space="preserve"> selection process, due diligence, and engagement.</w:t>
      </w:r>
    </w:p>
    <w:bookmarkEnd w:id="2"/>
    <w:p w14:paraId="12A3AD71" w14:textId="77777777" w:rsidR="00AF7492" w:rsidRPr="00593718" w:rsidRDefault="00AF7492" w:rsidP="00AF7492">
      <w:pPr>
        <w:rPr>
          <w:rFonts w:ascii="VIC" w:hAnsi="VIC"/>
          <w:b/>
          <w:bCs/>
          <w:sz w:val="20"/>
        </w:rPr>
      </w:pPr>
      <w:r w:rsidRPr="00593718">
        <w:rPr>
          <w:rFonts w:ascii="VIC" w:hAnsi="VIC"/>
          <w:b/>
          <w:bCs/>
          <w:sz w:val="20"/>
        </w:rPr>
        <w:t>Contract management phase</w:t>
      </w:r>
    </w:p>
    <w:p w14:paraId="2C4172C3" w14:textId="77777777" w:rsidR="00AF7492" w:rsidRDefault="00AF7492" w:rsidP="00AF7492">
      <w:pPr>
        <w:pStyle w:val="ListParagraph"/>
        <w:numPr>
          <w:ilvl w:val="0"/>
          <w:numId w:val="37"/>
        </w:numPr>
        <w:spacing w:before="0" w:line="259" w:lineRule="auto"/>
        <w:ind w:left="714" w:hanging="357"/>
        <w:contextualSpacing w:val="0"/>
        <w:rPr>
          <w:rFonts w:ascii="VIC" w:hAnsi="VIC"/>
          <w:sz w:val="20"/>
        </w:rPr>
      </w:pPr>
      <w:r>
        <w:rPr>
          <w:rFonts w:ascii="VIC" w:hAnsi="VIC"/>
          <w:sz w:val="20"/>
        </w:rPr>
        <w:t>a</w:t>
      </w:r>
      <w:r w:rsidRPr="00366361">
        <w:rPr>
          <w:rFonts w:ascii="VIC" w:hAnsi="VIC"/>
          <w:sz w:val="20"/>
        </w:rPr>
        <w:t xml:space="preserve">ssess the Supplier’s </w:t>
      </w:r>
      <w:r>
        <w:rPr>
          <w:rFonts w:ascii="VIC" w:hAnsi="VIC"/>
          <w:sz w:val="20"/>
        </w:rPr>
        <w:t>conduct</w:t>
      </w:r>
      <w:r w:rsidRPr="00366361">
        <w:rPr>
          <w:rFonts w:ascii="VIC" w:hAnsi="VIC"/>
          <w:sz w:val="20"/>
        </w:rPr>
        <w:t xml:space="preserve"> and performance against the Code throughout the duration of the contrac</w:t>
      </w:r>
      <w:r>
        <w:rPr>
          <w:rFonts w:ascii="VIC" w:hAnsi="VIC"/>
          <w:sz w:val="20"/>
        </w:rPr>
        <w:t xml:space="preserve">t </w:t>
      </w:r>
    </w:p>
    <w:p w14:paraId="65DC6AD8" w14:textId="77777777" w:rsidR="00AF7492" w:rsidRDefault="00AF7492" w:rsidP="00AF7492">
      <w:pPr>
        <w:pStyle w:val="ListParagraph"/>
        <w:numPr>
          <w:ilvl w:val="0"/>
          <w:numId w:val="37"/>
        </w:numPr>
        <w:spacing w:before="0" w:line="259" w:lineRule="auto"/>
        <w:ind w:left="714" w:hanging="357"/>
        <w:contextualSpacing w:val="0"/>
        <w:rPr>
          <w:rFonts w:ascii="VIC" w:hAnsi="VIC"/>
          <w:sz w:val="20"/>
        </w:rPr>
      </w:pPr>
      <w:r>
        <w:rPr>
          <w:rFonts w:ascii="VIC" w:hAnsi="VIC"/>
          <w:sz w:val="20"/>
        </w:rPr>
        <w:t>periodically perform due diligence checks as required. This includes:</w:t>
      </w:r>
    </w:p>
    <w:p w14:paraId="53FBCFA9" w14:textId="77777777" w:rsidR="00AF7492" w:rsidRDefault="00AF7492" w:rsidP="00AF7492">
      <w:pPr>
        <w:pStyle w:val="ListParagraph"/>
        <w:numPr>
          <w:ilvl w:val="1"/>
          <w:numId w:val="37"/>
        </w:numPr>
        <w:spacing w:before="0" w:line="259" w:lineRule="auto"/>
        <w:contextualSpacing w:val="0"/>
        <w:rPr>
          <w:rFonts w:ascii="VIC" w:hAnsi="VIC"/>
          <w:sz w:val="20"/>
        </w:rPr>
      </w:pPr>
      <w:r>
        <w:rPr>
          <w:rFonts w:ascii="VIC" w:hAnsi="VIC"/>
          <w:sz w:val="20"/>
        </w:rPr>
        <w:lastRenderedPageBreak/>
        <w:t>checking for</w:t>
      </w:r>
      <w:r w:rsidDel="00404353">
        <w:rPr>
          <w:rFonts w:ascii="VIC" w:hAnsi="VIC"/>
          <w:sz w:val="20"/>
        </w:rPr>
        <w:t xml:space="preserve"> </w:t>
      </w:r>
      <w:r w:rsidRPr="00593718">
        <w:rPr>
          <w:rFonts w:ascii="VIC" w:hAnsi="VIC"/>
          <w:sz w:val="20"/>
        </w:rPr>
        <w:t xml:space="preserve">any adverse media </w:t>
      </w:r>
      <w:proofErr w:type="gramStart"/>
      <w:r w:rsidRPr="00593718">
        <w:rPr>
          <w:rFonts w:ascii="VIC" w:hAnsi="VIC"/>
          <w:sz w:val="20"/>
        </w:rPr>
        <w:t>coverage</w:t>
      </w:r>
      <w:r>
        <w:rPr>
          <w:rFonts w:ascii="VIC" w:hAnsi="VIC"/>
          <w:sz w:val="20"/>
        </w:rPr>
        <w:t>;</w:t>
      </w:r>
      <w:proofErr w:type="gramEnd"/>
    </w:p>
    <w:p w14:paraId="7E5A7582" w14:textId="77777777" w:rsidR="00AF7492" w:rsidRDefault="00AF7492" w:rsidP="00AF7492">
      <w:pPr>
        <w:pStyle w:val="ListParagraph"/>
        <w:numPr>
          <w:ilvl w:val="1"/>
          <w:numId w:val="37"/>
        </w:numPr>
        <w:spacing w:before="0" w:line="259" w:lineRule="auto"/>
        <w:contextualSpacing w:val="0"/>
        <w:rPr>
          <w:rFonts w:ascii="VIC" w:hAnsi="VIC"/>
          <w:sz w:val="20"/>
        </w:rPr>
      </w:pPr>
      <w:r>
        <w:rPr>
          <w:rFonts w:ascii="VIC" w:hAnsi="VIC"/>
          <w:sz w:val="20"/>
        </w:rPr>
        <w:t xml:space="preserve">identifying any material changes to the Supplier’s circumstances such as </w:t>
      </w:r>
      <w:r w:rsidRPr="0099213D">
        <w:rPr>
          <w:rFonts w:ascii="VIC" w:hAnsi="VIC"/>
          <w:sz w:val="20"/>
        </w:rPr>
        <w:t>merger</w:t>
      </w:r>
      <w:r>
        <w:rPr>
          <w:rFonts w:ascii="VIC" w:hAnsi="VIC"/>
          <w:sz w:val="20"/>
        </w:rPr>
        <w:t>s</w:t>
      </w:r>
      <w:r w:rsidRPr="0099213D">
        <w:rPr>
          <w:rFonts w:ascii="VIC" w:hAnsi="VIC"/>
          <w:sz w:val="20"/>
        </w:rPr>
        <w:t xml:space="preserve"> or </w:t>
      </w:r>
      <w:proofErr w:type="gramStart"/>
      <w:r w:rsidRPr="0099213D">
        <w:rPr>
          <w:rFonts w:ascii="VIC" w:hAnsi="VIC"/>
          <w:sz w:val="20"/>
        </w:rPr>
        <w:t>acquisition</w:t>
      </w:r>
      <w:r>
        <w:rPr>
          <w:rFonts w:ascii="VIC" w:hAnsi="VIC"/>
          <w:sz w:val="20"/>
        </w:rPr>
        <w:t>s;</w:t>
      </w:r>
      <w:proofErr w:type="gramEnd"/>
      <w:r w:rsidRPr="0099213D">
        <w:rPr>
          <w:rFonts w:ascii="VIC" w:hAnsi="VIC"/>
          <w:sz w:val="20"/>
        </w:rPr>
        <w:t xml:space="preserve"> </w:t>
      </w:r>
    </w:p>
    <w:p w14:paraId="6F5B0ABD" w14:textId="77777777" w:rsidR="00AF7492" w:rsidRDefault="00AF7492" w:rsidP="00AF7492">
      <w:pPr>
        <w:pStyle w:val="ListParagraph"/>
        <w:numPr>
          <w:ilvl w:val="1"/>
          <w:numId w:val="37"/>
        </w:numPr>
        <w:spacing w:before="0" w:line="259" w:lineRule="auto"/>
        <w:contextualSpacing w:val="0"/>
        <w:rPr>
          <w:rFonts w:ascii="VIC" w:hAnsi="VIC"/>
          <w:sz w:val="20"/>
        </w:rPr>
      </w:pPr>
      <w:r>
        <w:rPr>
          <w:rFonts w:ascii="VIC" w:hAnsi="VIC"/>
          <w:sz w:val="20"/>
        </w:rPr>
        <w:t xml:space="preserve">checking for </w:t>
      </w:r>
      <w:r w:rsidRPr="0099213D">
        <w:rPr>
          <w:rFonts w:ascii="VIC" w:hAnsi="VIC"/>
          <w:sz w:val="20"/>
        </w:rPr>
        <w:t>changes to subcontracting arrangements or</w:t>
      </w:r>
      <w:r>
        <w:rPr>
          <w:rFonts w:ascii="VIC" w:hAnsi="VIC"/>
          <w:sz w:val="20"/>
        </w:rPr>
        <w:t xml:space="preserve"> key</w:t>
      </w:r>
      <w:r w:rsidRPr="0099213D">
        <w:rPr>
          <w:rFonts w:ascii="VIC" w:hAnsi="VIC"/>
          <w:sz w:val="20"/>
        </w:rPr>
        <w:t xml:space="preserve"> </w:t>
      </w:r>
      <w:proofErr w:type="gramStart"/>
      <w:r w:rsidRPr="0099213D">
        <w:rPr>
          <w:rFonts w:ascii="VIC" w:hAnsi="VIC"/>
          <w:sz w:val="20"/>
        </w:rPr>
        <w:t>personnel</w:t>
      </w:r>
      <w:r>
        <w:rPr>
          <w:rFonts w:ascii="VIC" w:hAnsi="VIC"/>
          <w:sz w:val="20"/>
        </w:rPr>
        <w:t>;</w:t>
      </w:r>
      <w:proofErr w:type="gramEnd"/>
    </w:p>
    <w:p w14:paraId="12B7E116" w14:textId="77777777" w:rsidR="00AF7492" w:rsidRPr="00593718" w:rsidRDefault="00AF7492" w:rsidP="00AF7492">
      <w:pPr>
        <w:pStyle w:val="ListParagraph"/>
        <w:numPr>
          <w:ilvl w:val="1"/>
          <w:numId w:val="37"/>
        </w:numPr>
        <w:spacing w:before="0" w:line="259" w:lineRule="auto"/>
        <w:contextualSpacing w:val="0"/>
        <w:rPr>
          <w:rFonts w:ascii="VIC" w:hAnsi="VIC"/>
          <w:sz w:val="20"/>
        </w:rPr>
      </w:pPr>
      <w:r>
        <w:rPr>
          <w:rFonts w:ascii="VIC" w:hAnsi="VIC"/>
          <w:sz w:val="20"/>
        </w:rPr>
        <w:t>routinely engaging with other agencies that are also managing contracts with the same Supplier (this could be the same agencies that assisted with reference checks).</w:t>
      </w:r>
    </w:p>
    <w:p w14:paraId="3342B62D" w14:textId="77777777" w:rsidR="00AF7492" w:rsidRPr="00593718" w:rsidRDefault="00AF7492" w:rsidP="00AF7492">
      <w:pPr>
        <w:pStyle w:val="ListParagraph"/>
        <w:numPr>
          <w:ilvl w:val="0"/>
          <w:numId w:val="37"/>
        </w:numPr>
        <w:spacing w:before="0" w:line="259" w:lineRule="auto"/>
        <w:ind w:left="714" w:hanging="357"/>
        <w:contextualSpacing w:val="0"/>
        <w:rPr>
          <w:rFonts w:ascii="VIC" w:hAnsi="VIC"/>
          <w:sz w:val="20"/>
        </w:rPr>
      </w:pPr>
      <w:r w:rsidRPr="00593718">
        <w:rPr>
          <w:rFonts w:ascii="VIC" w:hAnsi="VIC"/>
          <w:sz w:val="20"/>
        </w:rPr>
        <w:t>consider</w:t>
      </w:r>
      <w:r>
        <w:rPr>
          <w:rFonts w:ascii="VIC" w:hAnsi="VIC"/>
          <w:sz w:val="20"/>
        </w:rPr>
        <w:t xml:space="preserve"> and plan</w:t>
      </w:r>
      <w:r w:rsidRPr="00593718">
        <w:rPr>
          <w:rFonts w:ascii="VIC" w:hAnsi="VIC"/>
          <w:sz w:val="20"/>
        </w:rPr>
        <w:t xml:space="preserve"> how</w:t>
      </w:r>
      <w:r>
        <w:rPr>
          <w:rFonts w:ascii="VIC" w:hAnsi="VIC"/>
          <w:sz w:val="20"/>
        </w:rPr>
        <w:t xml:space="preserve"> to complete compliance</w:t>
      </w:r>
      <w:r w:rsidRPr="00593718">
        <w:rPr>
          <w:rFonts w:ascii="VIC" w:hAnsi="VIC"/>
          <w:sz w:val="20"/>
        </w:rPr>
        <w:t xml:space="preserve"> </w:t>
      </w:r>
      <w:r>
        <w:rPr>
          <w:rFonts w:ascii="VIC" w:hAnsi="VIC"/>
          <w:sz w:val="20"/>
        </w:rPr>
        <w:t>reviews and how to address any findings</w:t>
      </w:r>
    </w:p>
    <w:p w14:paraId="2153A422" w14:textId="77777777" w:rsidR="00AF7492" w:rsidRPr="00366361" w:rsidRDefault="00AF7492" w:rsidP="00AF7492">
      <w:pPr>
        <w:pStyle w:val="ListParagraph"/>
        <w:numPr>
          <w:ilvl w:val="0"/>
          <w:numId w:val="37"/>
        </w:numPr>
        <w:spacing w:before="0" w:line="259" w:lineRule="auto"/>
        <w:ind w:hanging="357"/>
        <w:contextualSpacing w:val="0"/>
        <w:rPr>
          <w:rFonts w:ascii="VIC" w:hAnsi="VIC"/>
          <w:sz w:val="20"/>
        </w:rPr>
      </w:pPr>
      <w:r>
        <w:rPr>
          <w:rFonts w:ascii="VIC" w:hAnsi="VIC"/>
          <w:sz w:val="20"/>
        </w:rPr>
        <w:t xml:space="preserve">if complaints or concerns are raised in relation to a Supplier and their conduct, </w:t>
      </w:r>
      <w:r w:rsidRPr="00366361">
        <w:rPr>
          <w:rFonts w:ascii="VIC" w:hAnsi="VIC"/>
          <w:sz w:val="20"/>
        </w:rPr>
        <w:t xml:space="preserve">follow up with the relevant agency to find out more </w:t>
      </w:r>
      <w:r>
        <w:rPr>
          <w:rFonts w:ascii="VIC" w:hAnsi="VIC"/>
          <w:sz w:val="20"/>
        </w:rPr>
        <w:t>information</w:t>
      </w:r>
    </w:p>
    <w:p w14:paraId="20CC6047" w14:textId="77777777" w:rsidR="00AF7492" w:rsidRPr="00BA4498" w:rsidRDefault="00AF7492" w:rsidP="00AF7492">
      <w:pPr>
        <w:pStyle w:val="ListParagraph"/>
        <w:numPr>
          <w:ilvl w:val="0"/>
          <w:numId w:val="37"/>
        </w:numPr>
        <w:spacing w:before="0" w:line="259" w:lineRule="auto"/>
        <w:ind w:left="714" w:hanging="357"/>
        <w:contextualSpacing w:val="0"/>
      </w:pPr>
      <w:r w:rsidRPr="00593718">
        <w:rPr>
          <w:rFonts w:ascii="VIC" w:hAnsi="VIC"/>
          <w:sz w:val="20"/>
        </w:rPr>
        <w:t xml:space="preserve">keep records of </w:t>
      </w:r>
      <w:r>
        <w:rPr>
          <w:rFonts w:ascii="VIC" w:hAnsi="VIC"/>
          <w:sz w:val="20"/>
        </w:rPr>
        <w:t>the</w:t>
      </w:r>
      <w:r w:rsidRPr="0099213D">
        <w:rPr>
          <w:rFonts w:ascii="VIC" w:hAnsi="VIC"/>
          <w:sz w:val="20"/>
        </w:rPr>
        <w:t xml:space="preserve"> goods, services or works </w:t>
      </w:r>
      <w:r>
        <w:rPr>
          <w:rFonts w:ascii="VIC" w:hAnsi="VIC"/>
          <w:sz w:val="20"/>
        </w:rPr>
        <w:t>delivered</w:t>
      </w:r>
      <w:r w:rsidRPr="00593718">
        <w:rPr>
          <w:rFonts w:ascii="VIC" w:hAnsi="VIC"/>
          <w:sz w:val="20"/>
        </w:rPr>
        <w:t>,</w:t>
      </w:r>
      <w:r>
        <w:rPr>
          <w:rFonts w:ascii="VIC" w:hAnsi="VIC"/>
          <w:sz w:val="20"/>
        </w:rPr>
        <w:t xml:space="preserve"> any</w:t>
      </w:r>
      <w:r w:rsidRPr="00593718">
        <w:rPr>
          <w:rFonts w:ascii="VIC" w:hAnsi="VIC"/>
          <w:sz w:val="20"/>
        </w:rPr>
        <w:t xml:space="preserve"> </w:t>
      </w:r>
      <w:r>
        <w:rPr>
          <w:rFonts w:ascii="VIC" w:hAnsi="VIC"/>
          <w:sz w:val="20"/>
        </w:rPr>
        <w:t>compliance</w:t>
      </w:r>
      <w:r w:rsidRPr="00593718">
        <w:rPr>
          <w:rFonts w:ascii="VIC" w:hAnsi="VIC"/>
          <w:sz w:val="20"/>
        </w:rPr>
        <w:t xml:space="preserve"> concerns</w:t>
      </w:r>
      <w:r>
        <w:rPr>
          <w:rFonts w:ascii="VIC" w:hAnsi="VIC"/>
          <w:sz w:val="20"/>
        </w:rPr>
        <w:t>,</w:t>
      </w:r>
      <w:r w:rsidRPr="00593718">
        <w:rPr>
          <w:rFonts w:ascii="VIC" w:hAnsi="VIC"/>
          <w:sz w:val="20"/>
        </w:rPr>
        <w:t xml:space="preserve"> and actions taken.</w:t>
      </w:r>
    </w:p>
    <w:p w14:paraId="5B9658E9" w14:textId="77777777" w:rsidR="00AF7492" w:rsidRDefault="00AF7492" w:rsidP="00AF7492">
      <w:pPr>
        <w:overflowPunct w:val="0"/>
        <w:autoSpaceDE w:val="0"/>
        <w:autoSpaceDN w:val="0"/>
        <w:adjustRightInd w:val="0"/>
        <w:spacing w:before="240" w:after="60" w:line="240" w:lineRule="auto"/>
        <w:textAlignment w:val="baseline"/>
        <w:rPr>
          <w:rFonts w:ascii="VIC" w:eastAsiaTheme="majorEastAsia" w:hAnsi="VIC" w:cstheme="majorBidi"/>
          <w:b/>
          <w:bCs/>
          <w:color w:val="201547"/>
          <w:spacing w:val="-1"/>
          <w:sz w:val="24"/>
          <w:szCs w:val="24"/>
        </w:rPr>
      </w:pPr>
      <w:r>
        <w:rPr>
          <w:rFonts w:ascii="VIC" w:eastAsiaTheme="majorEastAsia" w:hAnsi="VIC" w:cstheme="majorBidi"/>
          <w:b/>
          <w:bCs/>
          <w:color w:val="201547"/>
          <w:spacing w:val="-1"/>
          <w:sz w:val="24"/>
          <w:szCs w:val="24"/>
        </w:rPr>
        <w:t>Managing</w:t>
      </w:r>
      <w:r w:rsidRPr="001A2281">
        <w:rPr>
          <w:rFonts w:ascii="VIC" w:eastAsiaTheme="majorEastAsia" w:hAnsi="VIC" w:cstheme="majorBidi"/>
          <w:b/>
          <w:bCs/>
          <w:color w:val="201547"/>
          <w:spacing w:val="-1"/>
          <w:sz w:val="24"/>
          <w:szCs w:val="24"/>
        </w:rPr>
        <w:t xml:space="preserve"> existing</w:t>
      </w:r>
      <w:r>
        <w:rPr>
          <w:rFonts w:ascii="VIC" w:eastAsiaTheme="majorEastAsia" w:hAnsi="VIC" w:cstheme="majorBidi"/>
          <w:b/>
          <w:bCs/>
          <w:color w:val="201547"/>
          <w:spacing w:val="-1"/>
          <w:sz w:val="24"/>
          <w:szCs w:val="24"/>
        </w:rPr>
        <w:t xml:space="preserve"> </w:t>
      </w:r>
      <w:r w:rsidRPr="001A2281">
        <w:rPr>
          <w:rFonts w:ascii="VIC" w:eastAsiaTheme="majorEastAsia" w:hAnsi="VIC" w:cstheme="majorBidi"/>
          <w:b/>
          <w:bCs/>
          <w:color w:val="201547"/>
          <w:spacing w:val="-1"/>
          <w:sz w:val="24"/>
          <w:szCs w:val="24"/>
        </w:rPr>
        <w:t xml:space="preserve">contractual arrangements during and after the transitional period </w:t>
      </w:r>
    </w:p>
    <w:p w14:paraId="31DDC9AC" w14:textId="77777777" w:rsidR="00AF7492" w:rsidRPr="00BA4498" w:rsidRDefault="00AF7492" w:rsidP="00AF7492">
      <w:pPr>
        <w:spacing w:before="0" w:line="259" w:lineRule="auto"/>
        <w:rPr>
          <w:rFonts w:ascii="VIC" w:hAnsi="VIC"/>
          <w:sz w:val="20"/>
        </w:rPr>
      </w:pPr>
      <w:r w:rsidRPr="001A2281">
        <w:rPr>
          <w:rFonts w:ascii="VIC" w:hAnsi="VIC"/>
          <w:sz w:val="20"/>
        </w:rPr>
        <w:t xml:space="preserve">The existing Code will continue to apply during the transition period, with the revised Code coming into effect from 1 April 2025. </w:t>
      </w:r>
    </w:p>
    <w:p w14:paraId="248E9BF6" w14:textId="77777777" w:rsidR="00AF7492" w:rsidRPr="00BA4498" w:rsidRDefault="00AF7492" w:rsidP="00AF7492">
      <w:pPr>
        <w:spacing w:before="0" w:line="259" w:lineRule="auto"/>
        <w:rPr>
          <w:rFonts w:ascii="VIC" w:hAnsi="VIC"/>
          <w:sz w:val="20"/>
        </w:rPr>
      </w:pPr>
      <w:r w:rsidRPr="001A2281">
        <w:rPr>
          <w:rFonts w:ascii="VIC" w:hAnsi="VIC"/>
          <w:sz w:val="20"/>
        </w:rPr>
        <w:t xml:space="preserve">From this date, the revised Code will apply to existing and new contracts, but how suppliers comply with it will be guided by the contract terms and conditions used in their contract. </w:t>
      </w:r>
    </w:p>
    <w:p w14:paraId="0E01E2FE" w14:textId="77777777" w:rsidR="00AF7492" w:rsidRPr="001A2281" w:rsidRDefault="00AF7492" w:rsidP="00AF7492">
      <w:pPr>
        <w:spacing w:before="0" w:line="259" w:lineRule="auto"/>
        <w:rPr>
          <w:rFonts w:ascii="VIC" w:hAnsi="VIC"/>
          <w:sz w:val="20"/>
        </w:rPr>
      </w:pPr>
      <w:r w:rsidRPr="001A2281">
        <w:rPr>
          <w:rFonts w:ascii="VIC" w:hAnsi="VIC"/>
          <w:sz w:val="20"/>
        </w:rPr>
        <w:t>Impact on existing and new contracts during and after the transition period is summarised in the table below</w:t>
      </w:r>
      <w:r w:rsidRPr="00BA4498">
        <w:rPr>
          <w:rFonts w:ascii="VIC" w:hAnsi="VIC"/>
          <w:sz w:val="20"/>
        </w:rPr>
        <w:t>:</w:t>
      </w:r>
    </w:p>
    <w:tbl>
      <w:tblPr>
        <w:tblW w:w="0" w:type="auto"/>
        <w:tblInd w:w="-10" w:type="dxa"/>
        <w:tblCellMar>
          <w:left w:w="0" w:type="dxa"/>
          <w:right w:w="0" w:type="dxa"/>
        </w:tblCellMar>
        <w:tblLook w:val="04A0" w:firstRow="1" w:lastRow="0" w:firstColumn="1" w:lastColumn="0" w:noHBand="0" w:noVBand="1"/>
      </w:tblPr>
      <w:tblGrid>
        <w:gridCol w:w="993"/>
        <w:gridCol w:w="2976"/>
        <w:gridCol w:w="2626"/>
        <w:gridCol w:w="2421"/>
      </w:tblGrid>
      <w:tr w:rsidR="00AF7492" w:rsidRPr="00BA4498" w14:paraId="015833F0" w14:textId="77777777" w:rsidTr="00261815">
        <w:tc>
          <w:tcPr>
            <w:tcW w:w="993" w:type="dxa"/>
            <w:tcBorders>
              <w:top w:val="single" w:sz="8" w:space="0" w:color="auto"/>
              <w:left w:val="single" w:sz="8" w:space="0" w:color="auto"/>
              <w:bottom w:val="single" w:sz="8" w:space="0" w:color="auto"/>
              <w:right w:val="single" w:sz="8" w:space="0" w:color="auto"/>
            </w:tcBorders>
            <w:shd w:val="clear" w:color="auto" w:fill="D9D9D6" w:themeFill="background2"/>
          </w:tcPr>
          <w:p w14:paraId="796DEDB5" w14:textId="77777777" w:rsidR="00AF7492" w:rsidRPr="001A2281" w:rsidRDefault="00AF7492" w:rsidP="00261815">
            <w:pPr>
              <w:jc w:val="center"/>
              <w:rPr>
                <w:rFonts w:ascii="VIC" w:hAnsi="VIC" w:cstheme="minorHAnsi"/>
                <w:b/>
                <w:bCs/>
                <w:sz w:val="20"/>
              </w:rPr>
            </w:pPr>
            <w:r>
              <w:rPr>
                <w:rFonts w:ascii="VIC" w:hAnsi="VIC" w:cstheme="minorHAnsi"/>
                <w:b/>
                <w:bCs/>
                <w:sz w:val="20"/>
              </w:rPr>
              <w:t>Scenario</w:t>
            </w:r>
          </w:p>
        </w:tc>
        <w:tc>
          <w:tcPr>
            <w:tcW w:w="2976" w:type="dxa"/>
            <w:tcBorders>
              <w:top w:val="single" w:sz="8" w:space="0" w:color="auto"/>
              <w:left w:val="single" w:sz="8" w:space="0" w:color="auto"/>
              <w:bottom w:val="single" w:sz="8" w:space="0" w:color="auto"/>
              <w:right w:val="single" w:sz="8" w:space="0" w:color="auto"/>
            </w:tcBorders>
            <w:shd w:val="clear" w:color="auto" w:fill="D9D9D6" w:themeFill="background2"/>
            <w:tcMar>
              <w:top w:w="0" w:type="dxa"/>
              <w:left w:w="108" w:type="dxa"/>
              <w:bottom w:w="0" w:type="dxa"/>
              <w:right w:w="108" w:type="dxa"/>
            </w:tcMar>
            <w:hideMark/>
          </w:tcPr>
          <w:p w14:paraId="094524E1" w14:textId="77777777" w:rsidR="00AF7492" w:rsidRPr="001A2281" w:rsidRDefault="00AF7492" w:rsidP="00261815">
            <w:pPr>
              <w:rPr>
                <w:rFonts w:ascii="VIC" w:hAnsi="VIC" w:cstheme="minorHAnsi"/>
                <w:b/>
                <w:bCs/>
                <w:sz w:val="20"/>
              </w:rPr>
            </w:pPr>
            <w:r w:rsidRPr="001A2281">
              <w:rPr>
                <w:rFonts w:ascii="VIC" w:hAnsi="VIC" w:cstheme="minorHAnsi"/>
                <w:b/>
                <w:bCs/>
                <w:sz w:val="20"/>
              </w:rPr>
              <w:t>Nature of contractual obligation for the Code</w:t>
            </w:r>
          </w:p>
        </w:tc>
        <w:tc>
          <w:tcPr>
            <w:tcW w:w="2626" w:type="dxa"/>
            <w:tcBorders>
              <w:top w:val="single" w:sz="8" w:space="0" w:color="auto"/>
              <w:left w:val="nil"/>
              <w:bottom w:val="single" w:sz="8" w:space="0" w:color="auto"/>
              <w:right w:val="single" w:sz="8" w:space="0" w:color="auto"/>
            </w:tcBorders>
            <w:shd w:val="clear" w:color="auto" w:fill="D9D9D6" w:themeFill="background2"/>
            <w:tcMar>
              <w:top w:w="0" w:type="dxa"/>
              <w:left w:w="108" w:type="dxa"/>
              <w:bottom w:w="0" w:type="dxa"/>
              <w:right w:w="108" w:type="dxa"/>
            </w:tcMar>
            <w:hideMark/>
          </w:tcPr>
          <w:p w14:paraId="3CA48369" w14:textId="77777777" w:rsidR="00AF7492" w:rsidRPr="001A2281" w:rsidRDefault="00AF7492" w:rsidP="00261815">
            <w:pPr>
              <w:rPr>
                <w:rFonts w:ascii="VIC" w:hAnsi="VIC" w:cstheme="minorHAnsi"/>
                <w:b/>
                <w:bCs/>
                <w:sz w:val="20"/>
              </w:rPr>
            </w:pPr>
            <w:r w:rsidRPr="001A2281">
              <w:rPr>
                <w:rFonts w:ascii="VIC" w:hAnsi="VIC" w:cstheme="minorHAnsi"/>
                <w:b/>
                <w:bCs/>
                <w:sz w:val="20"/>
              </w:rPr>
              <w:t xml:space="preserve">Transition period </w:t>
            </w:r>
            <w:r w:rsidRPr="009E114D">
              <w:rPr>
                <w:rFonts w:ascii="VIC" w:hAnsi="VIC" w:cstheme="minorHAnsi"/>
                <w:sz w:val="20"/>
              </w:rPr>
              <w:t>– the existing Code applies</w:t>
            </w:r>
          </w:p>
        </w:tc>
        <w:tc>
          <w:tcPr>
            <w:tcW w:w="2421" w:type="dxa"/>
            <w:tcBorders>
              <w:top w:val="single" w:sz="8" w:space="0" w:color="auto"/>
              <w:left w:val="nil"/>
              <w:bottom w:val="single" w:sz="8" w:space="0" w:color="auto"/>
              <w:right w:val="single" w:sz="8" w:space="0" w:color="auto"/>
            </w:tcBorders>
            <w:shd w:val="clear" w:color="auto" w:fill="D9D9D6" w:themeFill="background2"/>
            <w:tcMar>
              <w:top w:w="0" w:type="dxa"/>
              <w:left w:w="108" w:type="dxa"/>
              <w:bottom w:w="0" w:type="dxa"/>
              <w:right w:w="108" w:type="dxa"/>
            </w:tcMar>
            <w:hideMark/>
          </w:tcPr>
          <w:p w14:paraId="0E522B6A" w14:textId="77777777" w:rsidR="00AF7492" w:rsidRPr="001A2281" w:rsidRDefault="00AF7492" w:rsidP="00261815">
            <w:pPr>
              <w:rPr>
                <w:rFonts w:ascii="VIC" w:hAnsi="VIC" w:cstheme="minorHAnsi"/>
                <w:b/>
                <w:bCs/>
                <w:sz w:val="20"/>
              </w:rPr>
            </w:pPr>
            <w:r w:rsidRPr="001A2281">
              <w:rPr>
                <w:rFonts w:ascii="VIC" w:hAnsi="VIC" w:cstheme="minorHAnsi"/>
                <w:b/>
                <w:bCs/>
                <w:sz w:val="20"/>
              </w:rPr>
              <w:t xml:space="preserve">1 April 2025 </w:t>
            </w:r>
            <w:r w:rsidRPr="009E114D">
              <w:rPr>
                <w:rFonts w:ascii="VIC" w:hAnsi="VIC" w:cstheme="minorHAnsi"/>
                <w:sz w:val="20"/>
              </w:rPr>
              <w:t xml:space="preserve">– </w:t>
            </w:r>
            <w:r>
              <w:rPr>
                <w:rFonts w:ascii="VIC" w:hAnsi="VIC" w:cstheme="minorHAnsi"/>
                <w:sz w:val="20"/>
              </w:rPr>
              <w:t xml:space="preserve">the </w:t>
            </w:r>
            <w:r w:rsidRPr="009E114D">
              <w:rPr>
                <w:rFonts w:ascii="VIC" w:hAnsi="VIC" w:cstheme="minorHAnsi"/>
                <w:sz w:val="20"/>
              </w:rPr>
              <w:t>revised Code takes effect</w:t>
            </w:r>
          </w:p>
        </w:tc>
      </w:tr>
      <w:tr w:rsidR="00AF7492" w:rsidRPr="00BA4498" w14:paraId="0BD857C4" w14:textId="77777777" w:rsidTr="00261815">
        <w:trPr>
          <w:trHeight w:val="60"/>
        </w:trPr>
        <w:tc>
          <w:tcPr>
            <w:tcW w:w="993" w:type="dxa"/>
            <w:tcBorders>
              <w:top w:val="nil"/>
              <w:left w:val="single" w:sz="8" w:space="0" w:color="auto"/>
              <w:bottom w:val="single" w:sz="8" w:space="0" w:color="auto"/>
              <w:right w:val="single" w:sz="8" w:space="0" w:color="auto"/>
            </w:tcBorders>
          </w:tcPr>
          <w:p w14:paraId="2FCD3B08" w14:textId="77777777" w:rsidR="00AF7492" w:rsidRPr="009E114D" w:rsidRDefault="00AF7492" w:rsidP="00261815">
            <w:pPr>
              <w:jc w:val="center"/>
              <w:rPr>
                <w:rFonts w:ascii="VIC" w:hAnsi="VIC" w:cstheme="minorHAnsi"/>
                <w:b/>
                <w:bCs/>
                <w:sz w:val="20"/>
              </w:rPr>
            </w:pPr>
            <w:r w:rsidRPr="009E114D">
              <w:rPr>
                <w:rFonts w:ascii="VIC" w:hAnsi="VIC" w:cstheme="minorHAnsi"/>
                <w:b/>
                <w:bCs/>
                <w:sz w:val="20"/>
              </w:rPr>
              <w:t>1</w:t>
            </w:r>
          </w:p>
        </w:tc>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E6843" w14:textId="77777777" w:rsidR="00AF7492" w:rsidRPr="00E869C9" w:rsidRDefault="00AF7492" w:rsidP="00261815">
            <w:pPr>
              <w:rPr>
                <w:rFonts w:ascii="VIC" w:hAnsi="VIC" w:cstheme="minorHAnsi"/>
                <w:sz w:val="20"/>
              </w:rPr>
            </w:pPr>
            <w:r w:rsidRPr="009E114D">
              <w:rPr>
                <w:rFonts w:ascii="VIC" w:hAnsi="VIC" w:cstheme="minorHAnsi"/>
                <w:b/>
                <w:bCs/>
                <w:sz w:val="20"/>
              </w:rPr>
              <w:t>Existing contracts</w:t>
            </w:r>
            <w:r w:rsidRPr="00E869C9">
              <w:rPr>
                <w:rFonts w:ascii="VIC" w:hAnsi="VIC" w:cstheme="minorHAnsi"/>
                <w:sz w:val="20"/>
              </w:rPr>
              <w:t xml:space="preserve"> that require a supplier ‘to aspire to commit’ to the Code, as amended from time to time</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13D2CD30" w14:textId="77777777" w:rsidR="00AF7492" w:rsidRPr="001A2281" w:rsidRDefault="00AF7492" w:rsidP="00261815">
            <w:pPr>
              <w:rPr>
                <w:rFonts w:ascii="VIC" w:hAnsi="VIC" w:cstheme="minorHAnsi"/>
                <w:sz w:val="20"/>
              </w:rPr>
            </w:pPr>
            <w:r w:rsidRPr="009E114D">
              <w:rPr>
                <w:rFonts w:ascii="VIC" w:hAnsi="VIC" w:cstheme="minorHAnsi"/>
                <w:b/>
                <w:bCs/>
                <w:sz w:val="20"/>
              </w:rPr>
              <w:t>No change</w:t>
            </w:r>
            <w:r w:rsidRPr="001A2281">
              <w:rPr>
                <w:rFonts w:ascii="VIC" w:hAnsi="VIC" w:cstheme="minorHAnsi"/>
                <w:sz w:val="20"/>
              </w:rPr>
              <w:t xml:space="preserve"> - Suppliers aspire to commit to the existing Code </w:t>
            </w:r>
          </w:p>
        </w:tc>
        <w:tc>
          <w:tcPr>
            <w:tcW w:w="2421" w:type="dxa"/>
            <w:tcBorders>
              <w:top w:val="nil"/>
              <w:left w:val="nil"/>
              <w:bottom w:val="single" w:sz="8" w:space="0" w:color="auto"/>
              <w:right w:val="single" w:sz="8" w:space="0" w:color="auto"/>
            </w:tcBorders>
            <w:tcMar>
              <w:top w:w="0" w:type="dxa"/>
              <w:left w:w="108" w:type="dxa"/>
              <w:bottom w:w="0" w:type="dxa"/>
              <w:right w:w="108" w:type="dxa"/>
            </w:tcMar>
          </w:tcPr>
          <w:p w14:paraId="19166974" w14:textId="77777777" w:rsidR="00AF7492" w:rsidRPr="001A2281" w:rsidRDefault="00AF7492" w:rsidP="00261815">
            <w:pPr>
              <w:rPr>
                <w:rFonts w:ascii="VIC" w:hAnsi="VIC" w:cstheme="minorHAnsi"/>
                <w:sz w:val="20"/>
              </w:rPr>
            </w:pPr>
            <w:r w:rsidRPr="001A2281">
              <w:rPr>
                <w:rFonts w:ascii="VIC" w:hAnsi="VIC" w:cstheme="minorHAnsi"/>
                <w:sz w:val="20"/>
              </w:rPr>
              <w:t xml:space="preserve">Compliance with the revised Code remains aspirational until the existing contract </w:t>
            </w:r>
            <w:proofErr w:type="gramStart"/>
            <w:r w:rsidRPr="001A2281">
              <w:rPr>
                <w:rFonts w:ascii="VIC" w:hAnsi="VIC" w:cstheme="minorHAnsi"/>
                <w:sz w:val="20"/>
              </w:rPr>
              <w:t>expires</w:t>
            </w:r>
            <w:proofErr w:type="gramEnd"/>
            <w:r w:rsidRPr="001A2281">
              <w:rPr>
                <w:rFonts w:ascii="VIC" w:hAnsi="VIC" w:cstheme="minorHAnsi"/>
                <w:sz w:val="20"/>
              </w:rPr>
              <w:t xml:space="preserve"> or the relevant clause is amended</w:t>
            </w:r>
          </w:p>
        </w:tc>
      </w:tr>
      <w:tr w:rsidR="00AF7492" w:rsidRPr="00BA4498" w14:paraId="185DEBE3" w14:textId="77777777" w:rsidTr="00261815">
        <w:tc>
          <w:tcPr>
            <w:tcW w:w="993" w:type="dxa"/>
            <w:tcBorders>
              <w:top w:val="nil"/>
              <w:left w:val="single" w:sz="8" w:space="0" w:color="auto"/>
              <w:bottom w:val="single" w:sz="8" w:space="0" w:color="auto"/>
              <w:right w:val="single" w:sz="8" w:space="0" w:color="auto"/>
            </w:tcBorders>
          </w:tcPr>
          <w:p w14:paraId="05ABBEC4" w14:textId="77777777" w:rsidR="00AF7492" w:rsidRPr="009E114D" w:rsidRDefault="00AF7492" w:rsidP="00261815">
            <w:pPr>
              <w:jc w:val="center"/>
              <w:rPr>
                <w:rFonts w:ascii="VIC" w:hAnsi="VIC" w:cstheme="minorHAnsi"/>
                <w:b/>
                <w:bCs/>
                <w:sz w:val="20"/>
              </w:rPr>
            </w:pPr>
            <w:r w:rsidRPr="009E114D">
              <w:rPr>
                <w:rFonts w:ascii="VIC" w:hAnsi="VIC" w:cstheme="minorHAnsi"/>
                <w:b/>
                <w:bCs/>
                <w:sz w:val="20"/>
              </w:rPr>
              <w:t>2</w:t>
            </w:r>
          </w:p>
        </w:tc>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22066" w14:textId="77777777" w:rsidR="00AF7492" w:rsidRPr="00E869C9" w:rsidRDefault="00AF7492" w:rsidP="00261815">
            <w:pPr>
              <w:rPr>
                <w:rFonts w:ascii="VIC" w:hAnsi="VIC" w:cstheme="minorHAnsi"/>
                <w:sz w:val="20"/>
              </w:rPr>
            </w:pPr>
            <w:r w:rsidRPr="009E114D">
              <w:rPr>
                <w:rFonts w:ascii="VIC" w:hAnsi="VIC" w:cstheme="minorHAnsi"/>
                <w:b/>
                <w:bCs/>
                <w:sz w:val="20"/>
              </w:rPr>
              <w:t>Existing contracts</w:t>
            </w:r>
            <w:r w:rsidRPr="00E869C9">
              <w:rPr>
                <w:rFonts w:ascii="VIC" w:hAnsi="VIC" w:cstheme="minorHAnsi"/>
                <w:sz w:val="20"/>
              </w:rPr>
              <w:t xml:space="preserve"> that require mandatory compliance with the Code, as amended from time to time </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A61AF90" w14:textId="77777777" w:rsidR="00AF7492" w:rsidRPr="001A2281" w:rsidRDefault="00AF7492" w:rsidP="00261815">
            <w:pPr>
              <w:rPr>
                <w:rFonts w:ascii="VIC" w:hAnsi="VIC" w:cstheme="minorHAnsi"/>
                <w:sz w:val="20"/>
              </w:rPr>
            </w:pPr>
            <w:r w:rsidRPr="009E114D">
              <w:rPr>
                <w:rFonts w:ascii="VIC" w:hAnsi="VIC" w:cstheme="minorHAnsi"/>
                <w:b/>
                <w:bCs/>
                <w:sz w:val="20"/>
              </w:rPr>
              <w:t>No change</w:t>
            </w:r>
            <w:r w:rsidRPr="001A2281">
              <w:rPr>
                <w:rFonts w:ascii="VIC" w:hAnsi="VIC" w:cstheme="minorHAnsi"/>
                <w:sz w:val="20"/>
              </w:rPr>
              <w:t xml:space="preserve"> - Suppliers must comply with the existing Code </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5098FE3B" w14:textId="77777777" w:rsidR="00AF7492" w:rsidRPr="001A2281" w:rsidRDefault="00AF7492" w:rsidP="00261815">
            <w:pPr>
              <w:rPr>
                <w:rFonts w:ascii="VIC" w:hAnsi="VIC" w:cstheme="minorHAnsi"/>
                <w:sz w:val="20"/>
              </w:rPr>
            </w:pPr>
            <w:r w:rsidRPr="001A2281">
              <w:rPr>
                <w:rFonts w:ascii="VIC" w:hAnsi="VIC" w:cstheme="minorHAnsi"/>
                <w:sz w:val="20"/>
              </w:rPr>
              <w:t>Compliance with the revised Code is mandatory</w:t>
            </w:r>
          </w:p>
        </w:tc>
      </w:tr>
      <w:tr w:rsidR="00AF7492" w:rsidRPr="00BA4498" w14:paraId="48CD8F08" w14:textId="77777777" w:rsidTr="00261815">
        <w:tc>
          <w:tcPr>
            <w:tcW w:w="993" w:type="dxa"/>
            <w:tcBorders>
              <w:top w:val="nil"/>
              <w:left w:val="single" w:sz="8" w:space="0" w:color="auto"/>
              <w:bottom w:val="single" w:sz="8" w:space="0" w:color="auto"/>
              <w:right w:val="single" w:sz="8" w:space="0" w:color="auto"/>
            </w:tcBorders>
          </w:tcPr>
          <w:p w14:paraId="662F1DC2" w14:textId="77777777" w:rsidR="00AF7492" w:rsidRPr="009E114D" w:rsidRDefault="00AF7492" w:rsidP="00261815">
            <w:pPr>
              <w:jc w:val="center"/>
              <w:rPr>
                <w:rFonts w:ascii="VIC" w:hAnsi="VIC" w:cstheme="minorHAnsi"/>
                <w:b/>
                <w:bCs/>
                <w:sz w:val="20"/>
              </w:rPr>
            </w:pPr>
            <w:r w:rsidRPr="009E114D">
              <w:rPr>
                <w:rFonts w:ascii="VIC" w:hAnsi="VIC" w:cstheme="minorHAnsi"/>
                <w:b/>
                <w:bCs/>
                <w:sz w:val="20"/>
              </w:rPr>
              <w:t>3</w:t>
            </w:r>
          </w:p>
        </w:tc>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58174" w14:textId="77777777" w:rsidR="00AF7492" w:rsidRPr="00E869C9" w:rsidRDefault="00AF7492" w:rsidP="00261815">
            <w:pPr>
              <w:rPr>
                <w:rFonts w:ascii="VIC" w:hAnsi="VIC" w:cstheme="minorHAnsi"/>
                <w:sz w:val="20"/>
              </w:rPr>
            </w:pPr>
            <w:r w:rsidRPr="009E114D">
              <w:rPr>
                <w:rFonts w:ascii="VIC" w:hAnsi="VIC" w:cstheme="minorHAnsi"/>
                <w:b/>
                <w:bCs/>
                <w:sz w:val="20"/>
              </w:rPr>
              <w:t>New contracts</w:t>
            </w:r>
            <w:r w:rsidRPr="00E869C9">
              <w:rPr>
                <w:rFonts w:ascii="VIC" w:hAnsi="VIC" w:cstheme="minorHAnsi"/>
                <w:sz w:val="20"/>
              </w:rPr>
              <w:t xml:space="preserve"> that include the new standard model clauses </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A942125" w14:textId="77777777" w:rsidR="00AF7492" w:rsidRPr="001A2281" w:rsidRDefault="00AF7492" w:rsidP="00261815">
            <w:pPr>
              <w:rPr>
                <w:rFonts w:ascii="VIC" w:hAnsi="VIC" w:cstheme="minorHAnsi"/>
                <w:sz w:val="20"/>
              </w:rPr>
            </w:pPr>
            <w:r w:rsidRPr="001A2281">
              <w:rPr>
                <w:rFonts w:ascii="VIC" w:hAnsi="VIC" w:cstheme="minorHAnsi"/>
                <w:sz w:val="20"/>
              </w:rPr>
              <w:t xml:space="preserve">Suppliers </w:t>
            </w:r>
            <w:r w:rsidRPr="009E114D">
              <w:rPr>
                <w:rFonts w:ascii="VIC" w:hAnsi="VIC" w:cstheme="minorHAnsi"/>
                <w:b/>
                <w:bCs/>
                <w:sz w:val="20"/>
              </w:rPr>
              <w:t>must comply</w:t>
            </w:r>
            <w:r w:rsidRPr="001A2281">
              <w:rPr>
                <w:rFonts w:ascii="VIC" w:hAnsi="VIC" w:cstheme="minorHAnsi"/>
                <w:sz w:val="20"/>
              </w:rPr>
              <w:t xml:space="preserve"> with the existing Code</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7FC878C1" w14:textId="77777777" w:rsidR="00AF7492" w:rsidRPr="001A2281" w:rsidRDefault="00AF7492" w:rsidP="00261815">
            <w:pPr>
              <w:rPr>
                <w:rFonts w:ascii="VIC" w:hAnsi="VIC" w:cstheme="minorHAnsi"/>
                <w:sz w:val="20"/>
              </w:rPr>
            </w:pPr>
            <w:r w:rsidRPr="001A2281">
              <w:rPr>
                <w:rFonts w:ascii="VIC" w:hAnsi="VIC" w:cstheme="minorHAnsi"/>
                <w:sz w:val="20"/>
              </w:rPr>
              <w:t>Compliance with the revised Code is mandatory</w:t>
            </w:r>
          </w:p>
        </w:tc>
      </w:tr>
    </w:tbl>
    <w:p w14:paraId="10F4F6C2" w14:textId="77777777" w:rsidR="00AF7492" w:rsidRDefault="00AF7492" w:rsidP="00AF7492">
      <w:pPr>
        <w:spacing w:before="60" w:after="60"/>
        <w:jc w:val="both"/>
        <w:rPr>
          <w:rFonts w:ascii="VIC" w:hAnsi="VIC" w:cstheme="minorHAnsi"/>
          <w:sz w:val="20"/>
        </w:rPr>
      </w:pPr>
    </w:p>
    <w:p w14:paraId="20AB2394" w14:textId="77777777" w:rsidR="00AF7492" w:rsidRDefault="00AF7492" w:rsidP="00AF7492">
      <w:pPr>
        <w:spacing w:before="60" w:after="60"/>
        <w:jc w:val="both"/>
        <w:rPr>
          <w:rFonts w:ascii="VIC" w:hAnsi="VIC" w:cstheme="minorHAnsi"/>
          <w:sz w:val="20"/>
        </w:rPr>
      </w:pPr>
      <w:r>
        <w:rPr>
          <w:rFonts w:ascii="VIC" w:hAnsi="VIC" w:cstheme="minorHAnsi"/>
          <w:sz w:val="20"/>
        </w:rPr>
        <w:lastRenderedPageBreak/>
        <w:t>A</w:t>
      </w:r>
      <w:r w:rsidRPr="001A2281">
        <w:rPr>
          <w:rFonts w:ascii="VIC" w:hAnsi="VIC" w:cstheme="minorHAnsi"/>
          <w:sz w:val="20"/>
        </w:rPr>
        <w:t>gencies may wish to obtain legal advice for their own arrangements to assist with transitioning them to the revised Code.</w:t>
      </w:r>
      <w:r>
        <w:rPr>
          <w:rFonts w:ascii="VIC" w:hAnsi="VIC" w:cstheme="minorHAnsi"/>
          <w:sz w:val="20"/>
        </w:rPr>
        <w:t xml:space="preserve"> </w:t>
      </w:r>
    </w:p>
    <w:p w14:paraId="6080B9F5" w14:textId="77777777" w:rsidR="00AF7492" w:rsidRDefault="00AF7492" w:rsidP="00AF7492">
      <w:pPr>
        <w:spacing w:before="60" w:after="60"/>
        <w:jc w:val="both"/>
        <w:rPr>
          <w:rFonts w:ascii="VIC" w:hAnsi="VIC" w:cstheme="minorHAnsi"/>
          <w:sz w:val="20"/>
        </w:rPr>
      </w:pPr>
      <w:r>
        <w:rPr>
          <w:rFonts w:ascii="VIC" w:hAnsi="VIC" w:cstheme="minorHAnsi"/>
          <w:sz w:val="20"/>
        </w:rPr>
        <w:t xml:space="preserve">Agencies may also wish to adopt the new standard model clauses before 1 April 2025 in their procurement contracts.  </w:t>
      </w:r>
    </w:p>
    <w:p w14:paraId="456ADA00" w14:textId="77777777" w:rsidR="00AF7492" w:rsidRPr="009E114D" w:rsidRDefault="00AF7492" w:rsidP="00AF7492">
      <w:pPr>
        <w:overflowPunct w:val="0"/>
        <w:autoSpaceDE w:val="0"/>
        <w:autoSpaceDN w:val="0"/>
        <w:adjustRightInd w:val="0"/>
        <w:spacing w:before="240" w:after="60" w:line="240" w:lineRule="auto"/>
        <w:textAlignment w:val="baseline"/>
        <w:rPr>
          <w:rFonts w:ascii="VIC" w:eastAsiaTheme="majorEastAsia" w:hAnsi="VIC" w:cstheme="majorBidi"/>
          <w:b/>
          <w:bCs/>
          <w:color w:val="201547"/>
          <w:spacing w:val="-1"/>
          <w:sz w:val="24"/>
          <w:szCs w:val="24"/>
        </w:rPr>
      </w:pPr>
      <w:r w:rsidRPr="009E114D">
        <w:rPr>
          <w:rFonts w:ascii="VIC" w:eastAsiaTheme="majorEastAsia" w:hAnsi="VIC" w:cstheme="majorBidi"/>
          <w:b/>
          <w:bCs/>
          <w:color w:val="201547"/>
          <w:spacing w:val="-1"/>
          <w:sz w:val="24"/>
          <w:szCs w:val="24"/>
        </w:rPr>
        <w:t>Purchases under a state purchase contract</w:t>
      </w:r>
      <w:r>
        <w:rPr>
          <w:rFonts w:ascii="VIC" w:eastAsiaTheme="majorEastAsia" w:hAnsi="VIC" w:cstheme="majorBidi"/>
          <w:b/>
          <w:bCs/>
          <w:color w:val="201547"/>
          <w:spacing w:val="-1"/>
          <w:sz w:val="24"/>
          <w:szCs w:val="24"/>
        </w:rPr>
        <w:t xml:space="preserve"> (SPC)</w:t>
      </w:r>
    </w:p>
    <w:p w14:paraId="2F39FE5A" w14:textId="77777777" w:rsidR="00AF7492" w:rsidRPr="002570BB" w:rsidRDefault="00AF7492" w:rsidP="00AF7492">
      <w:pPr>
        <w:spacing w:before="60" w:after="60"/>
        <w:jc w:val="both"/>
        <w:rPr>
          <w:rFonts w:ascii="VIC" w:hAnsi="VIC" w:cstheme="minorHAnsi"/>
          <w:sz w:val="20"/>
        </w:rPr>
      </w:pPr>
      <w:r w:rsidRPr="002570BB">
        <w:rPr>
          <w:rFonts w:ascii="VIC" w:hAnsi="VIC" w:cstheme="minorHAnsi"/>
          <w:sz w:val="20"/>
        </w:rPr>
        <w:t>The relevant category manager</w:t>
      </w:r>
      <w:r>
        <w:rPr>
          <w:rFonts w:ascii="VIC" w:hAnsi="VIC" w:cstheme="minorHAnsi"/>
          <w:sz w:val="20"/>
        </w:rPr>
        <w:t xml:space="preserve"> </w:t>
      </w:r>
      <w:r w:rsidRPr="002570BB">
        <w:rPr>
          <w:rFonts w:ascii="VIC" w:hAnsi="VIC" w:cstheme="minorHAnsi"/>
          <w:sz w:val="20"/>
        </w:rPr>
        <w:t xml:space="preserve">responsible for managing the </w:t>
      </w:r>
      <w:r>
        <w:rPr>
          <w:rFonts w:ascii="VIC" w:hAnsi="VIC" w:cstheme="minorHAnsi"/>
          <w:sz w:val="20"/>
        </w:rPr>
        <w:t>SPC</w:t>
      </w:r>
      <w:r w:rsidRPr="002570BB">
        <w:rPr>
          <w:rFonts w:ascii="VIC" w:hAnsi="VIC" w:cstheme="minorHAnsi"/>
          <w:sz w:val="20"/>
        </w:rPr>
        <w:t xml:space="preserve"> (including panels and registers)</w:t>
      </w:r>
      <w:r>
        <w:rPr>
          <w:rFonts w:ascii="VIC" w:hAnsi="VIC" w:cstheme="minorHAnsi"/>
          <w:sz w:val="20"/>
        </w:rPr>
        <w:t xml:space="preserve"> </w:t>
      </w:r>
      <w:r w:rsidRPr="002570BB">
        <w:rPr>
          <w:rFonts w:ascii="VIC" w:hAnsi="VIC" w:cstheme="minorHAnsi"/>
          <w:sz w:val="20"/>
        </w:rPr>
        <w:t>will implement the Supplier Code of Conduct as part of their contract management responsibilities.</w:t>
      </w:r>
      <w:r>
        <w:rPr>
          <w:rFonts w:ascii="VIC" w:hAnsi="VIC" w:cstheme="minorHAnsi"/>
          <w:sz w:val="20"/>
        </w:rPr>
        <w:t xml:space="preserve"> S</w:t>
      </w:r>
      <w:r w:rsidRPr="002570BB">
        <w:rPr>
          <w:rFonts w:ascii="VIC" w:hAnsi="VIC" w:cstheme="minorHAnsi"/>
          <w:sz w:val="20"/>
        </w:rPr>
        <w:t xml:space="preserve">uppliers </w:t>
      </w:r>
      <w:r>
        <w:rPr>
          <w:rFonts w:ascii="VIC" w:hAnsi="VIC" w:cstheme="minorHAnsi"/>
          <w:sz w:val="20"/>
        </w:rPr>
        <w:t>will commit to the Code once when entering the SPC</w:t>
      </w:r>
      <w:r w:rsidRPr="002570BB">
        <w:rPr>
          <w:rFonts w:ascii="VIC" w:hAnsi="VIC" w:cstheme="minorHAnsi"/>
          <w:sz w:val="20"/>
        </w:rPr>
        <w:t>.</w:t>
      </w:r>
      <w:r>
        <w:rPr>
          <w:rFonts w:ascii="VIC" w:hAnsi="VIC" w:cstheme="minorHAnsi"/>
          <w:sz w:val="20"/>
        </w:rPr>
        <w:t xml:space="preserve"> </w:t>
      </w:r>
    </w:p>
    <w:p w14:paraId="5EDFA00E" w14:textId="77777777" w:rsidR="00AF7492" w:rsidRPr="00593718" w:rsidRDefault="00AF7492" w:rsidP="00AF7492">
      <w:pPr>
        <w:pStyle w:val="Heading1"/>
        <w:spacing w:before="240" w:after="120" w:line="259" w:lineRule="auto"/>
        <w:rPr>
          <w:rFonts w:ascii="VIC" w:hAnsi="VIC"/>
          <w:sz w:val="24"/>
          <w:szCs w:val="24"/>
        </w:rPr>
      </w:pPr>
      <w:r w:rsidRPr="00593718">
        <w:rPr>
          <w:rFonts w:ascii="VIC" w:hAnsi="VIC"/>
          <w:sz w:val="24"/>
          <w:szCs w:val="24"/>
        </w:rPr>
        <w:t>Non-compliance with the Code</w:t>
      </w:r>
    </w:p>
    <w:p w14:paraId="440C1F5D" w14:textId="77777777" w:rsidR="00AF7492" w:rsidRPr="00351AF7" w:rsidRDefault="00AF7492" w:rsidP="00AF7492">
      <w:pPr>
        <w:rPr>
          <w:rFonts w:ascii="VIC" w:hAnsi="VIC" w:cstheme="minorHAnsi"/>
          <w:color w:val="212529"/>
          <w:sz w:val="20"/>
        </w:rPr>
      </w:pPr>
      <w:r w:rsidRPr="00351AF7">
        <w:rPr>
          <w:rFonts w:ascii="VIC" w:hAnsi="VIC" w:cstheme="minorHAnsi"/>
          <w:color w:val="212529"/>
          <w:sz w:val="20"/>
        </w:rPr>
        <w:t xml:space="preserve">A Supplier must immediately contact the relevant agency when </w:t>
      </w:r>
      <w:r>
        <w:rPr>
          <w:rFonts w:ascii="VIC" w:hAnsi="VIC" w:cstheme="minorHAnsi"/>
          <w:color w:val="212529"/>
          <w:sz w:val="20"/>
        </w:rPr>
        <w:t xml:space="preserve">they become aware of </w:t>
      </w:r>
      <w:r w:rsidRPr="00351AF7">
        <w:rPr>
          <w:rFonts w:ascii="VIC" w:hAnsi="VIC" w:cstheme="minorHAnsi"/>
          <w:color w:val="212529"/>
          <w:sz w:val="20"/>
        </w:rPr>
        <w:t xml:space="preserve">an adverse comment or finding about </w:t>
      </w:r>
      <w:r>
        <w:rPr>
          <w:rFonts w:ascii="VIC" w:hAnsi="VIC" w:cstheme="minorHAnsi"/>
          <w:color w:val="212529"/>
          <w:sz w:val="20"/>
        </w:rPr>
        <w:t>the</w:t>
      </w:r>
      <w:r w:rsidRPr="00351AF7">
        <w:rPr>
          <w:rFonts w:ascii="VIC" w:hAnsi="VIC" w:cstheme="minorHAnsi"/>
          <w:color w:val="212529"/>
          <w:sz w:val="20"/>
        </w:rPr>
        <w:t xml:space="preserve"> Supplier by legal or professional bodies that </w:t>
      </w:r>
      <w:r>
        <w:rPr>
          <w:rFonts w:ascii="VIC" w:hAnsi="VIC" w:cstheme="minorHAnsi"/>
          <w:color w:val="212529"/>
          <w:sz w:val="20"/>
        </w:rPr>
        <w:t xml:space="preserve">may </w:t>
      </w:r>
      <w:r w:rsidRPr="00351AF7">
        <w:rPr>
          <w:rFonts w:ascii="VIC" w:hAnsi="VIC" w:cstheme="minorHAnsi"/>
          <w:color w:val="212529"/>
          <w:sz w:val="20"/>
        </w:rPr>
        <w:t>impact the State's:</w:t>
      </w:r>
    </w:p>
    <w:p w14:paraId="201C0A4E" w14:textId="77777777" w:rsidR="00AF7492" w:rsidRPr="00F8740D" w:rsidRDefault="00AF7492" w:rsidP="00AF7492">
      <w:pPr>
        <w:pStyle w:val="ListParagraph"/>
        <w:numPr>
          <w:ilvl w:val="0"/>
          <w:numId w:val="36"/>
        </w:numPr>
        <w:spacing w:before="0" w:line="259" w:lineRule="auto"/>
        <w:ind w:left="714" w:hanging="357"/>
        <w:contextualSpacing w:val="0"/>
        <w:rPr>
          <w:rFonts w:ascii="VIC" w:hAnsi="VIC"/>
          <w:sz w:val="20"/>
        </w:rPr>
      </w:pPr>
      <w:r w:rsidRPr="00F8740D">
        <w:rPr>
          <w:rFonts w:ascii="VIC" w:hAnsi="VIC"/>
          <w:sz w:val="20"/>
        </w:rPr>
        <w:t>reputation; and</w:t>
      </w:r>
    </w:p>
    <w:p w14:paraId="6EC40BCE" w14:textId="77777777" w:rsidR="00AF7492" w:rsidRPr="00F8740D" w:rsidRDefault="00AF7492" w:rsidP="00AF7492">
      <w:pPr>
        <w:pStyle w:val="ListParagraph"/>
        <w:numPr>
          <w:ilvl w:val="0"/>
          <w:numId w:val="36"/>
        </w:numPr>
        <w:spacing w:before="0" w:line="259" w:lineRule="auto"/>
        <w:ind w:left="714" w:hanging="357"/>
        <w:contextualSpacing w:val="0"/>
        <w:rPr>
          <w:rFonts w:ascii="VIC" w:hAnsi="VIC"/>
          <w:sz w:val="20"/>
        </w:rPr>
      </w:pPr>
      <w:r w:rsidRPr="00F8740D">
        <w:rPr>
          <w:rFonts w:ascii="VIC" w:hAnsi="VIC"/>
          <w:sz w:val="20"/>
        </w:rPr>
        <w:t>compliance with law or policy.</w:t>
      </w:r>
    </w:p>
    <w:p w14:paraId="7205C3E3" w14:textId="77777777" w:rsidR="00AF7492" w:rsidRDefault="00AF7492" w:rsidP="00AF7492">
      <w:pPr>
        <w:spacing w:before="0" w:after="60" w:line="259" w:lineRule="auto"/>
        <w:rPr>
          <w:rFonts w:ascii="VIC" w:hAnsi="VIC"/>
          <w:sz w:val="20"/>
        </w:rPr>
      </w:pPr>
      <w:r w:rsidRPr="00593718">
        <w:rPr>
          <w:rFonts w:ascii="VIC" w:hAnsi="VIC"/>
          <w:sz w:val="20"/>
        </w:rPr>
        <w:t xml:space="preserve">The </w:t>
      </w:r>
      <w:r>
        <w:rPr>
          <w:rFonts w:ascii="VIC" w:hAnsi="VIC"/>
          <w:sz w:val="20"/>
        </w:rPr>
        <w:t>a</w:t>
      </w:r>
      <w:r w:rsidRPr="00593718">
        <w:rPr>
          <w:rFonts w:ascii="VIC" w:hAnsi="VIC"/>
          <w:sz w:val="20"/>
        </w:rPr>
        <w:t xml:space="preserve">gency must take appropriate steps to actively address a </w:t>
      </w:r>
      <w:r>
        <w:rPr>
          <w:rFonts w:ascii="VIC" w:hAnsi="VIC"/>
          <w:sz w:val="20"/>
        </w:rPr>
        <w:t>S</w:t>
      </w:r>
      <w:r w:rsidRPr="00593718">
        <w:rPr>
          <w:rFonts w:ascii="VIC" w:hAnsi="VIC"/>
          <w:sz w:val="20"/>
        </w:rPr>
        <w:t xml:space="preserve">upplier’s </w:t>
      </w:r>
      <w:r>
        <w:rPr>
          <w:rFonts w:ascii="VIC" w:hAnsi="VIC"/>
          <w:sz w:val="20"/>
        </w:rPr>
        <w:t>non-compliance with the</w:t>
      </w:r>
      <w:r w:rsidRPr="00593718">
        <w:rPr>
          <w:rFonts w:ascii="VIC" w:hAnsi="VIC"/>
          <w:sz w:val="20"/>
        </w:rPr>
        <w:t xml:space="preserve"> Code based on the seriousness of the breach. </w:t>
      </w:r>
    </w:p>
    <w:p w14:paraId="6238C496" w14:textId="77777777" w:rsidR="00AF7492" w:rsidRDefault="00AF7492" w:rsidP="00AF7492">
      <w:pPr>
        <w:spacing w:before="0" w:after="60" w:line="259" w:lineRule="auto"/>
        <w:rPr>
          <w:rFonts w:ascii="VIC" w:hAnsi="VIC"/>
          <w:sz w:val="20"/>
        </w:rPr>
      </w:pPr>
      <w:r>
        <w:rPr>
          <w:rFonts w:ascii="VIC" w:hAnsi="VIC"/>
          <w:sz w:val="20"/>
        </w:rPr>
        <w:t xml:space="preserve">These steps should be outlined in the standard contractual terms and conditions. </w:t>
      </w:r>
    </w:p>
    <w:p w14:paraId="36DAA8B3" w14:textId="77777777" w:rsidR="00AF7492" w:rsidRDefault="00AF7492" w:rsidP="00AF7492">
      <w:pPr>
        <w:spacing w:before="0" w:after="60" w:line="259" w:lineRule="auto"/>
        <w:rPr>
          <w:rFonts w:ascii="VIC" w:hAnsi="VIC"/>
          <w:sz w:val="20"/>
        </w:rPr>
      </w:pPr>
      <w:r w:rsidRPr="0091186A">
        <w:rPr>
          <w:rFonts w:ascii="VIC" w:hAnsi="VIC"/>
          <w:sz w:val="20"/>
        </w:rPr>
        <w:t>Each case will be assessed on its own facts and circumstances and possible actions can include:</w:t>
      </w:r>
    </w:p>
    <w:p w14:paraId="7D86BEAE" w14:textId="77777777" w:rsidR="00AF7492" w:rsidRDefault="00AF7492" w:rsidP="00AF7492">
      <w:pPr>
        <w:pStyle w:val="ListParagraph"/>
        <w:numPr>
          <w:ilvl w:val="0"/>
          <w:numId w:val="36"/>
        </w:numPr>
        <w:spacing w:before="0" w:after="60" w:line="259" w:lineRule="auto"/>
        <w:rPr>
          <w:rFonts w:ascii="VIC" w:hAnsi="VIC"/>
          <w:sz w:val="20"/>
        </w:rPr>
      </w:pPr>
      <w:r>
        <w:rPr>
          <w:rFonts w:ascii="VIC" w:hAnsi="VIC"/>
          <w:sz w:val="20"/>
        </w:rPr>
        <w:t>a remediation plan; and</w:t>
      </w:r>
    </w:p>
    <w:p w14:paraId="354E0961" w14:textId="77777777" w:rsidR="00AF7492" w:rsidRPr="00F60E99" w:rsidRDefault="00AF7492" w:rsidP="00AF7492">
      <w:pPr>
        <w:pStyle w:val="ListParagraph"/>
        <w:numPr>
          <w:ilvl w:val="0"/>
          <w:numId w:val="36"/>
        </w:numPr>
        <w:spacing w:before="0" w:after="60" w:line="259" w:lineRule="auto"/>
        <w:rPr>
          <w:rFonts w:ascii="VIC" w:hAnsi="VIC"/>
          <w:sz w:val="20"/>
        </w:rPr>
      </w:pPr>
      <w:r>
        <w:rPr>
          <w:rFonts w:ascii="VIC" w:hAnsi="VIC"/>
          <w:sz w:val="20"/>
        </w:rPr>
        <w:t>suspension or termination.</w:t>
      </w:r>
    </w:p>
    <w:p w14:paraId="0DCAA4EF" w14:textId="77777777" w:rsidR="00AF7492" w:rsidRPr="00593718" w:rsidRDefault="00AF7492" w:rsidP="00AF7492">
      <w:pPr>
        <w:rPr>
          <w:rFonts w:ascii="VIC" w:hAnsi="VIC"/>
          <w:b/>
          <w:bCs/>
          <w:sz w:val="20"/>
        </w:rPr>
      </w:pPr>
      <w:r>
        <w:rPr>
          <w:rFonts w:ascii="VIC" w:hAnsi="VIC"/>
          <w:b/>
          <w:bCs/>
          <w:sz w:val="20"/>
        </w:rPr>
        <w:t>R</w:t>
      </w:r>
      <w:r w:rsidRPr="00593718">
        <w:rPr>
          <w:rFonts w:ascii="VIC" w:hAnsi="VIC"/>
          <w:b/>
          <w:bCs/>
          <w:sz w:val="20"/>
        </w:rPr>
        <w:t xml:space="preserve">emediation </w:t>
      </w:r>
      <w:r>
        <w:rPr>
          <w:rFonts w:ascii="VIC" w:hAnsi="VIC"/>
          <w:b/>
          <w:bCs/>
          <w:sz w:val="20"/>
        </w:rPr>
        <w:t>p</w:t>
      </w:r>
      <w:r w:rsidRPr="00593718">
        <w:rPr>
          <w:rFonts w:ascii="VIC" w:hAnsi="VIC"/>
          <w:b/>
          <w:bCs/>
          <w:sz w:val="20"/>
        </w:rPr>
        <w:t>lan</w:t>
      </w:r>
    </w:p>
    <w:p w14:paraId="32261E5F" w14:textId="77777777" w:rsidR="00AF7492" w:rsidRPr="00593718" w:rsidRDefault="00AF7492" w:rsidP="00AF7492">
      <w:pPr>
        <w:spacing w:before="0" w:after="60" w:line="259" w:lineRule="auto"/>
        <w:rPr>
          <w:rFonts w:ascii="VIC" w:hAnsi="VIC"/>
          <w:sz w:val="20"/>
        </w:rPr>
      </w:pPr>
      <w:r w:rsidRPr="00593718">
        <w:rPr>
          <w:rFonts w:ascii="VIC" w:hAnsi="VIC"/>
          <w:sz w:val="20"/>
        </w:rPr>
        <w:t xml:space="preserve">If a </w:t>
      </w:r>
      <w:r>
        <w:rPr>
          <w:rFonts w:ascii="VIC" w:hAnsi="VIC"/>
          <w:sz w:val="20"/>
        </w:rPr>
        <w:t>Supplier</w:t>
      </w:r>
      <w:r w:rsidRPr="00593718">
        <w:rPr>
          <w:rFonts w:ascii="VIC" w:hAnsi="VIC"/>
          <w:sz w:val="20"/>
        </w:rPr>
        <w:t>’s conduct does not meet the required standard</w:t>
      </w:r>
      <w:r>
        <w:rPr>
          <w:rFonts w:ascii="VIC" w:hAnsi="VIC"/>
          <w:sz w:val="20"/>
        </w:rPr>
        <w:t>s set by the Code,</w:t>
      </w:r>
      <w:r w:rsidRPr="00593718">
        <w:rPr>
          <w:rFonts w:ascii="VIC" w:hAnsi="VIC"/>
          <w:sz w:val="20"/>
        </w:rPr>
        <w:t xml:space="preserve"> the </w:t>
      </w:r>
      <w:r>
        <w:rPr>
          <w:rFonts w:ascii="VIC" w:hAnsi="VIC"/>
          <w:sz w:val="20"/>
        </w:rPr>
        <w:t>Supplier</w:t>
      </w:r>
      <w:r w:rsidRPr="00593718">
        <w:rPr>
          <w:rFonts w:ascii="VIC" w:hAnsi="VIC"/>
          <w:sz w:val="20"/>
        </w:rPr>
        <w:t xml:space="preserve"> may be required to develop (or update) a plan to remedy the issue</w:t>
      </w:r>
      <w:r>
        <w:rPr>
          <w:rFonts w:ascii="VIC" w:hAnsi="VIC"/>
          <w:sz w:val="20"/>
        </w:rPr>
        <w:t>s</w:t>
      </w:r>
      <w:r w:rsidRPr="00593718">
        <w:rPr>
          <w:rFonts w:ascii="VIC" w:hAnsi="VIC"/>
          <w:sz w:val="20"/>
        </w:rPr>
        <w:t xml:space="preserve"> under the relevant contract.</w:t>
      </w:r>
    </w:p>
    <w:p w14:paraId="7B67E92A" w14:textId="77777777" w:rsidR="00AF7492" w:rsidRDefault="00AF7492" w:rsidP="00AF7492">
      <w:pPr>
        <w:spacing w:after="60"/>
        <w:rPr>
          <w:rFonts w:ascii="VIC" w:hAnsi="VIC"/>
          <w:sz w:val="20"/>
        </w:rPr>
      </w:pPr>
      <w:r w:rsidRPr="00593718">
        <w:rPr>
          <w:rFonts w:ascii="VIC" w:hAnsi="VIC"/>
          <w:sz w:val="20"/>
        </w:rPr>
        <w:t xml:space="preserve">The </w:t>
      </w:r>
      <w:r>
        <w:rPr>
          <w:rFonts w:ascii="VIC" w:hAnsi="VIC"/>
          <w:sz w:val="20"/>
        </w:rPr>
        <w:t>a</w:t>
      </w:r>
      <w:r w:rsidRPr="00593718">
        <w:rPr>
          <w:rFonts w:ascii="VIC" w:hAnsi="VIC"/>
          <w:sz w:val="20"/>
        </w:rPr>
        <w:t xml:space="preserve">gency must monitor the progress of the </w:t>
      </w:r>
      <w:r>
        <w:rPr>
          <w:rFonts w:ascii="VIC" w:hAnsi="VIC"/>
          <w:sz w:val="20"/>
        </w:rPr>
        <w:t>Supplier</w:t>
      </w:r>
      <w:r w:rsidRPr="00593718">
        <w:rPr>
          <w:rFonts w:ascii="VIC" w:hAnsi="VIC"/>
          <w:sz w:val="20"/>
        </w:rPr>
        <w:t xml:space="preserve"> performance under the plan to remedy the</w:t>
      </w:r>
      <w:r>
        <w:rPr>
          <w:rFonts w:ascii="VIC" w:hAnsi="VIC"/>
          <w:sz w:val="20"/>
        </w:rPr>
        <w:t xml:space="preserve"> issue or </w:t>
      </w:r>
      <w:proofErr w:type="gramStart"/>
      <w:r>
        <w:rPr>
          <w:rFonts w:ascii="VIC" w:hAnsi="VIC"/>
          <w:sz w:val="20"/>
        </w:rPr>
        <w:t>issues, and</w:t>
      </w:r>
      <w:proofErr w:type="gramEnd"/>
      <w:r>
        <w:rPr>
          <w:rFonts w:ascii="VIC" w:hAnsi="VIC"/>
          <w:sz w:val="20"/>
        </w:rPr>
        <w:t xml:space="preserve"> provide support where required</w:t>
      </w:r>
      <w:r w:rsidRPr="00593718">
        <w:rPr>
          <w:rFonts w:ascii="VIC" w:hAnsi="VIC"/>
          <w:sz w:val="20"/>
        </w:rPr>
        <w:t>.</w:t>
      </w:r>
    </w:p>
    <w:p w14:paraId="5C68FB79" w14:textId="77777777" w:rsidR="00AF7492" w:rsidRDefault="00AF7492" w:rsidP="00AF7492">
      <w:pPr>
        <w:spacing w:after="60"/>
        <w:rPr>
          <w:rFonts w:ascii="VIC" w:hAnsi="VIC"/>
          <w:sz w:val="20"/>
        </w:rPr>
      </w:pPr>
      <w:r>
        <w:rPr>
          <w:rFonts w:ascii="VIC" w:hAnsi="VIC"/>
          <w:sz w:val="20"/>
        </w:rPr>
        <w:t>Please note that a</w:t>
      </w:r>
      <w:r w:rsidRPr="00593718">
        <w:rPr>
          <w:rFonts w:ascii="VIC" w:hAnsi="VIC"/>
          <w:sz w:val="20"/>
        </w:rPr>
        <w:t xml:space="preserve"> </w:t>
      </w:r>
      <w:r>
        <w:rPr>
          <w:rFonts w:ascii="VIC" w:hAnsi="VIC"/>
          <w:sz w:val="20"/>
        </w:rPr>
        <w:t>Supplier</w:t>
      </w:r>
      <w:r w:rsidRPr="00593718">
        <w:rPr>
          <w:rFonts w:ascii="VIC" w:hAnsi="VIC"/>
          <w:sz w:val="20"/>
        </w:rPr>
        <w:t xml:space="preserve"> </w:t>
      </w:r>
      <w:r>
        <w:rPr>
          <w:rFonts w:ascii="VIC" w:hAnsi="VIC"/>
          <w:sz w:val="20"/>
        </w:rPr>
        <w:t>that</w:t>
      </w:r>
      <w:r w:rsidRPr="00593718">
        <w:rPr>
          <w:rFonts w:ascii="VIC" w:hAnsi="VIC"/>
          <w:sz w:val="20"/>
        </w:rPr>
        <w:t xml:space="preserve"> has </w:t>
      </w:r>
      <w:r w:rsidRPr="00EA1389">
        <w:rPr>
          <w:rFonts w:ascii="VIC" w:hAnsi="VIC"/>
          <w:sz w:val="20"/>
        </w:rPr>
        <w:t>entered</w:t>
      </w:r>
      <w:r w:rsidRPr="00593718">
        <w:rPr>
          <w:rFonts w:ascii="VIC" w:hAnsi="VIC"/>
          <w:sz w:val="20"/>
        </w:rPr>
        <w:t xml:space="preserve"> a remediation plan can </w:t>
      </w:r>
      <w:r>
        <w:rPr>
          <w:rFonts w:ascii="VIC" w:hAnsi="VIC"/>
          <w:sz w:val="20"/>
        </w:rPr>
        <w:t xml:space="preserve">still </w:t>
      </w:r>
      <w:r w:rsidRPr="00593718">
        <w:rPr>
          <w:rFonts w:ascii="VIC" w:hAnsi="VIC"/>
          <w:sz w:val="20"/>
        </w:rPr>
        <w:t xml:space="preserve">be engaged by other </w:t>
      </w:r>
      <w:r>
        <w:rPr>
          <w:rFonts w:ascii="VIC" w:hAnsi="VIC"/>
          <w:sz w:val="20"/>
        </w:rPr>
        <w:t>agencies.</w:t>
      </w:r>
    </w:p>
    <w:p w14:paraId="42843DAE" w14:textId="77777777" w:rsidR="00AF7492" w:rsidRPr="00593718" w:rsidRDefault="00AF7492" w:rsidP="00AF7492">
      <w:pPr>
        <w:rPr>
          <w:rFonts w:ascii="VIC" w:hAnsi="VIC"/>
          <w:b/>
          <w:bCs/>
          <w:sz w:val="20"/>
        </w:rPr>
      </w:pPr>
      <w:r w:rsidRPr="00593718">
        <w:rPr>
          <w:rFonts w:ascii="VIC" w:hAnsi="VIC"/>
          <w:b/>
          <w:bCs/>
          <w:sz w:val="20"/>
        </w:rPr>
        <w:t xml:space="preserve">Suspension or termination for contractual breaches of the Code </w:t>
      </w:r>
    </w:p>
    <w:p w14:paraId="663F0530" w14:textId="77777777" w:rsidR="00AF7492" w:rsidRPr="00593718" w:rsidRDefault="00AF7492" w:rsidP="00AF7492">
      <w:pPr>
        <w:rPr>
          <w:rFonts w:ascii="VIC" w:hAnsi="VIC"/>
          <w:sz w:val="20"/>
        </w:rPr>
      </w:pPr>
      <w:r w:rsidRPr="00593718">
        <w:rPr>
          <w:rFonts w:ascii="VIC" w:hAnsi="VIC"/>
          <w:sz w:val="20"/>
        </w:rPr>
        <w:t>In serious cases of non-compliance with the Code, an agency may seek to suspend or terminate the contract in accordance with the terms of the contract.</w:t>
      </w:r>
    </w:p>
    <w:p w14:paraId="1AB6FF7F" w14:textId="77777777" w:rsidR="00AF7492" w:rsidRDefault="00AF7492" w:rsidP="00AF7492">
      <w:pPr>
        <w:spacing w:after="240"/>
        <w:rPr>
          <w:rFonts w:ascii="VIC" w:eastAsiaTheme="minorHAnsi" w:hAnsi="VIC"/>
          <w:sz w:val="20"/>
        </w:rPr>
      </w:pPr>
      <w:r w:rsidRPr="00593718">
        <w:rPr>
          <w:rFonts w:ascii="VIC" w:eastAsiaTheme="minorHAnsi" w:hAnsi="VIC"/>
          <w:sz w:val="20"/>
        </w:rPr>
        <w:t>Before considering suspension or termination, agencies must consult with</w:t>
      </w:r>
      <w:r>
        <w:rPr>
          <w:rFonts w:ascii="VIC" w:eastAsiaTheme="minorHAnsi" w:hAnsi="VIC"/>
          <w:sz w:val="20"/>
        </w:rPr>
        <w:t>:</w:t>
      </w:r>
    </w:p>
    <w:p w14:paraId="797464AE" w14:textId="77777777" w:rsidR="00AF7492" w:rsidRDefault="00AF7492" w:rsidP="00AF7492">
      <w:pPr>
        <w:pStyle w:val="ListParagraph"/>
        <w:numPr>
          <w:ilvl w:val="0"/>
          <w:numId w:val="36"/>
        </w:numPr>
        <w:spacing w:before="0" w:line="259" w:lineRule="auto"/>
        <w:ind w:left="714" w:hanging="357"/>
        <w:contextualSpacing w:val="0"/>
        <w:rPr>
          <w:rFonts w:ascii="VIC" w:hAnsi="VIC"/>
          <w:sz w:val="20"/>
        </w:rPr>
      </w:pPr>
      <w:r w:rsidRPr="00406E66">
        <w:rPr>
          <w:rFonts w:ascii="VIC" w:hAnsi="VIC"/>
          <w:sz w:val="20"/>
        </w:rPr>
        <w:t xml:space="preserve">a senior officer such as the </w:t>
      </w:r>
      <w:r>
        <w:rPr>
          <w:rFonts w:ascii="VIC" w:hAnsi="VIC"/>
          <w:sz w:val="20"/>
        </w:rPr>
        <w:t>C</w:t>
      </w:r>
      <w:r w:rsidRPr="00406E66">
        <w:rPr>
          <w:rFonts w:ascii="VIC" w:hAnsi="VIC"/>
          <w:sz w:val="20"/>
        </w:rPr>
        <w:t xml:space="preserve">hief </w:t>
      </w:r>
      <w:r>
        <w:rPr>
          <w:rFonts w:ascii="VIC" w:hAnsi="VIC"/>
          <w:sz w:val="20"/>
        </w:rPr>
        <w:t>P</w:t>
      </w:r>
      <w:r w:rsidRPr="00406E66">
        <w:rPr>
          <w:rFonts w:ascii="VIC" w:hAnsi="VIC"/>
          <w:sz w:val="20"/>
        </w:rPr>
        <w:t xml:space="preserve">rocurement </w:t>
      </w:r>
      <w:proofErr w:type="gramStart"/>
      <w:r>
        <w:rPr>
          <w:rFonts w:ascii="VIC" w:hAnsi="VIC"/>
          <w:sz w:val="20"/>
        </w:rPr>
        <w:t>O</w:t>
      </w:r>
      <w:r w:rsidRPr="00406E66">
        <w:rPr>
          <w:rFonts w:ascii="VIC" w:hAnsi="VIC"/>
          <w:sz w:val="20"/>
        </w:rPr>
        <w:t>fficer</w:t>
      </w:r>
      <w:r>
        <w:rPr>
          <w:rFonts w:ascii="VIC" w:hAnsi="VIC"/>
          <w:sz w:val="20"/>
        </w:rPr>
        <w:t>;</w:t>
      </w:r>
      <w:proofErr w:type="gramEnd"/>
    </w:p>
    <w:p w14:paraId="0147543C" w14:textId="77777777" w:rsidR="00AF7492" w:rsidRDefault="00AF7492" w:rsidP="00AF7492">
      <w:pPr>
        <w:pStyle w:val="ListParagraph"/>
        <w:numPr>
          <w:ilvl w:val="0"/>
          <w:numId w:val="36"/>
        </w:numPr>
        <w:spacing w:before="0" w:line="259" w:lineRule="auto"/>
        <w:ind w:left="714" w:hanging="357"/>
        <w:contextualSpacing w:val="0"/>
        <w:rPr>
          <w:rFonts w:ascii="VIC" w:hAnsi="VIC"/>
          <w:sz w:val="20"/>
        </w:rPr>
      </w:pPr>
      <w:r w:rsidRPr="00406E66">
        <w:rPr>
          <w:rFonts w:ascii="VIC" w:hAnsi="VIC"/>
          <w:sz w:val="20"/>
        </w:rPr>
        <w:t>legal advisors</w:t>
      </w:r>
      <w:r>
        <w:rPr>
          <w:rFonts w:ascii="VIC" w:hAnsi="VIC"/>
          <w:sz w:val="20"/>
        </w:rPr>
        <w:t>;</w:t>
      </w:r>
      <w:r w:rsidRPr="00406E66">
        <w:rPr>
          <w:rFonts w:ascii="VIC" w:hAnsi="VIC"/>
          <w:sz w:val="20"/>
        </w:rPr>
        <w:t xml:space="preserve"> and </w:t>
      </w:r>
    </w:p>
    <w:p w14:paraId="2877405D" w14:textId="77777777" w:rsidR="00AF7492" w:rsidRPr="00406E66" w:rsidRDefault="00AF7492" w:rsidP="00AF7492">
      <w:pPr>
        <w:pStyle w:val="ListParagraph"/>
        <w:numPr>
          <w:ilvl w:val="0"/>
          <w:numId w:val="36"/>
        </w:numPr>
        <w:spacing w:before="0" w:line="259" w:lineRule="auto"/>
        <w:ind w:left="714" w:hanging="357"/>
        <w:contextualSpacing w:val="0"/>
        <w:rPr>
          <w:rFonts w:ascii="VIC" w:hAnsi="VIC"/>
          <w:sz w:val="20"/>
        </w:rPr>
      </w:pPr>
      <w:r w:rsidRPr="00406E66">
        <w:rPr>
          <w:rFonts w:ascii="VIC" w:hAnsi="VIC"/>
          <w:sz w:val="20"/>
        </w:rPr>
        <w:t>relevant stakeholders, including the Department of Government Services.</w:t>
      </w:r>
    </w:p>
    <w:p w14:paraId="01ECFCF7" w14:textId="77777777" w:rsidR="00AF7492" w:rsidRDefault="00AF7492" w:rsidP="00AF7492">
      <w:pPr>
        <w:rPr>
          <w:rFonts w:ascii="VIC" w:hAnsi="VIC"/>
          <w:sz w:val="20"/>
        </w:rPr>
      </w:pPr>
      <w:r w:rsidRPr="00593718">
        <w:rPr>
          <w:rFonts w:ascii="VIC" w:hAnsi="VIC"/>
          <w:sz w:val="20"/>
        </w:rPr>
        <w:t xml:space="preserve">The basis for suspension or termination should be </w:t>
      </w:r>
      <w:r w:rsidRPr="00295355">
        <w:rPr>
          <w:rFonts w:ascii="VIC" w:hAnsi="VIC"/>
          <w:sz w:val="20"/>
        </w:rPr>
        <w:t>documented</w:t>
      </w:r>
      <w:r>
        <w:rPr>
          <w:rFonts w:ascii="VIC" w:hAnsi="VIC"/>
          <w:sz w:val="20"/>
        </w:rPr>
        <w:t>.</w:t>
      </w:r>
    </w:p>
    <w:p w14:paraId="7BB15227" w14:textId="77777777" w:rsidR="00AF7492" w:rsidRDefault="00AF7492" w:rsidP="00AF7492">
      <w:pPr>
        <w:rPr>
          <w:rFonts w:ascii="VIC" w:hAnsi="VIC"/>
          <w:sz w:val="20"/>
        </w:rPr>
      </w:pPr>
      <w:r w:rsidRPr="00593718">
        <w:rPr>
          <w:rFonts w:ascii="VIC" w:eastAsiaTheme="minorHAnsi" w:hAnsi="VIC"/>
          <w:sz w:val="20"/>
        </w:rPr>
        <w:lastRenderedPageBreak/>
        <w:t xml:space="preserve">A lead department is responsible for determining the course of action (including suspension or termination) in </w:t>
      </w:r>
      <w:r w:rsidRPr="00F60E99">
        <w:rPr>
          <w:rFonts w:ascii="VIC" w:hAnsi="VIC"/>
          <w:sz w:val="20"/>
        </w:rPr>
        <w:t xml:space="preserve">response to ethical breaches of </w:t>
      </w:r>
      <w:r>
        <w:rPr>
          <w:rFonts w:ascii="VIC" w:hAnsi="VIC"/>
          <w:sz w:val="20"/>
        </w:rPr>
        <w:t>Supplier</w:t>
      </w:r>
      <w:r w:rsidRPr="00F60E99">
        <w:rPr>
          <w:rFonts w:ascii="VIC" w:hAnsi="VIC"/>
          <w:sz w:val="20"/>
        </w:rPr>
        <w:t>s on a whole of government State Purchase Contract or register.</w:t>
      </w:r>
    </w:p>
    <w:p w14:paraId="5CA99020" w14:textId="77777777" w:rsidR="00AF7492" w:rsidRPr="00593718" w:rsidRDefault="00AF7492" w:rsidP="00AF7492">
      <w:pPr>
        <w:rPr>
          <w:rFonts w:ascii="VIC" w:hAnsi="VIC"/>
          <w:sz w:val="20"/>
        </w:rPr>
      </w:pPr>
      <w:r w:rsidRPr="00593718">
        <w:rPr>
          <w:rFonts w:ascii="VIC" w:hAnsi="VIC"/>
          <w:sz w:val="20"/>
        </w:rPr>
        <w:t>Additional action</w:t>
      </w:r>
      <w:r>
        <w:rPr>
          <w:rFonts w:ascii="VIC" w:hAnsi="VIC"/>
          <w:sz w:val="20"/>
        </w:rPr>
        <w:t>s</w:t>
      </w:r>
      <w:r w:rsidRPr="00593718">
        <w:rPr>
          <w:rFonts w:ascii="VIC" w:hAnsi="VIC"/>
          <w:sz w:val="20"/>
        </w:rPr>
        <w:t xml:space="preserve"> may include:</w:t>
      </w:r>
    </w:p>
    <w:p w14:paraId="700B0ECA" w14:textId="77777777" w:rsidR="00AF7492" w:rsidRPr="00593718" w:rsidRDefault="00AF7492" w:rsidP="00AF7492">
      <w:pPr>
        <w:pStyle w:val="ListParagraph"/>
        <w:numPr>
          <w:ilvl w:val="0"/>
          <w:numId w:val="36"/>
        </w:numPr>
        <w:spacing w:before="0" w:line="259" w:lineRule="auto"/>
        <w:ind w:left="714" w:hanging="357"/>
        <w:contextualSpacing w:val="0"/>
        <w:rPr>
          <w:rFonts w:ascii="VIC" w:hAnsi="VIC"/>
          <w:sz w:val="20"/>
        </w:rPr>
      </w:pPr>
      <w:r w:rsidRPr="00593718">
        <w:rPr>
          <w:rFonts w:ascii="VIC" w:hAnsi="VIC"/>
          <w:sz w:val="20"/>
        </w:rPr>
        <w:t>an application to a court for an injunction with the support of the purchasing agency</w:t>
      </w:r>
      <w:r>
        <w:rPr>
          <w:rFonts w:ascii="VIC" w:hAnsi="VIC"/>
          <w:sz w:val="20"/>
        </w:rPr>
        <w:t>;</w:t>
      </w:r>
      <w:r w:rsidRPr="00593718">
        <w:rPr>
          <w:rFonts w:ascii="VIC" w:hAnsi="VIC"/>
          <w:sz w:val="20"/>
        </w:rPr>
        <w:t xml:space="preserve"> or</w:t>
      </w:r>
    </w:p>
    <w:p w14:paraId="73433C30" w14:textId="77777777" w:rsidR="00AF7492" w:rsidRDefault="00AF7492" w:rsidP="00AF7492">
      <w:pPr>
        <w:pStyle w:val="ListParagraph"/>
        <w:numPr>
          <w:ilvl w:val="0"/>
          <w:numId w:val="36"/>
        </w:numPr>
        <w:spacing w:before="0" w:line="259" w:lineRule="auto"/>
        <w:ind w:left="714" w:hanging="357"/>
        <w:contextualSpacing w:val="0"/>
        <w:rPr>
          <w:rFonts w:ascii="VIC" w:hAnsi="VIC"/>
          <w:sz w:val="20"/>
        </w:rPr>
      </w:pPr>
      <w:r w:rsidRPr="00593718">
        <w:rPr>
          <w:rFonts w:ascii="VIC" w:hAnsi="VIC"/>
          <w:sz w:val="20"/>
        </w:rPr>
        <w:t>referral of the matter to independent review bodies.</w:t>
      </w:r>
    </w:p>
    <w:p w14:paraId="7568F159" w14:textId="77777777" w:rsidR="00AF7492" w:rsidRPr="001A2281" w:rsidRDefault="00AF7492" w:rsidP="00AF7492">
      <w:pPr>
        <w:rPr>
          <w:rFonts w:ascii="VIC" w:hAnsi="VIC"/>
          <w:b/>
          <w:bCs/>
          <w:sz w:val="20"/>
        </w:rPr>
      </w:pPr>
      <w:r>
        <w:rPr>
          <w:rFonts w:ascii="VIC" w:hAnsi="VIC"/>
          <w:b/>
          <w:bCs/>
          <w:sz w:val="20"/>
        </w:rPr>
        <w:t>Emergency procurement flexibility</w:t>
      </w:r>
    </w:p>
    <w:p w14:paraId="55FFE389" w14:textId="77777777" w:rsidR="00AF7492" w:rsidRDefault="00AF7492" w:rsidP="00AF7492">
      <w:pPr>
        <w:rPr>
          <w:rFonts w:ascii="VIC" w:hAnsi="VIC"/>
          <w:sz w:val="20"/>
        </w:rPr>
      </w:pPr>
      <w:r>
        <w:rPr>
          <w:rFonts w:ascii="VIC" w:hAnsi="VIC"/>
          <w:sz w:val="20"/>
        </w:rPr>
        <w:t>Agencies may, at their own discretion, engage with a potentially non-compliant supplier during an emergency. This decision should be informed by:</w:t>
      </w:r>
    </w:p>
    <w:p w14:paraId="54C8D084" w14:textId="77777777" w:rsidR="00AF7492" w:rsidRDefault="00AF7492" w:rsidP="00AF7492">
      <w:pPr>
        <w:pStyle w:val="ListParagraph"/>
        <w:numPr>
          <w:ilvl w:val="0"/>
          <w:numId w:val="39"/>
        </w:numPr>
        <w:spacing w:before="0" w:line="259" w:lineRule="auto"/>
        <w:rPr>
          <w:rFonts w:ascii="VIC" w:hAnsi="VIC"/>
          <w:sz w:val="20"/>
        </w:rPr>
      </w:pPr>
      <w:r w:rsidRPr="001A2281">
        <w:rPr>
          <w:rFonts w:ascii="VIC" w:hAnsi="VIC"/>
          <w:sz w:val="20"/>
        </w:rPr>
        <w:t xml:space="preserve">the nature and severity of the potential supplier </w:t>
      </w:r>
      <w:proofErr w:type="gramStart"/>
      <w:r w:rsidRPr="001A2281">
        <w:rPr>
          <w:rFonts w:ascii="VIC" w:hAnsi="VIC"/>
          <w:sz w:val="20"/>
        </w:rPr>
        <w:t>non-compliance</w:t>
      </w:r>
      <w:r>
        <w:rPr>
          <w:rFonts w:ascii="VIC" w:hAnsi="VIC"/>
          <w:sz w:val="20"/>
        </w:rPr>
        <w:t>;</w:t>
      </w:r>
      <w:proofErr w:type="gramEnd"/>
    </w:p>
    <w:p w14:paraId="36F43850" w14:textId="77777777" w:rsidR="00AF7492" w:rsidRDefault="00AF7492" w:rsidP="00AF7492">
      <w:pPr>
        <w:pStyle w:val="ListParagraph"/>
        <w:numPr>
          <w:ilvl w:val="0"/>
          <w:numId w:val="39"/>
        </w:numPr>
        <w:spacing w:before="0" w:line="259" w:lineRule="auto"/>
        <w:rPr>
          <w:rFonts w:ascii="VIC" w:hAnsi="VIC"/>
          <w:sz w:val="20"/>
        </w:rPr>
      </w:pPr>
      <w:r>
        <w:rPr>
          <w:rFonts w:ascii="VIC" w:hAnsi="VIC"/>
          <w:sz w:val="20"/>
        </w:rPr>
        <w:t xml:space="preserve">the nature and severity of the </w:t>
      </w:r>
      <w:proofErr w:type="gramStart"/>
      <w:r>
        <w:rPr>
          <w:rFonts w:ascii="VIC" w:hAnsi="VIC"/>
          <w:sz w:val="20"/>
        </w:rPr>
        <w:t>emergency;</w:t>
      </w:r>
      <w:proofErr w:type="gramEnd"/>
    </w:p>
    <w:p w14:paraId="52211F2A" w14:textId="77777777" w:rsidR="00AF7492" w:rsidRPr="001A2281" w:rsidRDefault="00AF7492" w:rsidP="00AF7492">
      <w:pPr>
        <w:pStyle w:val="ListParagraph"/>
        <w:numPr>
          <w:ilvl w:val="0"/>
          <w:numId w:val="39"/>
        </w:numPr>
        <w:spacing w:before="0" w:line="259" w:lineRule="auto"/>
        <w:rPr>
          <w:rFonts w:ascii="VIC" w:hAnsi="VIC"/>
          <w:sz w:val="20"/>
        </w:rPr>
      </w:pPr>
      <w:r w:rsidRPr="001A2281">
        <w:rPr>
          <w:rFonts w:ascii="VIC" w:hAnsi="VIC"/>
          <w:sz w:val="20"/>
        </w:rPr>
        <w:t>risk assessment</w:t>
      </w:r>
      <w:r>
        <w:rPr>
          <w:rFonts w:ascii="VIC" w:hAnsi="VIC"/>
          <w:sz w:val="20"/>
        </w:rPr>
        <w:t xml:space="preserve">s and </w:t>
      </w:r>
      <w:r w:rsidRPr="001A2281">
        <w:rPr>
          <w:rFonts w:ascii="VIC" w:hAnsi="VIC"/>
          <w:sz w:val="20"/>
        </w:rPr>
        <w:t>legal advice; and</w:t>
      </w:r>
    </w:p>
    <w:p w14:paraId="5BB580BF" w14:textId="77777777" w:rsidR="00AF7492" w:rsidRDefault="00AF7492" w:rsidP="00AF7492">
      <w:pPr>
        <w:pStyle w:val="ListParagraph"/>
        <w:numPr>
          <w:ilvl w:val="0"/>
          <w:numId w:val="39"/>
        </w:numPr>
        <w:spacing w:before="0" w:line="259" w:lineRule="auto"/>
        <w:rPr>
          <w:rFonts w:ascii="VIC" w:hAnsi="VIC"/>
          <w:sz w:val="20"/>
        </w:rPr>
      </w:pPr>
      <w:r>
        <w:rPr>
          <w:rFonts w:ascii="VIC" w:hAnsi="VIC"/>
          <w:sz w:val="20"/>
        </w:rPr>
        <w:t xml:space="preserve">the agency’s emergency procurement plan. </w:t>
      </w:r>
    </w:p>
    <w:p w14:paraId="5D190E34" w14:textId="77777777" w:rsidR="00AF7492" w:rsidRPr="001A2281" w:rsidRDefault="00AF7492" w:rsidP="00AF7492">
      <w:pPr>
        <w:rPr>
          <w:rFonts w:ascii="VIC" w:hAnsi="VIC"/>
          <w:b/>
          <w:bCs/>
          <w:sz w:val="20"/>
        </w:rPr>
      </w:pPr>
      <w:r>
        <w:rPr>
          <w:rFonts w:ascii="VIC" w:hAnsi="VIC"/>
          <w:b/>
          <w:bCs/>
          <w:sz w:val="20"/>
        </w:rPr>
        <w:t>R</w:t>
      </w:r>
      <w:r w:rsidRPr="001A2281">
        <w:rPr>
          <w:rFonts w:ascii="VIC" w:hAnsi="VIC"/>
          <w:b/>
          <w:bCs/>
          <w:sz w:val="20"/>
        </w:rPr>
        <w:t xml:space="preserve">eporting of non-compliance </w:t>
      </w:r>
    </w:p>
    <w:p w14:paraId="2542D388" w14:textId="77777777" w:rsidR="00AF7492" w:rsidRPr="001A2281" w:rsidRDefault="00AF7492" w:rsidP="00AF7492">
      <w:pPr>
        <w:rPr>
          <w:rFonts w:ascii="VIC" w:hAnsi="VIC"/>
          <w:sz w:val="20"/>
        </w:rPr>
      </w:pPr>
      <w:r>
        <w:rPr>
          <w:rFonts w:ascii="VIC" w:hAnsi="VIC"/>
          <w:sz w:val="20"/>
        </w:rPr>
        <w:t>Agencies should continue to report on supplier non-compliance with the Code using their existing approaches for reporting contract performance issues identified during contract management.</w:t>
      </w:r>
    </w:p>
    <w:p w14:paraId="0FB9DECD" w14:textId="77777777" w:rsidR="00AF7492" w:rsidRPr="00593718" w:rsidRDefault="00AF7492" w:rsidP="00AF7492">
      <w:pPr>
        <w:pStyle w:val="Heading1"/>
        <w:spacing w:before="240" w:after="120" w:line="259" w:lineRule="auto"/>
        <w:rPr>
          <w:rFonts w:ascii="VIC" w:hAnsi="VIC"/>
          <w:sz w:val="24"/>
          <w:szCs w:val="24"/>
        </w:rPr>
      </w:pPr>
      <w:bookmarkStart w:id="3" w:name="_Hlk170998771"/>
      <w:r w:rsidRPr="00593718">
        <w:rPr>
          <w:rFonts w:ascii="VIC" w:hAnsi="VIC"/>
          <w:sz w:val="24"/>
          <w:szCs w:val="24"/>
        </w:rPr>
        <w:t xml:space="preserve">Supporting documents </w:t>
      </w:r>
    </w:p>
    <w:bookmarkEnd w:id="3"/>
    <w:p w14:paraId="68A52281" w14:textId="77777777" w:rsidR="00AF7492" w:rsidRPr="00593718" w:rsidRDefault="00AF7492" w:rsidP="00AF7492">
      <w:pPr>
        <w:spacing w:before="0" w:after="60" w:line="259" w:lineRule="auto"/>
        <w:rPr>
          <w:rFonts w:ascii="VIC" w:hAnsi="VIC"/>
          <w:sz w:val="20"/>
        </w:rPr>
      </w:pPr>
      <w:r w:rsidRPr="00593718">
        <w:rPr>
          <w:rFonts w:ascii="VIC" w:hAnsi="VIC"/>
          <w:sz w:val="20"/>
        </w:rPr>
        <w:t xml:space="preserve">The following documents support </w:t>
      </w:r>
      <w:r>
        <w:rPr>
          <w:rFonts w:ascii="VIC" w:hAnsi="VIC"/>
          <w:sz w:val="20"/>
        </w:rPr>
        <w:t>a</w:t>
      </w:r>
      <w:r w:rsidRPr="00593718">
        <w:rPr>
          <w:rFonts w:ascii="VIC" w:hAnsi="VIC"/>
          <w:sz w:val="20"/>
        </w:rPr>
        <w:t>gencies when they implement the Code:</w:t>
      </w:r>
    </w:p>
    <w:p w14:paraId="2229AC5F" w14:textId="77777777" w:rsidR="00AF7492" w:rsidRPr="00593718" w:rsidRDefault="00AF7492" w:rsidP="00AF7492">
      <w:pPr>
        <w:pStyle w:val="ListParagraph"/>
        <w:numPr>
          <w:ilvl w:val="0"/>
          <w:numId w:val="38"/>
        </w:numPr>
        <w:spacing w:before="0" w:after="160" w:line="259" w:lineRule="auto"/>
        <w:rPr>
          <w:rFonts w:ascii="VIC" w:hAnsi="VIC"/>
          <w:sz w:val="20"/>
        </w:rPr>
      </w:pPr>
      <w:r w:rsidRPr="00593718">
        <w:rPr>
          <w:rFonts w:ascii="VIC" w:hAnsi="VIC"/>
          <w:sz w:val="20"/>
        </w:rPr>
        <w:t>Supplier Code of Conduct</w:t>
      </w:r>
    </w:p>
    <w:p w14:paraId="33C67581" w14:textId="77777777" w:rsidR="00AF7492" w:rsidRPr="00593718" w:rsidRDefault="00AF7492" w:rsidP="00AF7492">
      <w:pPr>
        <w:pStyle w:val="ListParagraph"/>
        <w:numPr>
          <w:ilvl w:val="0"/>
          <w:numId w:val="38"/>
        </w:numPr>
        <w:spacing w:before="0" w:after="160" w:line="259" w:lineRule="auto"/>
        <w:rPr>
          <w:rFonts w:ascii="VIC" w:hAnsi="VIC"/>
          <w:sz w:val="20"/>
        </w:rPr>
      </w:pPr>
      <w:r w:rsidRPr="00593718">
        <w:rPr>
          <w:rFonts w:ascii="VIC" w:hAnsi="VIC"/>
          <w:sz w:val="20"/>
        </w:rPr>
        <w:t>Model clauses for tendering and contracts for Supplier Code of Conduct</w:t>
      </w:r>
      <w:r>
        <w:rPr>
          <w:rFonts w:ascii="VIC" w:hAnsi="VIC"/>
          <w:sz w:val="20"/>
        </w:rPr>
        <w:t>.</w:t>
      </w:r>
    </w:p>
    <w:p w14:paraId="6A1BA4EE" w14:textId="77777777" w:rsidR="007F1BA7" w:rsidRPr="007F1BA7" w:rsidRDefault="007F1BA7" w:rsidP="0092057D">
      <w:pPr>
        <w:rPr>
          <w:lang w:eastAsia="en-US"/>
        </w:rPr>
      </w:pPr>
    </w:p>
    <w:p w14:paraId="41931E4B" w14:textId="77777777" w:rsidR="00E14C9A" w:rsidRPr="007F1BA7" w:rsidRDefault="00E14C9A" w:rsidP="0092057D">
      <w:pPr>
        <w:rPr>
          <w:lang w:eastAsia="en-US"/>
        </w:rPr>
      </w:pPr>
    </w:p>
    <w:p w14:paraId="43FE094C" w14:textId="77777777" w:rsidR="007F1BA7" w:rsidRDefault="007F1BA7" w:rsidP="0092057D">
      <w:pPr>
        <w:rPr>
          <w:lang w:eastAsia="en-US"/>
        </w:rPr>
      </w:pPr>
    </w:p>
    <w:p w14:paraId="03B79197" w14:textId="64D00492" w:rsidR="007F1BA7" w:rsidRPr="008452D6" w:rsidRDefault="00655AEA" w:rsidP="0092057D">
      <w:pPr>
        <w:rPr>
          <w:rFonts w:ascii="VIC" w:hAnsi="VIC"/>
        </w:rPr>
      </w:pPr>
      <w:r w:rsidRPr="008452D6">
        <w:rPr>
          <w:rFonts w:ascii="VIC" w:hAnsi="VIC"/>
        </w:rPr>
        <w:t xml:space="preserve">© </w:t>
      </w:r>
      <w:r w:rsidR="007F1BA7" w:rsidRPr="008452D6">
        <w:rPr>
          <w:rFonts w:ascii="VIC" w:hAnsi="VIC"/>
        </w:rPr>
        <w:t xml:space="preserve">State of Victoria </w:t>
      </w:r>
      <w:r w:rsidR="00137EA8" w:rsidRPr="008452D6">
        <w:rPr>
          <w:rFonts w:ascii="VIC" w:hAnsi="VIC"/>
        </w:rPr>
        <w:t>202</w:t>
      </w:r>
      <w:r w:rsidR="00D376C3" w:rsidRPr="008452D6">
        <w:rPr>
          <w:rFonts w:ascii="VIC" w:hAnsi="VIC"/>
        </w:rPr>
        <w:t>5</w:t>
      </w:r>
      <w:r w:rsidRPr="008452D6">
        <w:rPr>
          <w:rFonts w:ascii="VIC" w:hAnsi="VIC"/>
        </w:rPr>
        <w:t xml:space="preserve"> (</w:t>
      </w:r>
      <w:r w:rsidR="00D376C3" w:rsidRPr="008452D6">
        <w:rPr>
          <w:rFonts w:ascii="VIC" w:hAnsi="VIC"/>
        </w:rPr>
        <w:t>Department of Government Services</w:t>
      </w:r>
      <w:r w:rsidR="00D32372" w:rsidRPr="008452D6">
        <w:rPr>
          <w:rFonts w:ascii="VIC" w:hAnsi="VIC"/>
        </w:rPr>
        <w:t>)</w:t>
      </w:r>
    </w:p>
    <w:p w14:paraId="3458ED54" w14:textId="77777777" w:rsidR="007F1BA7" w:rsidRPr="008452D6" w:rsidRDefault="007F1BA7" w:rsidP="0092057D">
      <w:pPr>
        <w:rPr>
          <w:rFonts w:ascii="VIC" w:hAnsi="VIC"/>
        </w:rPr>
      </w:pPr>
      <w:r w:rsidRPr="008452D6">
        <w:rPr>
          <w:rFonts w:ascii="VIC" w:hAnsi="VIC"/>
          <w:noProof/>
        </w:rPr>
        <w:drawing>
          <wp:inline distT="0" distB="0" distL="0" distR="0" wp14:anchorId="096C0420" wp14:editId="0FE6F893">
            <wp:extent cx="1117460" cy="390972"/>
            <wp:effectExtent l="0" t="0" r="6985" b="9525"/>
            <wp:docPr id="2" name="Picture 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52D6">
        <w:rPr>
          <w:rFonts w:ascii="VIC" w:hAnsi="VIC"/>
        </w:rPr>
        <w:t xml:space="preserve"> </w:t>
      </w:r>
    </w:p>
    <w:p w14:paraId="52956E14" w14:textId="77777777" w:rsidR="007F1BA7" w:rsidRPr="008452D6" w:rsidRDefault="007F1BA7" w:rsidP="0092057D">
      <w:pPr>
        <w:rPr>
          <w:rFonts w:ascii="VIC" w:hAnsi="VIC"/>
        </w:rPr>
      </w:pPr>
      <w:r w:rsidRPr="008452D6">
        <w:rPr>
          <w:rFonts w:ascii="VIC" w:hAnsi="VIC"/>
        </w:rPr>
        <w:t xml:space="preserve">This work is licensed under a </w:t>
      </w:r>
      <w:hyperlink r:id="rId16" w:history="1">
        <w:r w:rsidRPr="008452D6">
          <w:rPr>
            <w:rStyle w:val="Hyperlink"/>
            <w:rFonts w:ascii="VIC" w:hAnsi="VIC"/>
          </w:rPr>
          <w:t>Creative Commons Attribution 4.0 licence</w:t>
        </w:r>
      </w:hyperlink>
      <w:r w:rsidRPr="008452D6">
        <w:rPr>
          <w:rFonts w:ascii="VIC" w:hAnsi="VIC"/>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9ACE8CE" w14:textId="12BC4FA9" w:rsidR="00EB0A46" w:rsidRPr="008452D6" w:rsidRDefault="007F1BA7" w:rsidP="0092057D">
      <w:pPr>
        <w:rPr>
          <w:rFonts w:ascii="VIC" w:hAnsi="VIC"/>
          <w:color w:val="660B68"/>
        </w:rPr>
      </w:pPr>
      <w:r w:rsidRPr="008452D6">
        <w:rPr>
          <w:rFonts w:ascii="VIC" w:hAnsi="VIC"/>
        </w:rPr>
        <w:t xml:space="preserve">Copyright queries may be directed to </w:t>
      </w:r>
      <w:hyperlink r:id="rId17" w:history="1">
        <w:r w:rsidR="00333AD7" w:rsidRPr="00933EE7">
          <w:rPr>
            <w:rStyle w:val="Hyperlink"/>
            <w:rFonts w:ascii="VIC" w:hAnsi="VIC"/>
          </w:rPr>
          <w:t>IPpolicy@dgs.vic.gov.au</w:t>
        </w:r>
      </w:hyperlink>
    </w:p>
    <w:sectPr w:rsidR="00EB0A46" w:rsidRPr="008452D6" w:rsidSect="0092057D">
      <w:headerReference w:type="default" r:id="rId18"/>
      <w:footerReference w:type="default" r:id="rId19"/>
      <w:headerReference w:type="first" r:id="rId20"/>
      <w:footerReference w:type="first" r:id="rId21"/>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E1DE1" w14:textId="77777777" w:rsidR="00DF6A4D" w:rsidRDefault="00DF6A4D" w:rsidP="0092057D">
      <w:r>
        <w:separator/>
      </w:r>
    </w:p>
    <w:p w14:paraId="5A5CE587" w14:textId="77777777" w:rsidR="00DF6A4D" w:rsidRDefault="00DF6A4D" w:rsidP="0092057D"/>
  </w:endnote>
  <w:endnote w:type="continuationSeparator" w:id="0">
    <w:p w14:paraId="433CD47D" w14:textId="77777777" w:rsidR="00DF6A4D" w:rsidRDefault="00DF6A4D" w:rsidP="0092057D">
      <w:r>
        <w:continuationSeparator/>
      </w:r>
    </w:p>
    <w:p w14:paraId="0FB090EF" w14:textId="77777777" w:rsidR="00DF6A4D" w:rsidRDefault="00DF6A4D"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7B22" w14:textId="0588942A" w:rsidR="00655AEA" w:rsidRPr="00DA7C45" w:rsidRDefault="000340AC" w:rsidP="00E074C6">
    <w:pPr>
      <w:pStyle w:val="Footer"/>
      <w:tabs>
        <w:tab w:val="clear" w:pos="8220"/>
        <w:tab w:val="right" w:pos="9741"/>
      </w:tabs>
      <w:jc w:val="left"/>
      <w:rPr>
        <w:rFonts w:ascii="VIC" w:hAnsi="VIC"/>
        <w:sz w:val="16"/>
        <w:szCs w:val="16"/>
      </w:rPr>
    </w:pPr>
    <w:r w:rsidRPr="00DA7C45">
      <w:rPr>
        <w:rFonts w:ascii="VIC" w:hAnsi="VIC"/>
        <w:sz w:val="16"/>
        <w:szCs w:val="16"/>
      </w:rPr>
      <w:t>Department of Government Services</w:t>
    </w:r>
  </w:p>
  <w:p w14:paraId="392990C8" w14:textId="677EB7F1" w:rsidR="00E074C6" w:rsidRPr="008452D6" w:rsidRDefault="00000000" w:rsidP="00E074C6">
    <w:pPr>
      <w:pStyle w:val="Footer"/>
      <w:tabs>
        <w:tab w:val="clear" w:pos="8220"/>
        <w:tab w:val="right" w:pos="9741"/>
      </w:tabs>
      <w:jc w:val="left"/>
      <w:rPr>
        <w:rFonts w:ascii="VIC" w:hAnsi="VIC"/>
      </w:rPr>
    </w:pPr>
    <w:sdt>
      <w:sdtPr>
        <w:rPr>
          <w:rFonts w:ascii="VIC" w:hAnsi="VIC"/>
          <w:sz w:val="16"/>
          <w:szCs w:val="16"/>
        </w:rPr>
        <w:id w:val="1961605112"/>
        <w:docPartObj>
          <w:docPartGallery w:val="Page Numbers (Bottom of Page)"/>
          <w:docPartUnique/>
        </w:docPartObj>
      </w:sdtPr>
      <w:sdtEndPr>
        <w:rPr>
          <w:sz w:val="20"/>
          <w:szCs w:val="22"/>
        </w:rPr>
      </w:sdtEndPr>
      <w:sdtContent>
        <w:sdt>
          <w:sdtPr>
            <w:rPr>
              <w:rFonts w:ascii="VIC" w:hAnsi="VIC"/>
              <w:sz w:val="16"/>
              <w:szCs w:val="16"/>
            </w:rPr>
            <w:id w:val="130982214"/>
            <w:docPartObj>
              <w:docPartGallery w:val="Page Numbers (Top of Page)"/>
              <w:docPartUnique/>
            </w:docPartObj>
          </w:sdtPr>
          <w:sdtContent>
            <w:r w:rsidR="000340AC" w:rsidRPr="00DA7C45">
              <w:rPr>
                <w:rFonts w:ascii="VIC" w:hAnsi="VIC"/>
                <w:sz w:val="16"/>
                <w:szCs w:val="16"/>
              </w:rPr>
              <w:t>January 2025</w:t>
            </w:r>
            <w:r w:rsidR="00E074C6" w:rsidRPr="00DA7C45">
              <w:rPr>
                <w:rFonts w:ascii="VIC" w:hAnsi="VIC"/>
                <w:sz w:val="16"/>
                <w:szCs w:val="16"/>
              </w:rPr>
              <w:tab/>
              <w:t xml:space="preserve">Page </w:t>
            </w:r>
            <w:r w:rsidR="00E074C6" w:rsidRPr="00DA7C45">
              <w:rPr>
                <w:rFonts w:ascii="VIC" w:hAnsi="VIC"/>
                <w:bCs/>
                <w:sz w:val="16"/>
                <w:szCs w:val="16"/>
              </w:rPr>
              <w:fldChar w:fldCharType="begin"/>
            </w:r>
            <w:r w:rsidR="00E074C6" w:rsidRPr="00DA7C45">
              <w:rPr>
                <w:rFonts w:ascii="VIC" w:hAnsi="VIC"/>
                <w:bCs/>
                <w:sz w:val="16"/>
                <w:szCs w:val="16"/>
              </w:rPr>
              <w:instrText xml:space="preserve"> PAGE </w:instrText>
            </w:r>
            <w:r w:rsidR="00E074C6" w:rsidRPr="00DA7C45">
              <w:rPr>
                <w:rFonts w:ascii="VIC" w:hAnsi="VIC"/>
                <w:bCs/>
                <w:sz w:val="16"/>
                <w:szCs w:val="16"/>
              </w:rPr>
              <w:fldChar w:fldCharType="separate"/>
            </w:r>
            <w:r w:rsidR="00E074C6" w:rsidRPr="00DA7C45">
              <w:rPr>
                <w:rFonts w:ascii="VIC" w:hAnsi="VIC"/>
                <w:bCs/>
                <w:sz w:val="16"/>
                <w:szCs w:val="16"/>
              </w:rPr>
              <w:t>2</w:t>
            </w:r>
            <w:r w:rsidR="00E074C6" w:rsidRPr="00DA7C45">
              <w:rPr>
                <w:rFonts w:ascii="VIC" w:hAnsi="VIC"/>
                <w:bCs/>
                <w:sz w:val="16"/>
                <w:szCs w:val="16"/>
              </w:rPr>
              <w:fldChar w:fldCharType="end"/>
            </w:r>
            <w:r w:rsidR="00E074C6" w:rsidRPr="00DA7C45">
              <w:rPr>
                <w:rFonts w:ascii="VIC" w:hAnsi="VIC"/>
                <w:sz w:val="16"/>
                <w:szCs w:val="16"/>
              </w:rPr>
              <w:t xml:space="preserve"> of </w:t>
            </w:r>
            <w:r w:rsidR="00E074C6" w:rsidRPr="00DA7C45">
              <w:rPr>
                <w:rFonts w:ascii="VIC" w:hAnsi="VIC"/>
                <w:bCs/>
                <w:sz w:val="16"/>
                <w:szCs w:val="16"/>
              </w:rPr>
              <w:fldChar w:fldCharType="begin"/>
            </w:r>
            <w:r w:rsidR="00E074C6" w:rsidRPr="00DA7C45">
              <w:rPr>
                <w:rFonts w:ascii="VIC" w:hAnsi="VIC"/>
                <w:bCs/>
                <w:sz w:val="16"/>
                <w:szCs w:val="16"/>
              </w:rPr>
              <w:instrText xml:space="preserve"> NUMPAGES  </w:instrText>
            </w:r>
            <w:r w:rsidR="00E074C6" w:rsidRPr="00DA7C45">
              <w:rPr>
                <w:rFonts w:ascii="VIC" w:hAnsi="VIC"/>
                <w:bCs/>
                <w:sz w:val="16"/>
                <w:szCs w:val="16"/>
              </w:rPr>
              <w:fldChar w:fldCharType="separate"/>
            </w:r>
            <w:r w:rsidR="00E074C6" w:rsidRPr="00DA7C45">
              <w:rPr>
                <w:rFonts w:ascii="VIC" w:hAnsi="VIC"/>
                <w:bCs/>
                <w:sz w:val="16"/>
                <w:szCs w:val="16"/>
              </w:rPr>
              <w:t>2</w:t>
            </w:r>
            <w:r w:rsidR="00E074C6" w:rsidRPr="00DA7C45">
              <w:rPr>
                <w:rFonts w:ascii="VIC" w:hAnsi="VIC"/>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60E5" w14:textId="77777777" w:rsidR="00EA2773" w:rsidRDefault="003A7B94" w:rsidP="003C0F49">
    <w:pPr>
      <w:pStyle w:val="Footer"/>
    </w:pPr>
    <w:r>
      <mc:AlternateContent>
        <mc:Choice Requires="wps">
          <w:drawing>
            <wp:anchor distT="0" distB="0" distL="114300" distR="114300" simplePos="0" relativeHeight="251659264" behindDoc="0" locked="0" layoutInCell="0" allowOverlap="1" wp14:anchorId="36FD4E30" wp14:editId="113DA3E0">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26B58" w14:textId="77777777" w:rsidR="003A7B94" w:rsidRPr="003A7B94" w:rsidRDefault="003A7B94"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FD4E30" id="_x0000_t202" coordsize="21600,21600" o:spt="202" path="m,l,21600r21600,l21600,xe">
              <v:stroke joinstyle="miter"/>
              <v:path gradientshapeok="t" o:connecttype="rect"/>
            </v:shapetype>
            <v:shape id="MSIPCM258a407eb5ac21ca90ba2999" o:spid="_x0000_s1026"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2B826B58" w14:textId="77777777" w:rsidR="003A7B94" w:rsidRPr="003A7B94" w:rsidRDefault="003A7B94" w:rsidP="0092057D">
                    <w:r w:rsidRPr="003A7B94">
                      <w:t>OFFICIAL</w:t>
                    </w:r>
                  </w:p>
                </w:txbxContent>
              </v:textbox>
              <w10:wrap anchorx="page" anchory="page"/>
            </v:shape>
          </w:pict>
        </mc:Fallback>
      </mc:AlternateContent>
    </w:r>
    <w:r w:rsidR="00EA2773">
      <w:drawing>
        <wp:anchor distT="0" distB="0" distL="114300" distR="114300" simplePos="0" relativeHeight="251656192" behindDoc="0" locked="0" layoutInCell="1" allowOverlap="1" wp14:anchorId="4985B47A" wp14:editId="199953C9">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47691" w14:textId="77777777" w:rsidR="00DF6A4D" w:rsidRDefault="00DF6A4D" w:rsidP="0092057D">
      <w:r>
        <w:separator/>
      </w:r>
    </w:p>
    <w:p w14:paraId="22A569FA" w14:textId="77777777" w:rsidR="00DF6A4D" w:rsidRDefault="00DF6A4D" w:rsidP="0092057D"/>
  </w:footnote>
  <w:footnote w:type="continuationSeparator" w:id="0">
    <w:p w14:paraId="1867C2FB" w14:textId="77777777" w:rsidR="00DF6A4D" w:rsidRDefault="00DF6A4D" w:rsidP="0092057D">
      <w:r>
        <w:continuationSeparator/>
      </w:r>
    </w:p>
    <w:p w14:paraId="5FAFE110" w14:textId="77777777" w:rsidR="00DF6A4D" w:rsidRDefault="00DF6A4D"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17A3" w14:textId="16749E88" w:rsidR="00EA2773" w:rsidRPr="00D11381" w:rsidRDefault="00D11381" w:rsidP="00D11381">
    <w:pPr>
      <w:pStyle w:val="Header"/>
      <w:spacing w:before="200" w:after="0"/>
      <w:ind w:right="-461"/>
      <w:rPr>
        <w:rFonts w:ascii="VIC" w:hAnsi="VIC"/>
        <w:b/>
        <w:bCs/>
        <w:color w:val="FF0000"/>
      </w:rPr>
    </w:pPr>
    <w:r>
      <w:rPr>
        <w:rFonts w:ascii="VIC" w:hAnsi="VIC"/>
        <w:b/>
        <w:bCs/>
        <w:color w:val="FF0000"/>
      </w:rPr>
      <w:t xml:space="preserve">  </w:t>
    </w:r>
    <w:r w:rsidRPr="00D11381">
      <w:rPr>
        <w:rFonts w:ascii="VIC" w:hAnsi="VIC"/>
        <w:b/>
        <w:bCs/>
        <w:color w:val="FF0000"/>
      </w:rPr>
      <w:t>Effective from 1 April 202</w:t>
    </w:r>
    <w:r>
      <w:rPr>
        <w:rFonts w:ascii="VIC" w:hAnsi="VIC"/>
        <w:b/>
        <w:bCs/>
        <w:color w:val="FF0000"/>
      </w:rPr>
      <w:t>5</w:t>
    </w:r>
    <w:r w:rsidRPr="00D11381">
      <w:rPr>
        <w:rFonts w:ascii="VIC" w:hAnsi="VIC"/>
        <w:b/>
        <w:bCs/>
        <w:color w:val="FF0000"/>
      </w:rPr>
      <w:t xml:space="preserve">                                   </w:t>
    </w:r>
    <w:r w:rsidR="0092057D" w:rsidRPr="00D11381">
      <w:rPr>
        <w:rFonts w:ascii="VIC" w:hAnsi="VIC"/>
        <w:b/>
        <w:bCs/>
        <w:color w:val="FF0000"/>
      </w:rPr>
      <w:drawing>
        <wp:inline distT="0" distB="0" distL="0" distR="0" wp14:anchorId="1E2F976B" wp14:editId="22D0A642">
          <wp:extent cx="1204615"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4615"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B34A" w14:textId="77777777" w:rsidR="00EA2773" w:rsidRPr="007602D7" w:rsidRDefault="00EA2773" w:rsidP="0092057D">
    <w:pPr>
      <w:pStyle w:val="Header"/>
    </w:pPr>
    <w:r w:rsidRPr="000E286D">
      <w:drawing>
        <wp:anchor distT="0" distB="0" distL="114300" distR="114300" simplePos="0" relativeHeight="251658240" behindDoc="1" locked="0" layoutInCell="1" allowOverlap="1" wp14:anchorId="752B10B0" wp14:editId="2A301260">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69970EF" wp14:editId="478E3E6A">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52177DD"/>
    <w:multiLevelType w:val="hybridMultilevel"/>
    <w:tmpl w:val="8F10C0DA"/>
    <w:lvl w:ilvl="0" w:tplc="E7C89D54">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09650D7"/>
    <w:multiLevelType w:val="hybridMultilevel"/>
    <w:tmpl w:val="3142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362CC7"/>
    <w:multiLevelType w:val="hybridMultilevel"/>
    <w:tmpl w:val="D70EB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035EEA"/>
    <w:multiLevelType w:val="hybridMultilevel"/>
    <w:tmpl w:val="23060E6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2"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5" w15:restartNumberingAfterBreak="0">
    <w:nsid w:val="46A903C5"/>
    <w:multiLevelType w:val="hybridMultilevel"/>
    <w:tmpl w:val="8D0C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8"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4"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6"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7"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8"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6"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3564441">
    <w:abstractNumId w:val="3"/>
  </w:num>
  <w:num w:numId="2" w16cid:durableId="1033922667">
    <w:abstractNumId w:val="0"/>
  </w:num>
  <w:num w:numId="3" w16cid:durableId="1013259713">
    <w:abstractNumId w:val="35"/>
  </w:num>
  <w:num w:numId="4" w16cid:durableId="241263183">
    <w:abstractNumId w:val="24"/>
  </w:num>
  <w:num w:numId="5" w16cid:durableId="374891116">
    <w:abstractNumId w:val="6"/>
  </w:num>
  <w:num w:numId="6" w16cid:durableId="495612734">
    <w:abstractNumId w:val="5"/>
  </w:num>
  <w:num w:numId="7" w16cid:durableId="1249386185">
    <w:abstractNumId w:val="4"/>
  </w:num>
  <w:num w:numId="8" w16cid:durableId="367881339">
    <w:abstractNumId w:val="40"/>
  </w:num>
  <w:num w:numId="9" w16cid:durableId="1402752355">
    <w:abstractNumId w:val="27"/>
  </w:num>
  <w:num w:numId="10" w16cid:durableId="143205259">
    <w:abstractNumId w:val="12"/>
  </w:num>
  <w:num w:numId="11" w16cid:durableId="570193962">
    <w:abstractNumId w:val="15"/>
  </w:num>
  <w:num w:numId="12" w16cid:durableId="1255625760">
    <w:abstractNumId w:val="39"/>
  </w:num>
  <w:num w:numId="13" w16cid:durableId="1608387731">
    <w:abstractNumId w:val="16"/>
  </w:num>
  <w:num w:numId="14" w16cid:durableId="979114768">
    <w:abstractNumId w:val="31"/>
  </w:num>
  <w:num w:numId="15" w16cid:durableId="361976612">
    <w:abstractNumId w:val="28"/>
  </w:num>
  <w:num w:numId="16" w16cid:durableId="21342498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1035614">
    <w:abstractNumId w:val="36"/>
  </w:num>
  <w:num w:numId="18" w16cid:durableId="261187427">
    <w:abstractNumId w:val="13"/>
  </w:num>
  <w:num w:numId="19" w16cid:durableId="1883664035">
    <w:abstractNumId w:val="2"/>
  </w:num>
  <w:num w:numId="20" w16cid:durableId="1564677554">
    <w:abstractNumId w:val="1"/>
  </w:num>
  <w:num w:numId="21" w16cid:durableId="2033996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7444239">
    <w:abstractNumId w:val="32"/>
  </w:num>
  <w:num w:numId="23" w16cid:durableId="421074768">
    <w:abstractNumId w:val="32"/>
    <w:lvlOverride w:ilvl="0">
      <w:startOverride w:val="1"/>
    </w:lvlOverride>
  </w:num>
  <w:num w:numId="24" w16cid:durableId="852034484">
    <w:abstractNumId w:val="32"/>
    <w:lvlOverride w:ilvl="0">
      <w:startOverride w:val="1"/>
    </w:lvlOverride>
  </w:num>
  <w:num w:numId="25" w16cid:durableId="20444737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887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51330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2410872">
    <w:abstractNumId w:val="9"/>
  </w:num>
  <w:num w:numId="29" w16cid:durableId="916356178">
    <w:abstractNumId w:val="34"/>
  </w:num>
  <w:num w:numId="30" w16cid:durableId="740178881">
    <w:abstractNumId w:val="20"/>
  </w:num>
  <w:num w:numId="31" w16cid:durableId="1667896203">
    <w:abstractNumId w:val="29"/>
  </w:num>
  <w:num w:numId="32" w16cid:durableId="1411348643">
    <w:abstractNumId w:val="36"/>
  </w:num>
  <w:num w:numId="33" w16cid:durableId="836921865">
    <w:abstractNumId w:val="23"/>
  </w:num>
  <w:num w:numId="34" w16cid:durableId="549466166">
    <w:abstractNumId w:val="46"/>
  </w:num>
  <w:num w:numId="35" w16cid:durableId="698703680">
    <w:abstractNumId w:val="17"/>
  </w:num>
  <w:num w:numId="36" w16cid:durableId="520124119">
    <w:abstractNumId w:val="25"/>
  </w:num>
  <w:num w:numId="37" w16cid:durableId="1619875920">
    <w:abstractNumId w:val="7"/>
  </w:num>
  <w:num w:numId="38" w16cid:durableId="480587085">
    <w:abstractNumId w:val="14"/>
  </w:num>
  <w:num w:numId="39" w16cid:durableId="56422121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340AC"/>
    <w:rsid w:val="0004698A"/>
    <w:rsid w:val="00055951"/>
    <w:rsid w:val="00063BFD"/>
    <w:rsid w:val="000723FB"/>
    <w:rsid w:val="00086691"/>
    <w:rsid w:val="000949CB"/>
    <w:rsid w:val="000A12C1"/>
    <w:rsid w:val="000B6650"/>
    <w:rsid w:val="000C141A"/>
    <w:rsid w:val="000C1C01"/>
    <w:rsid w:val="000C306C"/>
    <w:rsid w:val="000C3368"/>
    <w:rsid w:val="000C3814"/>
    <w:rsid w:val="000D0E2E"/>
    <w:rsid w:val="000E4881"/>
    <w:rsid w:val="000E5B4E"/>
    <w:rsid w:val="000F048A"/>
    <w:rsid w:val="000F54E7"/>
    <w:rsid w:val="00104077"/>
    <w:rsid w:val="00115857"/>
    <w:rsid w:val="0011789C"/>
    <w:rsid w:val="00117F46"/>
    <w:rsid w:val="001213BE"/>
    <w:rsid w:val="001251C4"/>
    <w:rsid w:val="00126C86"/>
    <w:rsid w:val="00131480"/>
    <w:rsid w:val="00135230"/>
    <w:rsid w:val="00137EA8"/>
    <w:rsid w:val="00143A23"/>
    <w:rsid w:val="00157448"/>
    <w:rsid w:val="00164424"/>
    <w:rsid w:val="00181844"/>
    <w:rsid w:val="00184E1A"/>
    <w:rsid w:val="0018749C"/>
    <w:rsid w:val="001A1E3B"/>
    <w:rsid w:val="001A7B19"/>
    <w:rsid w:val="001B0B3F"/>
    <w:rsid w:val="001C0319"/>
    <w:rsid w:val="001C26F5"/>
    <w:rsid w:val="001C351D"/>
    <w:rsid w:val="001C6970"/>
    <w:rsid w:val="001D0547"/>
    <w:rsid w:val="001D60E6"/>
    <w:rsid w:val="001E0A43"/>
    <w:rsid w:val="001E67A9"/>
    <w:rsid w:val="001F79B7"/>
    <w:rsid w:val="00205B35"/>
    <w:rsid w:val="002063AC"/>
    <w:rsid w:val="002123EC"/>
    <w:rsid w:val="00225175"/>
    <w:rsid w:val="00230BF1"/>
    <w:rsid w:val="002344F7"/>
    <w:rsid w:val="00240DCA"/>
    <w:rsid w:val="00252D94"/>
    <w:rsid w:val="00252F44"/>
    <w:rsid w:val="002578C1"/>
    <w:rsid w:val="00260106"/>
    <w:rsid w:val="00261135"/>
    <w:rsid w:val="00267317"/>
    <w:rsid w:val="00267638"/>
    <w:rsid w:val="00283A24"/>
    <w:rsid w:val="002A18C2"/>
    <w:rsid w:val="002A4C3E"/>
    <w:rsid w:val="002C23A0"/>
    <w:rsid w:val="002C4EC9"/>
    <w:rsid w:val="002C6424"/>
    <w:rsid w:val="002D19D7"/>
    <w:rsid w:val="002E7EFC"/>
    <w:rsid w:val="002F2549"/>
    <w:rsid w:val="002F64DF"/>
    <w:rsid w:val="002F759B"/>
    <w:rsid w:val="002F7AEB"/>
    <w:rsid w:val="00307CC0"/>
    <w:rsid w:val="003216A6"/>
    <w:rsid w:val="00322500"/>
    <w:rsid w:val="00333AD7"/>
    <w:rsid w:val="00337BFD"/>
    <w:rsid w:val="00351035"/>
    <w:rsid w:val="0035331C"/>
    <w:rsid w:val="00356750"/>
    <w:rsid w:val="00365045"/>
    <w:rsid w:val="00366405"/>
    <w:rsid w:val="003738EE"/>
    <w:rsid w:val="00386859"/>
    <w:rsid w:val="00391977"/>
    <w:rsid w:val="00392E0C"/>
    <w:rsid w:val="0039344E"/>
    <w:rsid w:val="00394D1C"/>
    <w:rsid w:val="00394EA9"/>
    <w:rsid w:val="003969A2"/>
    <w:rsid w:val="003A16D5"/>
    <w:rsid w:val="003A32E0"/>
    <w:rsid w:val="003A4A87"/>
    <w:rsid w:val="003A7B94"/>
    <w:rsid w:val="003B0731"/>
    <w:rsid w:val="003B5700"/>
    <w:rsid w:val="003B5EDB"/>
    <w:rsid w:val="003B6A2C"/>
    <w:rsid w:val="003C0F49"/>
    <w:rsid w:val="003C3ED0"/>
    <w:rsid w:val="003D01BD"/>
    <w:rsid w:val="003E230C"/>
    <w:rsid w:val="003E66B9"/>
    <w:rsid w:val="003F016E"/>
    <w:rsid w:val="003F45D9"/>
    <w:rsid w:val="003F4E27"/>
    <w:rsid w:val="003F516F"/>
    <w:rsid w:val="004113E1"/>
    <w:rsid w:val="00422FAB"/>
    <w:rsid w:val="00427659"/>
    <w:rsid w:val="00430A03"/>
    <w:rsid w:val="00435CD1"/>
    <w:rsid w:val="00436091"/>
    <w:rsid w:val="004455A7"/>
    <w:rsid w:val="00451758"/>
    <w:rsid w:val="00462DB3"/>
    <w:rsid w:val="00466D77"/>
    <w:rsid w:val="00467979"/>
    <w:rsid w:val="00475FC8"/>
    <w:rsid w:val="00480708"/>
    <w:rsid w:val="004907E5"/>
    <w:rsid w:val="0049402F"/>
    <w:rsid w:val="004978FC"/>
    <w:rsid w:val="004A2DD7"/>
    <w:rsid w:val="004A460D"/>
    <w:rsid w:val="004B0978"/>
    <w:rsid w:val="004B534D"/>
    <w:rsid w:val="004C7E27"/>
    <w:rsid w:val="004D7D40"/>
    <w:rsid w:val="004F1A9B"/>
    <w:rsid w:val="004F4904"/>
    <w:rsid w:val="004F6237"/>
    <w:rsid w:val="005013B3"/>
    <w:rsid w:val="00505FD8"/>
    <w:rsid w:val="00506E38"/>
    <w:rsid w:val="00510293"/>
    <w:rsid w:val="0051295C"/>
    <w:rsid w:val="005155EC"/>
    <w:rsid w:val="00517919"/>
    <w:rsid w:val="00535B0C"/>
    <w:rsid w:val="00536699"/>
    <w:rsid w:val="0054032A"/>
    <w:rsid w:val="00542A7C"/>
    <w:rsid w:val="005530CD"/>
    <w:rsid w:val="00562809"/>
    <w:rsid w:val="005637F1"/>
    <w:rsid w:val="00564D54"/>
    <w:rsid w:val="005733B2"/>
    <w:rsid w:val="005736BA"/>
    <w:rsid w:val="00573DFF"/>
    <w:rsid w:val="00574189"/>
    <w:rsid w:val="00576A56"/>
    <w:rsid w:val="00577C5A"/>
    <w:rsid w:val="00583851"/>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E331C"/>
    <w:rsid w:val="005F0BBF"/>
    <w:rsid w:val="005F0BE7"/>
    <w:rsid w:val="005F6958"/>
    <w:rsid w:val="005F7342"/>
    <w:rsid w:val="0060373E"/>
    <w:rsid w:val="00610AFF"/>
    <w:rsid w:val="0061436C"/>
    <w:rsid w:val="00621843"/>
    <w:rsid w:val="006256D7"/>
    <w:rsid w:val="0062775C"/>
    <w:rsid w:val="006438F6"/>
    <w:rsid w:val="00645ADA"/>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4662"/>
    <w:rsid w:val="006B7B88"/>
    <w:rsid w:val="006C23AC"/>
    <w:rsid w:val="006D1FC6"/>
    <w:rsid w:val="006D53EF"/>
    <w:rsid w:val="006D5BDC"/>
    <w:rsid w:val="006E376A"/>
    <w:rsid w:val="006E6398"/>
    <w:rsid w:val="006E6C70"/>
    <w:rsid w:val="006F26D4"/>
    <w:rsid w:val="007003BC"/>
    <w:rsid w:val="00704015"/>
    <w:rsid w:val="0070452F"/>
    <w:rsid w:val="00705623"/>
    <w:rsid w:val="00706BFC"/>
    <w:rsid w:val="00715221"/>
    <w:rsid w:val="0071554E"/>
    <w:rsid w:val="00721AE2"/>
    <w:rsid w:val="007236B8"/>
    <w:rsid w:val="0072437E"/>
    <w:rsid w:val="00724EA7"/>
    <w:rsid w:val="007254AC"/>
    <w:rsid w:val="00731D56"/>
    <w:rsid w:val="0073778D"/>
    <w:rsid w:val="00745F07"/>
    <w:rsid w:val="00747EAA"/>
    <w:rsid w:val="007506F0"/>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A6388"/>
    <w:rsid w:val="007B0E7B"/>
    <w:rsid w:val="007B4F5D"/>
    <w:rsid w:val="007B511D"/>
    <w:rsid w:val="007B546A"/>
    <w:rsid w:val="007C0F87"/>
    <w:rsid w:val="007C35C1"/>
    <w:rsid w:val="007C7C80"/>
    <w:rsid w:val="007D6194"/>
    <w:rsid w:val="007F1BA7"/>
    <w:rsid w:val="00801190"/>
    <w:rsid w:val="00803B4C"/>
    <w:rsid w:val="00810AB4"/>
    <w:rsid w:val="00813444"/>
    <w:rsid w:val="00813D23"/>
    <w:rsid w:val="00820D82"/>
    <w:rsid w:val="00821B10"/>
    <w:rsid w:val="0082311D"/>
    <w:rsid w:val="00827675"/>
    <w:rsid w:val="00840293"/>
    <w:rsid w:val="008410D5"/>
    <w:rsid w:val="008433CF"/>
    <w:rsid w:val="008452D6"/>
    <w:rsid w:val="00846677"/>
    <w:rsid w:val="00850E55"/>
    <w:rsid w:val="008645CD"/>
    <w:rsid w:val="0086474A"/>
    <w:rsid w:val="00870531"/>
    <w:rsid w:val="0087108A"/>
    <w:rsid w:val="00872CD7"/>
    <w:rsid w:val="00886A1C"/>
    <w:rsid w:val="008A0907"/>
    <w:rsid w:val="008A3BC9"/>
    <w:rsid w:val="008A3BE3"/>
    <w:rsid w:val="008B00A2"/>
    <w:rsid w:val="008B7C35"/>
    <w:rsid w:val="008C5DD9"/>
    <w:rsid w:val="008D2825"/>
    <w:rsid w:val="008D74B1"/>
    <w:rsid w:val="008E5070"/>
    <w:rsid w:val="008E7403"/>
    <w:rsid w:val="008F1C0C"/>
    <w:rsid w:val="00900A09"/>
    <w:rsid w:val="009047F0"/>
    <w:rsid w:val="009074D9"/>
    <w:rsid w:val="00915450"/>
    <w:rsid w:val="0091711E"/>
    <w:rsid w:val="0092057D"/>
    <w:rsid w:val="00925CAA"/>
    <w:rsid w:val="00933996"/>
    <w:rsid w:val="009342B3"/>
    <w:rsid w:val="00951F3D"/>
    <w:rsid w:val="00956416"/>
    <w:rsid w:val="009572B6"/>
    <w:rsid w:val="0096064E"/>
    <w:rsid w:val="009647C8"/>
    <w:rsid w:val="00967F9A"/>
    <w:rsid w:val="0097681F"/>
    <w:rsid w:val="0098017E"/>
    <w:rsid w:val="00983D25"/>
    <w:rsid w:val="0098787E"/>
    <w:rsid w:val="00992321"/>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01C22"/>
    <w:rsid w:val="00A135CF"/>
    <w:rsid w:val="00A13A1B"/>
    <w:rsid w:val="00A21A89"/>
    <w:rsid w:val="00A23384"/>
    <w:rsid w:val="00A26015"/>
    <w:rsid w:val="00A32CD6"/>
    <w:rsid w:val="00A37A4F"/>
    <w:rsid w:val="00A40F98"/>
    <w:rsid w:val="00A5202A"/>
    <w:rsid w:val="00A52822"/>
    <w:rsid w:val="00A62523"/>
    <w:rsid w:val="00A6456E"/>
    <w:rsid w:val="00A67EEB"/>
    <w:rsid w:val="00A84C7F"/>
    <w:rsid w:val="00A8571E"/>
    <w:rsid w:val="00A874BB"/>
    <w:rsid w:val="00A87845"/>
    <w:rsid w:val="00A9084A"/>
    <w:rsid w:val="00A90F14"/>
    <w:rsid w:val="00A9313A"/>
    <w:rsid w:val="00AC27DA"/>
    <w:rsid w:val="00AC476E"/>
    <w:rsid w:val="00AC748E"/>
    <w:rsid w:val="00AD2349"/>
    <w:rsid w:val="00AE6C2E"/>
    <w:rsid w:val="00AE7BC6"/>
    <w:rsid w:val="00AF04EB"/>
    <w:rsid w:val="00AF07AF"/>
    <w:rsid w:val="00AF2901"/>
    <w:rsid w:val="00AF3197"/>
    <w:rsid w:val="00AF63CF"/>
    <w:rsid w:val="00AF7492"/>
    <w:rsid w:val="00AF7E39"/>
    <w:rsid w:val="00B10361"/>
    <w:rsid w:val="00B12BD8"/>
    <w:rsid w:val="00B217D9"/>
    <w:rsid w:val="00B31E02"/>
    <w:rsid w:val="00B329C5"/>
    <w:rsid w:val="00B3351E"/>
    <w:rsid w:val="00B44C41"/>
    <w:rsid w:val="00B54F88"/>
    <w:rsid w:val="00B5641B"/>
    <w:rsid w:val="00B57C72"/>
    <w:rsid w:val="00B60925"/>
    <w:rsid w:val="00B766F6"/>
    <w:rsid w:val="00B82136"/>
    <w:rsid w:val="00B96F20"/>
    <w:rsid w:val="00BA06BB"/>
    <w:rsid w:val="00BA277B"/>
    <w:rsid w:val="00BA7830"/>
    <w:rsid w:val="00BB13B7"/>
    <w:rsid w:val="00BC0072"/>
    <w:rsid w:val="00BC0888"/>
    <w:rsid w:val="00BC60A9"/>
    <w:rsid w:val="00BD157D"/>
    <w:rsid w:val="00BD45AA"/>
    <w:rsid w:val="00BD58B2"/>
    <w:rsid w:val="00BE09D0"/>
    <w:rsid w:val="00BE1393"/>
    <w:rsid w:val="00BE47AF"/>
    <w:rsid w:val="00BF45C5"/>
    <w:rsid w:val="00C01977"/>
    <w:rsid w:val="00C16FF3"/>
    <w:rsid w:val="00C252AE"/>
    <w:rsid w:val="00C314BC"/>
    <w:rsid w:val="00C3191D"/>
    <w:rsid w:val="00C41C46"/>
    <w:rsid w:val="00C54459"/>
    <w:rsid w:val="00C551C4"/>
    <w:rsid w:val="00C71D9D"/>
    <w:rsid w:val="00C76683"/>
    <w:rsid w:val="00C81316"/>
    <w:rsid w:val="00C850E0"/>
    <w:rsid w:val="00CA4310"/>
    <w:rsid w:val="00CB72F7"/>
    <w:rsid w:val="00CB793A"/>
    <w:rsid w:val="00CC53FE"/>
    <w:rsid w:val="00CD5174"/>
    <w:rsid w:val="00CD7138"/>
    <w:rsid w:val="00CE02E0"/>
    <w:rsid w:val="00CE2166"/>
    <w:rsid w:val="00CE3DDF"/>
    <w:rsid w:val="00CF1608"/>
    <w:rsid w:val="00D000C1"/>
    <w:rsid w:val="00D06C25"/>
    <w:rsid w:val="00D11381"/>
    <w:rsid w:val="00D25125"/>
    <w:rsid w:val="00D31E02"/>
    <w:rsid w:val="00D32372"/>
    <w:rsid w:val="00D355EE"/>
    <w:rsid w:val="00D3664F"/>
    <w:rsid w:val="00D376C3"/>
    <w:rsid w:val="00D40B9E"/>
    <w:rsid w:val="00D456E5"/>
    <w:rsid w:val="00D57AA5"/>
    <w:rsid w:val="00D74031"/>
    <w:rsid w:val="00D74C3E"/>
    <w:rsid w:val="00D75112"/>
    <w:rsid w:val="00D75501"/>
    <w:rsid w:val="00D80AEE"/>
    <w:rsid w:val="00D90B1F"/>
    <w:rsid w:val="00D92BD7"/>
    <w:rsid w:val="00D9495D"/>
    <w:rsid w:val="00D9558C"/>
    <w:rsid w:val="00DA4453"/>
    <w:rsid w:val="00DA659B"/>
    <w:rsid w:val="00DA7C45"/>
    <w:rsid w:val="00DB464D"/>
    <w:rsid w:val="00DB4C5B"/>
    <w:rsid w:val="00DB5A6E"/>
    <w:rsid w:val="00DB74A7"/>
    <w:rsid w:val="00DC3EAB"/>
    <w:rsid w:val="00DC4436"/>
    <w:rsid w:val="00DD2C1F"/>
    <w:rsid w:val="00DD4AC6"/>
    <w:rsid w:val="00DD6206"/>
    <w:rsid w:val="00DE3260"/>
    <w:rsid w:val="00DE6D90"/>
    <w:rsid w:val="00DE6E3C"/>
    <w:rsid w:val="00DE7990"/>
    <w:rsid w:val="00DF6A4D"/>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57E9"/>
    <w:rsid w:val="00E74659"/>
    <w:rsid w:val="00E7585E"/>
    <w:rsid w:val="00E8092E"/>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D7B30"/>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09"/>
    <w:rsid w:val="00F355BA"/>
    <w:rsid w:val="00F42424"/>
    <w:rsid w:val="00F42854"/>
    <w:rsid w:val="00F52F0F"/>
    <w:rsid w:val="00F56CE8"/>
    <w:rsid w:val="00F57633"/>
    <w:rsid w:val="00F64DD4"/>
    <w:rsid w:val="00F67E0A"/>
    <w:rsid w:val="00F75426"/>
    <w:rsid w:val="00F85551"/>
    <w:rsid w:val="00F96D72"/>
    <w:rsid w:val="00FA0273"/>
    <w:rsid w:val="00FA6EE8"/>
    <w:rsid w:val="00FB6B27"/>
    <w:rsid w:val="00FC023A"/>
    <w:rsid w:val="00FF1032"/>
    <w:rsid w:val="00FF4D5E"/>
    <w:rsid w:val="0BDFA3C9"/>
    <w:rsid w:val="15CC8E07"/>
    <w:rsid w:val="1DDC2699"/>
    <w:rsid w:val="36FE5779"/>
    <w:rsid w:val="42A4FF43"/>
    <w:rsid w:val="6D1CD0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0606EB51"/>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E7465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dernslaveryregister.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buyingfor.vic.gov.au/supplier-code-conduct" TargetMode="External"/><Relationship Id="rId17" Type="http://schemas.openxmlformats.org/officeDocument/2006/relationships/hyperlink" Target="mailto:IPpolicy@dgs.vic.gov.au" TargetMode="Externa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98F3B-A35D-4113-A29C-E921F836BC37}">
  <ds:schemaRefs>
    <ds:schemaRef ds:uri="http://schemas.openxmlformats.org/officeDocument/2006/bibliography"/>
  </ds:schemaRefs>
</ds:datastoreItem>
</file>

<file path=customXml/itemProps2.xml><?xml version="1.0" encoding="utf-8"?>
<ds:datastoreItem xmlns:ds="http://schemas.openxmlformats.org/officeDocument/2006/customXml" ds:itemID="{81BBA26E-7FA6-4784-B626-4A43699EB8DE}">
  <ds:schemaRefs>
    <ds:schemaRef ds:uri="http://www.w3.org/2001/XMLSchema"/>
  </ds:schemaRefs>
</ds:datastoreItem>
</file>

<file path=customXml/itemProps3.xml><?xml version="1.0" encoding="utf-8"?>
<ds:datastoreItem xmlns:ds="http://schemas.openxmlformats.org/officeDocument/2006/customXml" ds:itemID="{CF0830B5-1154-4D63-9E54-C9426443A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08BA62-1861-4164-BA1D-E989A71B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2BF605-A3C0-40C1-B19F-3646D15BE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1556</Words>
  <Characters>8875</Characters>
  <Application>Microsoft Office Word</Application>
  <DocSecurity>0</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Coles (DGS)</cp:lastModifiedBy>
  <cp:revision>4</cp:revision>
  <cp:lastPrinted>2025-01-30T05:38:00Z</cp:lastPrinted>
  <dcterms:created xsi:type="dcterms:W3CDTF">2025-01-30T00:06:00Z</dcterms:created>
  <dcterms:modified xsi:type="dcterms:W3CDTF">2025-01-30T05:40:00Z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2023-04-26T04:11:19Z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ec4cb82d-7c30-4f3e-be87-6be89170ed03</vt:lpwstr>
  </property>
  <property fmtid="{D5CDD505-2E9C-101B-9397-08002B2CF9AE}" pid="15" name="MSIP_Label_7158ebbd-6c5e-441f-bfc9-4eb8c11e3978_ContentBits">
    <vt:lpwstr>2</vt:lpwstr>
  </property>
  <property fmtid="{D5CDD505-2E9C-101B-9397-08002B2CF9AE}" pid="16" name="ContentTypeId">
    <vt:lpwstr>0x010100401FE44C6DE9F545A430B7A681A49892</vt:lpwstr>
  </property>
</Properties>
</file>