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FD6C6" w14:textId="0E6D3A10" w:rsidR="00E500D1" w:rsidRPr="004C28BF" w:rsidRDefault="0021054C" w:rsidP="004C28BF">
      <w:pPr>
        <w:pStyle w:val="Heading1"/>
      </w:pPr>
      <w:r w:rsidRPr="004C28BF">
        <w:t xml:space="preserve">Supplier </w:t>
      </w:r>
      <w:r w:rsidR="004C774E" w:rsidRPr="004C28BF">
        <w:t>debriefs</w:t>
      </w:r>
      <w:r w:rsidR="000E1BA4" w:rsidRPr="004C28BF">
        <w:t xml:space="preserve"> –</w:t>
      </w:r>
      <w:r w:rsidR="004C774E" w:rsidRPr="004C28BF">
        <w:t xml:space="preserve"> </w:t>
      </w:r>
      <w:r w:rsidR="000E1BA4" w:rsidRPr="004C28BF">
        <w:t>Goods and services procurement guide</w:t>
      </w:r>
    </w:p>
    <w:p w14:paraId="384F2473" w14:textId="758AFCB5" w:rsidR="0021054C" w:rsidRDefault="0021054C" w:rsidP="0021054C">
      <w:r>
        <w:t xml:space="preserve">This guide </w:t>
      </w:r>
      <w:r w:rsidR="00F30442">
        <w:t>explains how to conduct a supplier debrief</w:t>
      </w:r>
      <w:r>
        <w:t>.</w:t>
      </w:r>
    </w:p>
    <w:p w14:paraId="6EB89C98" w14:textId="77777777" w:rsidR="002D5854" w:rsidRDefault="002D5854" w:rsidP="002D5854">
      <w:r>
        <w:t>A debrief is an optional meeting to discuss the findings of an Invitation to Supply process once a decision is made. It is not an opportunity to appeal or renegotiate that decision.</w:t>
      </w:r>
    </w:p>
    <w:p w14:paraId="6349590D" w14:textId="30294465" w:rsidR="002D5854" w:rsidRDefault="002D5854" w:rsidP="002D5854">
      <w:r>
        <w:t xml:space="preserve">All participants should be offered a debrief as part of communicating the procurement outcome. Agencies must provide a debrief to any unsuccessful suppliers that request one. See the </w:t>
      </w:r>
      <w:hyperlink r:id="rId8" w:history="1">
        <w:r w:rsidRPr="008D319B">
          <w:rPr>
            <w:rStyle w:val="Hyperlink"/>
          </w:rPr>
          <w:t>evaluate and select offers guide</w:t>
        </w:r>
      </w:hyperlink>
      <w:r>
        <w:t xml:space="preserve"> for further detail.</w:t>
      </w:r>
    </w:p>
    <w:p w14:paraId="0FEA2EFA" w14:textId="77777777" w:rsidR="002D5854" w:rsidRDefault="002D5854" w:rsidP="002D5854">
      <w:r>
        <w:t>For the supplier, debriefs are an opportunity to:</w:t>
      </w:r>
    </w:p>
    <w:p w14:paraId="2618EBD6" w14:textId="26BFD00F" w:rsidR="002D5854" w:rsidRDefault="002D5854" w:rsidP="002D5854">
      <w:pPr>
        <w:pStyle w:val="Bullet1"/>
      </w:pPr>
      <w:r>
        <w:t>learn why their offer was not successful</w:t>
      </w:r>
    </w:p>
    <w:p w14:paraId="251C415E" w14:textId="656EB952" w:rsidR="002D5854" w:rsidRDefault="002D5854" w:rsidP="002D5854">
      <w:pPr>
        <w:pStyle w:val="Bullet1"/>
      </w:pPr>
      <w:r>
        <w:t>improve their market offering and internal capability</w:t>
      </w:r>
    </w:p>
    <w:p w14:paraId="480477B5" w14:textId="1C60D799" w:rsidR="002D5854" w:rsidRDefault="002D5854" w:rsidP="002D5854">
      <w:pPr>
        <w:pStyle w:val="Bullet1"/>
      </w:pPr>
      <w:r>
        <w:t>share their feedback on the procurement process</w:t>
      </w:r>
    </w:p>
    <w:p w14:paraId="6E713C4F" w14:textId="77777777" w:rsidR="002D5854" w:rsidRDefault="002D5854" w:rsidP="002D5854">
      <w:r>
        <w:t>For Agencies, debriefs can:</w:t>
      </w:r>
    </w:p>
    <w:p w14:paraId="09238F93" w14:textId="189C2085" w:rsidR="002D5854" w:rsidRDefault="002D5854" w:rsidP="002D5854">
      <w:pPr>
        <w:pStyle w:val="Bullet1"/>
      </w:pPr>
      <w:r>
        <w:t>identify internal improvement opportunities</w:t>
      </w:r>
    </w:p>
    <w:p w14:paraId="3447AB08" w14:textId="45688BAD" w:rsidR="002D5854" w:rsidRDefault="002D5854" w:rsidP="002D5854">
      <w:pPr>
        <w:pStyle w:val="Bullet1"/>
      </w:pPr>
      <w:r>
        <w:t>build trust and positive relationships</w:t>
      </w:r>
    </w:p>
    <w:p w14:paraId="3C792753" w14:textId="1AD9D3AF" w:rsidR="002D5854" w:rsidRDefault="002D5854" w:rsidP="002D5854">
      <w:pPr>
        <w:pStyle w:val="Bullet1"/>
      </w:pPr>
      <w:r>
        <w:t>uplift market capability</w:t>
      </w:r>
    </w:p>
    <w:p w14:paraId="0EE677B1" w14:textId="1325BD47" w:rsidR="002D5854" w:rsidRDefault="002D5854" w:rsidP="002D5854">
      <w:pPr>
        <w:pStyle w:val="Bullet1"/>
      </w:pPr>
      <w:r>
        <w:t>gather intelligence about the market</w:t>
      </w:r>
    </w:p>
    <w:p w14:paraId="3A8A814A" w14:textId="5036394B" w:rsidR="002D5854" w:rsidRDefault="002D5854" w:rsidP="002D5854">
      <w:pPr>
        <w:pStyle w:val="Bullet1"/>
      </w:pPr>
      <w:r>
        <w:t>demonstrate commitment to good practices, openness, and transparency</w:t>
      </w:r>
    </w:p>
    <w:p w14:paraId="3B6B6677" w14:textId="6E8ED25D" w:rsidR="002D5854" w:rsidRDefault="002D5854" w:rsidP="002D5854">
      <w:r>
        <w:t>Debriefs should take place within two weeks of the supplier’s request.</w:t>
      </w:r>
    </w:p>
    <w:p w14:paraId="6B1B4D40" w14:textId="6DB85C5E" w:rsidR="0021054C" w:rsidRPr="004C28BF" w:rsidRDefault="002D5854" w:rsidP="004C28BF">
      <w:pPr>
        <w:pStyle w:val="Heading2"/>
      </w:pPr>
      <w:r w:rsidRPr="004C28BF">
        <w:t xml:space="preserve">Debrief </w:t>
      </w:r>
      <w:r w:rsidR="00C659FA">
        <w:t>s</w:t>
      </w:r>
      <w:r w:rsidRPr="004C28BF">
        <w:t>tructure</w:t>
      </w:r>
    </w:p>
    <w:p w14:paraId="66D96F71" w14:textId="77777777" w:rsidR="00B53973" w:rsidRDefault="00B53973" w:rsidP="00B53973">
      <w:pPr>
        <w:rPr>
          <w:lang w:eastAsia="en-US"/>
        </w:rPr>
      </w:pPr>
      <w:r>
        <w:rPr>
          <w:lang w:eastAsia="en-US"/>
        </w:rPr>
        <w:t>Debriefs can be conducted remotely or in person. In general, two people attend on behalf of the Agency: one to lead the debrief and one to provide support.</w:t>
      </w:r>
    </w:p>
    <w:p w14:paraId="3E951D9D" w14:textId="77777777" w:rsidR="00B53973" w:rsidRDefault="00B53973" w:rsidP="00B53973">
      <w:pPr>
        <w:rPr>
          <w:lang w:eastAsia="en-US"/>
        </w:rPr>
      </w:pPr>
      <w:r>
        <w:rPr>
          <w:lang w:eastAsia="en-US"/>
        </w:rPr>
        <w:t>A debrief may include:</w:t>
      </w:r>
    </w:p>
    <w:p w14:paraId="799DE886" w14:textId="4DBEC940" w:rsidR="00B53973" w:rsidRDefault="00B53973" w:rsidP="00B53973">
      <w:pPr>
        <w:pStyle w:val="Bullet1"/>
        <w:numPr>
          <w:ilvl w:val="0"/>
          <w:numId w:val="36"/>
        </w:numPr>
      </w:pPr>
      <w:r>
        <w:t>welcome and introductions</w:t>
      </w:r>
    </w:p>
    <w:p w14:paraId="39EE4A60" w14:textId="2F991BCD" w:rsidR="00B53973" w:rsidRDefault="00B53973" w:rsidP="00B53973">
      <w:pPr>
        <w:pStyle w:val="Bullet1"/>
        <w:numPr>
          <w:ilvl w:val="0"/>
          <w:numId w:val="36"/>
        </w:numPr>
      </w:pPr>
      <w:r>
        <w:t>debrief overview: scope, objectives and rules</w:t>
      </w:r>
    </w:p>
    <w:p w14:paraId="05A81BB9" w14:textId="403BA2F0" w:rsidR="00B53973" w:rsidRDefault="00B53973" w:rsidP="00B53973">
      <w:pPr>
        <w:pStyle w:val="Bullet1"/>
        <w:numPr>
          <w:ilvl w:val="0"/>
          <w:numId w:val="36"/>
        </w:numPr>
      </w:pPr>
      <w:r>
        <w:t>overview of the ITS scope, evaluation criteria and process</w:t>
      </w:r>
    </w:p>
    <w:p w14:paraId="1D3C2954" w14:textId="4E136476" w:rsidR="00B53973" w:rsidRDefault="00B53973" w:rsidP="00B53973">
      <w:pPr>
        <w:pStyle w:val="Bullet1"/>
        <w:numPr>
          <w:ilvl w:val="0"/>
          <w:numId w:val="36"/>
        </w:numPr>
      </w:pPr>
      <w:r>
        <w:t>overall impressions of the offer</w:t>
      </w:r>
    </w:p>
    <w:p w14:paraId="280A39EF" w14:textId="32B41769" w:rsidR="00B53973" w:rsidRDefault="00B53973" w:rsidP="00B53973">
      <w:pPr>
        <w:pStyle w:val="Bullet1"/>
        <w:numPr>
          <w:ilvl w:val="0"/>
          <w:numId w:val="36"/>
        </w:numPr>
      </w:pPr>
      <w:r>
        <w:t>strengths and weaknesses of the offer against the selection criteria</w:t>
      </w:r>
    </w:p>
    <w:p w14:paraId="2B5D4511" w14:textId="6CFECEC9" w:rsidR="00B53973" w:rsidRDefault="00B53973" w:rsidP="00B53973">
      <w:pPr>
        <w:pStyle w:val="Bullet1"/>
        <w:numPr>
          <w:ilvl w:val="0"/>
          <w:numId w:val="36"/>
        </w:numPr>
      </w:pPr>
      <w:r>
        <w:t>supplier questions or feedback</w:t>
      </w:r>
    </w:p>
    <w:p w14:paraId="342F5C57" w14:textId="63A49EE2" w:rsidR="00B53973" w:rsidRDefault="00B53973" w:rsidP="00B53973">
      <w:pPr>
        <w:pStyle w:val="Bullet1"/>
        <w:numPr>
          <w:ilvl w:val="0"/>
          <w:numId w:val="36"/>
        </w:numPr>
      </w:pPr>
      <w:r>
        <w:t>closing statements from supplier and Agency</w:t>
      </w:r>
    </w:p>
    <w:p w14:paraId="40146DD0" w14:textId="17F6542B" w:rsidR="002D5854" w:rsidRDefault="00B53973" w:rsidP="00B53973">
      <w:pPr>
        <w:rPr>
          <w:lang w:eastAsia="en-US"/>
        </w:rPr>
      </w:pPr>
      <w:r>
        <w:rPr>
          <w:lang w:eastAsia="en-US"/>
        </w:rPr>
        <w:t>Agencies may provide general feedback about the competitiveness of the supplier’s offer compared to the market. They must not share information about any other suppliers or their offers.</w:t>
      </w:r>
    </w:p>
    <w:p w14:paraId="45AEE659" w14:textId="63B12B64" w:rsidR="0021054C" w:rsidRDefault="009179CF" w:rsidP="004C28BF">
      <w:pPr>
        <w:pStyle w:val="Heading2"/>
      </w:pPr>
      <w:r>
        <w:t>How to prepare a debrief</w:t>
      </w:r>
    </w:p>
    <w:p w14:paraId="26D20963" w14:textId="4A04F829" w:rsidR="00C74D69" w:rsidRDefault="00C74D69" w:rsidP="00C74D69">
      <w:pPr>
        <w:rPr>
          <w:lang w:eastAsia="en-US"/>
        </w:rPr>
      </w:pPr>
      <w:r>
        <w:rPr>
          <w:lang w:eastAsia="en-US"/>
        </w:rPr>
        <w:t xml:space="preserve">The Agency is responsible for properly documenting its requirements, supplier assessments and final selection rationale during the procurement process. See the </w:t>
      </w:r>
      <w:hyperlink r:id="rId9" w:history="1">
        <w:r w:rsidRPr="00CA6349">
          <w:rPr>
            <w:rStyle w:val="Hyperlink"/>
            <w:lang w:eastAsia="en-US"/>
          </w:rPr>
          <w:t xml:space="preserve">Evaluate and select </w:t>
        </w:r>
        <w:proofErr w:type="gramStart"/>
        <w:r w:rsidRPr="00CA6349">
          <w:rPr>
            <w:rStyle w:val="Hyperlink"/>
            <w:lang w:eastAsia="en-US"/>
          </w:rPr>
          <w:t>offers:</w:t>
        </w:r>
        <w:proofErr w:type="gramEnd"/>
        <w:r w:rsidRPr="00CA6349">
          <w:rPr>
            <w:rStyle w:val="Hyperlink"/>
            <w:lang w:eastAsia="en-US"/>
          </w:rPr>
          <w:t xml:space="preserve"> goods and services guide</w:t>
        </w:r>
      </w:hyperlink>
      <w:r>
        <w:rPr>
          <w:lang w:eastAsia="en-US"/>
        </w:rPr>
        <w:t xml:space="preserve"> for further detail.</w:t>
      </w:r>
    </w:p>
    <w:p w14:paraId="62BED854" w14:textId="77777777" w:rsidR="00C74D69" w:rsidRDefault="00C74D69" w:rsidP="00C74D69">
      <w:pPr>
        <w:rPr>
          <w:lang w:eastAsia="en-US"/>
        </w:rPr>
      </w:pPr>
      <w:r>
        <w:rPr>
          <w:lang w:eastAsia="en-US"/>
        </w:rPr>
        <w:t>Once a request for a debrief is received, set up the meeting and prepare a written plan. This plan should include:</w:t>
      </w:r>
    </w:p>
    <w:p w14:paraId="4E7E05A7" w14:textId="12F9B864" w:rsidR="00C74D69" w:rsidRDefault="00C74D69" w:rsidP="00C74D69">
      <w:pPr>
        <w:pStyle w:val="Bullet1"/>
      </w:pPr>
      <w:r>
        <w:t>the meeting time, date, and attendees</w:t>
      </w:r>
    </w:p>
    <w:p w14:paraId="53ABAA2A" w14:textId="19772E85" w:rsidR="00C74D69" w:rsidRDefault="00C74D69" w:rsidP="00C74D69">
      <w:pPr>
        <w:pStyle w:val="Bullet1"/>
      </w:pPr>
      <w:r>
        <w:t>a summary of key messages, including any debrief rules or scope limitations</w:t>
      </w:r>
    </w:p>
    <w:p w14:paraId="7BABE692" w14:textId="1FEFC4D2" w:rsidR="00C74D69" w:rsidRDefault="00C74D69" w:rsidP="00C74D69">
      <w:pPr>
        <w:pStyle w:val="Bullet1"/>
      </w:pPr>
      <w:r>
        <w:t>a summary of why the offer was or was not successful</w:t>
      </w:r>
    </w:p>
    <w:p w14:paraId="0CB95CAA" w14:textId="5C478B78" w:rsidR="00C74D69" w:rsidRDefault="00C74D69" w:rsidP="00C74D69">
      <w:pPr>
        <w:pStyle w:val="Bullet1"/>
      </w:pPr>
      <w:r>
        <w:t>detailed feedback on how the supplier performed against the criteria</w:t>
      </w:r>
    </w:p>
    <w:p w14:paraId="3E248F58" w14:textId="03C2979D" w:rsidR="00C74D69" w:rsidRDefault="00C74D69" w:rsidP="00C74D69">
      <w:pPr>
        <w:pStyle w:val="Bullet1"/>
      </w:pPr>
      <w:r>
        <w:lastRenderedPageBreak/>
        <w:t>any other feedback on the supplier’s offer, e.g. structure and wording</w:t>
      </w:r>
    </w:p>
    <w:p w14:paraId="3EB3B9F3" w14:textId="416BA425" w:rsidR="009179CF" w:rsidRDefault="00C74D69" w:rsidP="00C74D69">
      <w:pPr>
        <w:rPr>
          <w:lang w:eastAsia="en-US"/>
        </w:rPr>
      </w:pPr>
      <w:r>
        <w:rPr>
          <w:lang w:eastAsia="en-US"/>
        </w:rPr>
        <w:t xml:space="preserve">Use the </w:t>
      </w:r>
      <w:hyperlink r:id="rId10" w:history="1">
        <w:r w:rsidRPr="00EB117F">
          <w:rPr>
            <w:rStyle w:val="Hyperlink"/>
            <w:lang w:eastAsia="en-US"/>
          </w:rPr>
          <w:t>supplier debriefing template</w:t>
        </w:r>
      </w:hyperlink>
      <w:r>
        <w:rPr>
          <w:lang w:eastAsia="en-US"/>
        </w:rPr>
        <w:t xml:space="preserve"> to prepare and document a debrief. See </w:t>
      </w:r>
      <w:hyperlink r:id="rId11" w:history="1">
        <w:r w:rsidRPr="004C28BF">
          <w:rPr>
            <w:rStyle w:val="Hyperlink"/>
            <w:lang w:eastAsia="en-US"/>
          </w:rPr>
          <w:t>Debrief participants</w:t>
        </w:r>
      </w:hyperlink>
      <w:r>
        <w:rPr>
          <w:lang w:eastAsia="en-US"/>
        </w:rPr>
        <w:t xml:space="preserve"> for further instructions.</w:t>
      </w:r>
    </w:p>
    <w:p w14:paraId="4BDB184C" w14:textId="0F12D753" w:rsidR="004C28BF" w:rsidRDefault="004A136B" w:rsidP="004C28BF">
      <w:pPr>
        <w:pStyle w:val="Heading2"/>
      </w:pPr>
      <w:r>
        <w:t>After the</w:t>
      </w:r>
      <w:r w:rsidR="004C28BF">
        <w:t xml:space="preserve"> debrief</w:t>
      </w:r>
    </w:p>
    <w:p w14:paraId="46943DB1" w14:textId="77777777" w:rsidR="004A136B" w:rsidRDefault="004A136B" w:rsidP="004A136B">
      <w:pPr>
        <w:rPr>
          <w:lang w:eastAsia="en-US"/>
        </w:rPr>
      </w:pPr>
      <w:r>
        <w:rPr>
          <w:lang w:eastAsia="en-US"/>
        </w:rPr>
        <w:t xml:space="preserve">The discussion points and any outcomes of a debrief must be promptly recorded and stored in accordance with government policy. </w:t>
      </w:r>
    </w:p>
    <w:p w14:paraId="7BF585B0" w14:textId="400F9162" w:rsidR="004C28BF" w:rsidRDefault="004A136B" w:rsidP="004A136B">
      <w:pPr>
        <w:rPr>
          <w:lang w:eastAsia="en-US"/>
        </w:rPr>
      </w:pPr>
      <w:r>
        <w:rPr>
          <w:lang w:eastAsia="en-US"/>
        </w:rPr>
        <w:t>The Agency must promptly provide a copy of its complaint procedure on request. It should also promptly consider any improvement opportunities.</w:t>
      </w:r>
    </w:p>
    <w:p w14:paraId="24682EE0" w14:textId="648A765D" w:rsidR="004C28BF" w:rsidRDefault="004A136B" w:rsidP="004A136B">
      <w:pPr>
        <w:pStyle w:val="Heading2"/>
      </w:pPr>
      <w:r>
        <w:t>Other forms of supplier feedback</w:t>
      </w:r>
    </w:p>
    <w:p w14:paraId="1AAB05BE" w14:textId="77777777" w:rsidR="00EA3DC1" w:rsidRDefault="00EA3DC1" w:rsidP="00EA3DC1">
      <w:r>
        <w:t xml:space="preserve">Feedback may also be provided at other stages of the procurement process or during contract management. </w:t>
      </w:r>
    </w:p>
    <w:p w14:paraId="4E479A2E" w14:textId="2649FFC9" w:rsidR="00C74D69" w:rsidRDefault="00EA3DC1" w:rsidP="009179CF">
      <w:r>
        <w:t xml:space="preserve">Each Agency is responsible for developing a supplier engagement plan and complaints management procedure. See </w:t>
      </w:r>
      <w:hyperlink r:id="rId12" w:history="1">
        <w:r w:rsidRPr="770B3BA7">
          <w:rPr>
            <w:rStyle w:val="Hyperlink"/>
          </w:rPr>
          <w:t>Prepare a supplier engagement plan: goods and services guide</w:t>
        </w:r>
      </w:hyperlink>
      <w:r>
        <w:t xml:space="preserve"> for further information.</w:t>
      </w:r>
    </w:p>
    <w:p w14:paraId="07EC56C3" w14:textId="77777777" w:rsidR="00D75F59" w:rsidRPr="00D75F59" w:rsidRDefault="00D75F59" w:rsidP="004C28BF">
      <w:pPr>
        <w:pStyle w:val="Heading2"/>
      </w:pPr>
      <w:r w:rsidRPr="00D75F59">
        <w:t>Using this guide</w:t>
      </w:r>
    </w:p>
    <w:p w14:paraId="54F13C4E" w14:textId="7903D39D" w:rsidR="00CA0609" w:rsidRPr="00D879F1" w:rsidRDefault="00CA0609" w:rsidP="00CA0609">
      <w:r w:rsidRPr="00D879F1">
        <w:t xml:space="preserve">This guide accompanies the </w:t>
      </w:r>
      <w:hyperlink r:id="rId13" w:history="1">
        <w:r w:rsidRPr="001D3F59">
          <w:rPr>
            <w:rStyle w:val="Hyperlink"/>
          </w:rPr>
          <w:t>goods and services supply policies</w:t>
        </w:r>
      </w:hyperlink>
      <w:r w:rsidRPr="00D879F1">
        <w:t>. There are 5 suppl</w:t>
      </w:r>
      <w:r w:rsidR="002C6866">
        <w:t>y</w:t>
      </w:r>
      <w:r w:rsidRPr="00D879F1">
        <w:t xml:space="preserve"> policies:</w:t>
      </w:r>
    </w:p>
    <w:p w14:paraId="45A36FCD" w14:textId="77777777" w:rsidR="00CA0609" w:rsidRPr="00D879F1" w:rsidRDefault="00CA0609" w:rsidP="00CA0609">
      <w:pPr>
        <w:pStyle w:val="ListParagraph"/>
        <w:numPr>
          <w:ilvl w:val="0"/>
          <w:numId w:val="30"/>
        </w:numPr>
      </w:pPr>
      <w:r w:rsidRPr="00D879F1">
        <w:t>Governance policy</w:t>
      </w:r>
    </w:p>
    <w:p w14:paraId="2A04E1CB" w14:textId="77777777" w:rsidR="00CA0609" w:rsidRPr="00D879F1" w:rsidRDefault="00CA0609" w:rsidP="00CA0609">
      <w:pPr>
        <w:pStyle w:val="ListParagraph"/>
        <w:numPr>
          <w:ilvl w:val="0"/>
          <w:numId w:val="30"/>
        </w:numPr>
      </w:pPr>
      <w:r w:rsidRPr="00D879F1">
        <w:t xml:space="preserve">Complexity and capability </w:t>
      </w:r>
      <w:r>
        <w:t xml:space="preserve">assessment </w:t>
      </w:r>
      <w:r w:rsidRPr="00D879F1">
        <w:t>policy</w:t>
      </w:r>
    </w:p>
    <w:p w14:paraId="1856E5D1" w14:textId="77777777" w:rsidR="00CA0609" w:rsidRPr="00D879F1" w:rsidRDefault="00CA0609" w:rsidP="00CA0609">
      <w:pPr>
        <w:pStyle w:val="ListParagraph"/>
        <w:numPr>
          <w:ilvl w:val="0"/>
          <w:numId w:val="30"/>
        </w:numPr>
      </w:pPr>
      <w:r w:rsidRPr="00D879F1">
        <w:t>Market analysis and review policy</w:t>
      </w:r>
    </w:p>
    <w:p w14:paraId="58BB37D3" w14:textId="77777777" w:rsidR="00CA0609" w:rsidRPr="00D879F1" w:rsidRDefault="00CA0609" w:rsidP="00CA0609">
      <w:pPr>
        <w:pStyle w:val="ListParagraph"/>
        <w:numPr>
          <w:ilvl w:val="0"/>
          <w:numId w:val="30"/>
        </w:numPr>
      </w:pPr>
      <w:r w:rsidRPr="00D879F1">
        <w:t>Market approach policy</w:t>
      </w:r>
    </w:p>
    <w:p w14:paraId="21597CA3" w14:textId="77777777" w:rsidR="00CA0609" w:rsidRPr="00D879F1" w:rsidRDefault="00CA0609" w:rsidP="00CA0609">
      <w:pPr>
        <w:pStyle w:val="ListParagraph"/>
        <w:numPr>
          <w:ilvl w:val="0"/>
          <w:numId w:val="30"/>
        </w:numPr>
      </w:pPr>
      <w:r w:rsidRPr="00D879F1">
        <w:t>Contract management and disclosure policy</w:t>
      </w:r>
    </w:p>
    <w:p w14:paraId="010F2AAC" w14:textId="76B26A50" w:rsidR="00CA0609" w:rsidRPr="00D879F1" w:rsidRDefault="00CA0609" w:rsidP="00CA0609">
      <w:r w:rsidRPr="00D879F1">
        <w:t xml:space="preserve">This guide supports the </w:t>
      </w:r>
      <w:hyperlink r:id="rId14" w:history="1">
        <w:r w:rsidRPr="00D72214">
          <w:rPr>
            <w:rStyle w:val="Hyperlink"/>
          </w:rPr>
          <w:t>Market approach policy.</w:t>
        </w:r>
      </w:hyperlink>
    </w:p>
    <w:p w14:paraId="60CC7930" w14:textId="77777777" w:rsidR="00CA0609" w:rsidRDefault="00D75F59" w:rsidP="00D75F59">
      <w:r>
        <w:t>Associated guidance material</w:t>
      </w:r>
      <w:r w:rsidR="00CA0609">
        <w:t>:</w:t>
      </w:r>
    </w:p>
    <w:p w14:paraId="3FC848B8" w14:textId="77777777" w:rsidR="00332535" w:rsidRDefault="00332535" w:rsidP="00332535">
      <w:pPr>
        <w:pStyle w:val="ListParagraph"/>
        <w:numPr>
          <w:ilvl w:val="0"/>
          <w:numId w:val="31"/>
        </w:numPr>
      </w:pPr>
      <w:r>
        <w:t>Evaluate and select offers: Goods and services</w:t>
      </w:r>
    </w:p>
    <w:p w14:paraId="019A8447" w14:textId="77777777" w:rsidR="00332535" w:rsidRDefault="00332535" w:rsidP="00332535">
      <w:pPr>
        <w:pStyle w:val="ListParagraph"/>
        <w:numPr>
          <w:ilvl w:val="0"/>
          <w:numId w:val="31"/>
        </w:numPr>
      </w:pPr>
      <w:r>
        <w:t>Complaints management: Goods and services</w:t>
      </w:r>
    </w:p>
    <w:p w14:paraId="1FD14B92" w14:textId="77777777" w:rsidR="00332535" w:rsidRDefault="00332535" w:rsidP="00332535">
      <w:pPr>
        <w:pStyle w:val="ListParagraph"/>
        <w:numPr>
          <w:ilvl w:val="0"/>
          <w:numId w:val="31"/>
        </w:numPr>
      </w:pPr>
      <w:r>
        <w:t>Supplier engagement plan: Goods and services</w:t>
      </w:r>
    </w:p>
    <w:p w14:paraId="3B4CE739" w14:textId="77777777" w:rsidR="00332535" w:rsidRDefault="00332535" w:rsidP="00332535">
      <w:pPr>
        <w:pStyle w:val="ListParagraph"/>
        <w:numPr>
          <w:ilvl w:val="0"/>
          <w:numId w:val="31"/>
        </w:numPr>
      </w:pPr>
      <w:r>
        <w:t>Supplier debriefing template: Goods and services</w:t>
      </w:r>
    </w:p>
    <w:p w14:paraId="427ECE79" w14:textId="77777777" w:rsidR="00CA0609" w:rsidRDefault="00D75F59" w:rsidP="00D75F59">
      <w:r>
        <w:t>For further information on other government programs for suppliers refer to</w:t>
      </w:r>
      <w:r w:rsidR="00CA0609">
        <w:t>:</w:t>
      </w:r>
    </w:p>
    <w:p w14:paraId="5455EE8D" w14:textId="77777777" w:rsidR="00CA0609" w:rsidRDefault="00D75F59" w:rsidP="00CA0609">
      <w:pPr>
        <w:pStyle w:val="ListParagraph"/>
        <w:numPr>
          <w:ilvl w:val="0"/>
          <w:numId w:val="32"/>
        </w:numPr>
      </w:pPr>
      <w:hyperlink r:id="rId15" w:history="1">
        <w:r w:rsidRPr="0021054C">
          <w:rPr>
            <w:rStyle w:val="Hyperlink"/>
          </w:rPr>
          <w:t>Small Business Commissioner</w:t>
        </w:r>
      </w:hyperlink>
    </w:p>
    <w:p w14:paraId="2194B656" w14:textId="77777777" w:rsidR="00CA0609" w:rsidRDefault="00D75F59" w:rsidP="00CA0609">
      <w:pPr>
        <w:pStyle w:val="ListParagraph"/>
        <w:numPr>
          <w:ilvl w:val="0"/>
          <w:numId w:val="32"/>
        </w:numPr>
      </w:pPr>
      <w:hyperlink r:id="rId16" w:history="1">
        <w:r w:rsidRPr="0021054C">
          <w:rPr>
            <w:rStyle w:val="Hyperlink"/>
          </w:rPr>
          <w:t>Business Victoria</w:t>
        </w:r>
      </w:hyperlink>
    </w:p>
    <w:p w14:paraId="03AA285C" w14:textId="64B57D4C" w:rsidR="00D75F59" w:rsidRDefault="00D75F59" w:rsidP="00CA0609">
      <w:pPr>
        <w:pStyle w:val="ListParagraph"/>
        <w:numPr>
          <w:ilvl w:val="0"/>
          <w:numId w:val="32"/>
        </w:numPr>
      </w:pPr>
      <w:hyperlink r:id="rId17" w:history="1">
        <w:r w:rsidRPr="0021054C">
          <w:rPr>
            <w:rStyle w:val="Hyperlink"/>
          </w:rPr>
          <w:t>Regional Development Victoria</w:t>
        </w:r>
      </w:hyperlink>
      <w:r>
        <w:t>.</w:t>
      </w:r>
    </w:p>
    <w:p w14:paraId="2EF0F28A" w14:textId="77777777" w:rsidR="00A051EB" w:rsidRDefault="00A051EB" w:rsidP="0021054C"/>
    <w:p w14:paraId="033D05C6" w14:textId="77777777" w:rsidR="00777555" w:rsidRDefault="00777555" w:rsidP="0021054C"/>
    <w:p w14:paraId="5774EAF0" w14:textId="77777777" w:rsidR="00777555" w:rsidRDefault="00777555" w:rsidP="00777555">
      <w:pPr>
        <w:autoSpaceDE w:val="0"/>
        <w:autoSpaceDN w:val="0"/>
        <w:adjustRightInd w:val="0"/>
        <w:spacing w:before="120" w:after="120"/>
        <w:rPr>
          <w:rFonts w:ascii="Helv" w:hAnsi="Helv" w:cs="Helv"/>
          <w:color w:val="000000"/>
        </w:rPr>
      </w:pPr>
      <w:hyperlink r:id="rId18" w:history="1">
        <w:r>
          <w:rPr>
            <w:rFonts w:ascii="Helv" w:hAnsi="Helv" w:cs="Helv"/>
            <w:noProof/>
            <w:color w:val="000000"/>
            <w:shd w:val="clear" w:color="auto" w:fill="E6E6E6"/>
          </w:rPr>
          <w:drawing>
            <wp:inline distT="0" distB="0" distL="0" distR="0" wp14:anchorId="2D3178CE" wp14:editId="5DF42F55">
              <wp:extent cx="1114425" cy="389910"/>
              <wp:effectExtent l="0" t="0" r="0" b="0"/>
              <wp:docPr id="3" name="Picture 3" descr="A grey and black sign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y and black sign with a person in a circl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114425" cy="389910"/>
                      </a:xfrm>
                      <a:prstGeom prst="rect">
                        <a:avLst/>
                      </a:prstGeom>
                      <a:noFill/>
                      <a:ln>
                        <a:noFill/>
                      </a:ln>
                    </pic:spPr>
                  </pic:pic>
                </a:graphicData>
              </a:graphic>
            </wp:inline>
          </w:drawing>
        </w:r>
        <w:r>
          <w:rPr>
            <w:rFonts w:ascii="Helv" w:hAnsi="Helv" w:cs="Helv"/>
            <w:color w:val="000000"/>
          </w:rPr>
          <w:t xml:space="preserve"> </w:t>
        </w:r>
      </w:hyperlink>
      <w:r>
        <w:rPr>
          <w:rFonts w:ascii="Helv" w:hAnsi="Helv" w:cs="Helv"/>
          <w:color w:val="000000"/>
        </w:rPr>
        <w:t xml:space="preserve"> </w:t>
      </w:r>
    </w:p>
    <w:p w14:paraId="4BD0AB8D" w14:textId="3CA3C429" w:rsidR="00777555" w:rsidRPr="00E26D2A" w:rsidRDefault="00777555" w:rsidP="00777555">
      <w:pPr>
        <w:rPr>
          <w:sz w:val="18"/>
          <w:szCs w:val="18"/>
        </w:rPr>
      </w:pPr>
      <w:r w:rsidRPr="00E26D2A">
        <w:rPr>
          <w:sz w:val="18"/>
          <w:szCs w:val="18"/>
        </w:rPr>
        <w:t xml:space="preserve">You are free to re-use this work under a </w:t>
      </w:r>
      <w:hyperlink r:id="rId20" w:history="1">
        <w:r w:rsidRPr="00E26D2A">
          <w:rPr>
            <w:rStyle w:val="Hyperlink"/>
            <w:sz w:val="18"/>
            <w:szCs w:val="18"/>
          </w:rPr>
          <w:t>Creative Commons Attribution 4.0 licence</w:t>
        </w:r>
      </w:hyperlink>
      <w:r w:rsidRPr="00E26D2A">
        <w:rPr>
          <w:sz w:val="18"/>
          <w:szCs w:val="18"/>
        </w:rPr>
        <w:t>, provided you credit the State of Victoria (Department of Government Services) as author, indicate if changes were made and comply with the other licence terms. The licence does not apply to any branding, including Government logos. Departments and agencies of the Victorian Government may re-use and adapt this work without attribution.</w:t>
      </w:r>
    </w:p>
    <w:p w14:paraId="1F5223BB" w14:textId="77777777" w:rsidR="00777555" w:rsidRDefault="00777555" w:rsidP="00777555">
      <w:pPr>
        <w:rPr>
          <w:sz w:val="18"/>
          <w:szCs w:val="18"/>
        </w:rPr>
      </w:pPr>
      <w:r w:rsidRPr="00E26D2A">
        <w:rPr>
          <w:sz w:val="18"/>
          <w:szCs w:val="18"/>
        </w:rPr>
        <w:t xml:space="preserve">Copyright queries may be directed to the </w:t>
      </w:r>
      <w:hyperlink r:id="rId21" w:history="1">
        <w:r w:rsidRPr="00E26D2A">
          <w:rPr>
            <w:rStyle w:val="Hyperlink"/>
            <w:sz w:val="18"/>
            <w:szCs w:val="18"/>
          </w:rPr>
          <w:t>Department of Government Services Procurement Policy General Enquiries</w:t>
        </w:r>
      </w:hyperlink>
      <w:r w:rsidRPr="00E26D2A">
        <w:rPr>
          <w:sz w:val="18"/>
          <w:szCs w:val="18"/>
        </w:rPr>
        <w:t>.</w:t>
      </w:r>
    </w:p>
    <w:p w14:paraId="645202C8" w14:textId="1CA0F67C" w:rsidR="00C26C54" w:rsidRPr="00891D32" w:rsidRDefault="00C26C54" w:rsidP="00777555">
      <w:pPr>
        <w:rPr>
          <w:rFonts w:asciiTheme="minorHAnsi" w:hAnsiTheme="minorHAnsi" w:cstheme="minorHAnsi"/>
        </w:rPr>
      </w:pPr>
    </w:p>
    <w:sectPr w:rsidR="00C26C54" w:rsidRPr="00891D32" w:rsidSect="000E1BA4">
      <w:headerReference w:type="default" r:id="rId22"/>
      <w:footerReference w:type="default" r:id="rId23"/>
      <w:headerReference w:type="first" r:id="rId24"/>
      <w:footerReference w:type="first" r:id="rId25"/>
      <w:pgSz w:w="11901" w:h="16840" w:code="9"/>
      <w:pgMar w:top="1560" w:right="1008" w:bottom="1418" w:left="1152" w:header="567" w:footer="33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8604F" w14:textId="77777777" w:rsidR="00622A73" w:rsidRDefault="00622A73">
      <w:r>
        <w:separator/>
      </w:r>
    </w:p>
    <w:p w14:paraId="60E38D3D" w14:textId="77777777" w:rsidR="00622A73" w:rsidRDefault="00622A73"/>
  </w:endnote>
  <w:endnote w:type="continuationSeparator" w:id="0">
    <w:p w14:paraId="7F12B808" w14:textId="77777777" w:rsidR="00622A73" w:rsidRDefault="00622A73">
      <w:r>
        <w:continuationSeparator/>
      </w:r>
    </w:p>
    <w:p w14:paraId="0C2B1561" w14:textId="77777777" w:rsidR="00622A73" w:rsidRDefault="00622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711E1" w14:textId="64E9F575" w:rsidR="001E5315" w:rsidRDefault="00A2262C" w:rsidP="000E1BA4">
    <w:pPr>
      <w:pStyle w:val="Footer"/>
      <w:jc w:val="left"/>
    </w:pPr>
    <w:r>
      <mc:AlternateContent>
        <mc:Choice Requires="wps">
          <w:drawing>
            <wp:anchor distT="0" distB="0" distL="114300" distR="114300" simplePos="0" relativeHeight="251680256" behindDoc="0" locked="0" layoutInCell="0" allowOverlap="1" wp14:anchorId="682AD652" wp14:editId="58B37BB5">
              <wp:simplePos x="0" y="0"/>
              <wp:positionH relativeFrom="page">
                <wp:posOffset>0</wp:posOffset>
              </wp:positionH>
              <wp:positionV relativeFrom="page">
                <wp:posOffset>10302875</wp:posOffset>
              </wp:positionV>
              <wp:extent cx="7557135" cy="266700"/>
              <wp:effectExtent l="0" t="0" r="0" b="0"/>
              <wp:wrapNone/>
              <wp:docPr id="2" name="MSIPCM334e4c099705cc1bc021e681"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92146" w14:textId="53B6AD41" w:rsidR="00A2262C" w:rsidRPr="00A2262C" w:rsidRDefault="00A2262C" w:rsidP="00A2262C">
                          <w:pPr>
                            <w:spacing w:before="0" w:after="0"/>
                            <w:rPr>
                              <w:color w:val="000000"/>
                            </w:rPr>
                          </w:pPr>
                          <w:r w:rsidRPr="00A2262C">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82AD652" id="_x0000_t202" coordsize="21600,21600" o:spt="202" path="m,l,21600r21600,l21600,xe">
              <v:stroke joinstyle="miter"/>
              <v:path gradientshapeok="t" o:connecttype="rect"/>
            </v:shapetype>
            <v:shape id="MSIPCM334e4c099705cc1bc021e681" o:spid="_x0000_s1026" type="#_x0000_t202" alt="{&quot;HashCode&quot;:-1267603503,&quot;Height&quot;:842.0,&quot;Width&quot;:595.0,&quot;Placement&quot;:&quot;Footer&quot;,&quot;Index&quot;:&quot;Primary&quot;,&quot;Section&quot;:1,&quot;Top&quot;:0.0,&quot;Left&quot;:0.0}" style="position:absolute;margin-left:0;margin-top:811.25pt;width:595.05pt;height:21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" o:allowincell="f" filled="f" stroked="f" strokeweight=".5pt">
              <v:textbox inset="20pt,0,,0">
                <w:txbxContent>
                  <w:p w14:paraId="58F92146" w14:textId="53B6AD41" w:rsidR="00A2262C" w:rsidRPr="00A2262C" w:rsidRDefault="00A2262C" w:rsidP="00A2262C">
                    <w:pPr>
                      <w:spacing w:before="0" w:after="0"/>
                      <w:rPr>
                        <w:color w:val="000000"/>
                      </w:rPr>
                    </w:pPr>
                    <w:r w:rsidRPr="00A2262C">
                      <w:rPr>
                        <w:color w:val="000000"/>
                      </w:rPr>
                      <w:t>OFFICIAL</w:t>
                    </w:r>
                  </w:p>
                </w:txbxContent>
              </v:textbox>
              <w10:wrap anchorx="page" anchory="page"/>
            </v:shape>
          </w:pict>
        </mc:Fallback>
      </mc:AlternateContent>
    </w:r>
    <w:r w:rsidR="000E1BA4">
      <w:t xml:space="preserve">Supplier </w:t>
    </w:r>
    <w:r w:rsidR="00E96847">
      <w:t xml:space="preserve">debriefs </w:t>
    </w:r>
    <w:r w:rsidR="000E1BA4">
      <w:t>– Goods and services procurement guide</w:t>
    </w:r>
    <w:r w:rsidR="00777555">
      <w:t xml:space="preserve"> </w:t>
    </w:r>
    <w:r w:rsidR="00727400">
      <w:t>(</w:t>
    </w:r>
    <w:r w:rsidR="00E96847">
      <w:t>February</w:t>
    </w:r>
    <w:r w:rsidR="00727400">
      <w:t xml:space="preserve"> </w:t>
    </w:r>
    <w:r w:rsidR="00E96847">
      <w:t>2025</w:t>
    </w:r>
    <w:r w:rsidR="00727400">
      <w:t>)</w:t>
    </w:r>
  </w:p>
  <w:p w14:paraId="53E0BAD0" w14:textId="77777777" w:rsidR="00727400" w:rsidRDefault="00727400" w:rsidP="000E1BA4">
    <w:pPr>
      <w:pStyle w:val="Footer"/>
      <w:jc w:val="left"/>
    </w:pPr>
  </w:p>
  <w:sdt>
    <w:sdtPr>
      <w:id w:val="-1629536890"/>
      <w:docPartObj>
        <w:docPartGallery w:val="Page Numbers (Bottom of Page)"/>
        <w:docPartUnique/>
      </w:docPartObj>
    </w:sdtPr>
    <w:sdtEndPr/>
    <w:sdtContent>
      <w:sdt>
        <w:sdtPr>
          <w:id w:val="-2024157362"/>
          <w:docPartObj>
            <w:docPartGallery w:val="Page Numbers (Top of Page)"/>
            <w:docPartUnique/>
          </w:docPartObj>
        </w:sdtPr>
        <w:sdtEndPr/>
        <w:sdtContent>
          <w:p w14:paraId="772A40BA" w14:textId="77777777" w:rsidR="0021054C" w:rsidRDefault="000E1BA4" w:rsidP="000E1BA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DF48C" w14:textId="77777777" w:rsidR="0021054C" w:rsidRDefault="0021054C" w:rsidP="003C0F49">
    <w:pPr>
      <w:pStyle w:val="Footer"/>
    </w:pPr>
    <w:r>
      <w:drawing>
        <wp:anchor distT="0" distB="0" distL="114300" distR="114300" simplePos="0" relativeHeight="251656192" behindDoc="0" locked="0" layoutInCell="1" allowOverlap="1" wp14:anchorId="61103AC9" wp14:editId="46AC1A25">
          <wp:simplePos x="0" y="0"/>
          <wp:positionH relativeFrom="column">
            <wp:posOffset>5861050</wp:posOffset>
          </wp:positionH>
          <wp:positionV relativeFrom="page">
            <wp:posOffset>10049510</wp:posOffset>
          </wp:positionV>
          <wp:extent cx="758952" cy="438912"/>
          <wp:effectExtent l="0" t="0" r="3175" b="0"/>
          <wp:wrapNone/>
          <wp:docPr id="51" name="Picture 51"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48D07" w14:textId="77777777" w:rsidR="00622A73" w:rsidRDefault="00622A73">
      <w:r>
        <w:separator/>
      </w:r>
    </w:p>
    <w:p w14:paraId="74D331A9" w14:textId="77777777" w:rsidR="00622A73" w:rsidRDefault="00622A73"/>
  </w:footnote>
  <w:footnote w:type="continuationSeparator" w:id="0">
    <w:p w14:paraId="5CFE784A" w14:textId="77777777" w:rsidR="00622A73" w:rsidRDefault="00622A73">
      <w:r>
        <w:continuationSeparator/>
      </w:r>
    </w:p>
    <w:p w14:paraId="295999BB" w14:textId="77777777" w:rsidR="00622A73" w:rsidRDefault="00622A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9804F" w14:textId="33920B8C" w:rsidR="0021054C" w:rsidRPr="000E1BA4" w:rsidRDefault="000E1BA4" w:rsidP="000E1BA4">
    <w:pPr>
      <w:pStyle w:val="Header"/>
      <w:tabs>
        <w:tab w:val="clear" w:pos="10350"/>
        <w:tab w:val="right" w:pos="9639"/>
      </w:tabs>
      <w:spacing w:before="240"/>
      <w:ind w:right="-40"/>
      <w:rPr>
        <w:sz w:val="20"/>
        <w:szCs w:val="20"/>
      </w:rPr>
    </w:pPr>
    <w:r>
      <w:rPr>
        <w:sz w:val="20"/>
        <w:szCs w:val="20"/>
      </w:rPr>
      <w:t xml:space="preserve">Department of </w:t>
    </w:r>
    <w:r w:rsidR="00777555">
      <w:rPr>
        <w:sz w:val="20"/>
        <w:szCs w:val="20"/>
      </w:rPr>
      <w:t>Government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038CA" w14:textId="77777777" w:rsidR="0021054C" w:rsidRPr="007602D7" w:rsidRDefault="0021054C" w:rsidP="00B54F88">
    <w:pPr>
      <w:pStyle w:val="Header"/>
      <w:spacing w:before="240"/>
      <w:ind w:right="-461"/>
    </w:pPr>
    <w:r w:rsidRPr="000E286D">
      <w:drawing>
        <wp:anchor distT="0" distB="0" distL="114300" distR="114300" simplePos="0" relativeHeight="251658240" behindDoc="1" locked="0" layoutInCell="1" allowOverlap="1" wp14:anchorId="13322B66" wp14:editId="06B7AF51">
          <wp:simplePos x="0" y="0"/>
          <wp:positionH relativeFrom="column">
            <wp:posOffset>-731520</wp:posOffset>
          </wp:positionH>
          <wp:positionV relativeFrom="paragraph">
            <wp:posOffset>-200133</wp:posOffset>
          </wp:positionV>
          <wp:extent cx="560717" cy="10717356"/>
          <wp:effectExtent l="0" t="0" r="0" b="825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4FCD5FEF" wp14:editId="14E645CB">
          <wp:extent cx="2162175" cy="1333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5128A1"/>
    <w:multiLevelType w:val="hybridMultilevel"/>
    <w:tmpl w:val="D7A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4"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5"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7"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8"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380ED0"/>
    <w:multiLevelType w:val="multilevel"/>
    <w:tmpl w:val="CA466668"/>
    <w:lvl w:ilvl="0">
      <w:start w:val="1"/>
      <w:numFmt w:val="decimal"/>
      <w:lvlText w:val="%1."/>
      <w:lvlJc w:val="left"/>
      <w:pPr>
        <w:tabs>
          <w:tab w:val="num" w:pos="360"/>
        </w:tabs>
        <w:ind w:left="360" w:hanging="360"/>
      </w:pPr>
      <w:rPr>
        <w:rFonts w:hint="default"/>
        <w:b w:val="0"/>
        <w:i w:val="0"/>
        <w:vanish w:val="0"/>
        <w:color w:val="auto"/>
        <w:sz w:val="20"/>
      </w:rPr>
    </w:lvl>
    <w:lvl w:ilvl="1">
      <w:start w:val="1"/>
      <w:numFmt w:val="bullet"/>
      <w:lvlText w:val="–"/>
      <w:lvlJc w:val="left"/>
      <w:pPr>
        <w:tabs>
          <w:tab w:val="num" w:pos="720"/>
        </w:tabs>
        <w:ind w:left="720" w:hanging="360"/>
      </w:pPr>
      <w:rPr>
        <w:rFonts w:ascii="Calibri" w:hAnsi="Calibri"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0"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1"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2"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3"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1641F1C"/>
    <w:multiLevelType w:val="hybridMultilevel"/>
    <w:tmpl w:val="4BF2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6"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8"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9" w15:restartNumberingAfterBreak="0">
    <w:nsid w:val="6122338A"/>
    <w:multiLevelType w:val="hybridMultilevel"/>
    <w:tmpl w:val="E0304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31"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2"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3"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5"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6"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7"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9"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0"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1"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5700574">
    <w:abstractNumId w:val="3"/>
  </w:num>
  <w:num w:numId="2" w16cid:durableId="1782989702">
    <w:abstractNumId w:val="0"/>
  </w:num>
  <w:num w:numId="3" w16cid:durableId="1475609838">
    <w:abstractNumId w:val="30"/>
  </w:num>
  <w:num w:numId="4" w16cid:durableId="149296354">
    <w:abstractNumId w:val="20"/>
  </w:num>
  <w:num w:numId="5" w16cid:durableId="770976441">
    <w:abstractNumId w:val="6"/>
  </w:num>
  <w:num w:numId="6" w16cid:durableId="1048845727">
    <w:abstractNumId w:val="5"/>
  </w:num>
  <w:num w:numId="7" w16cid:durableId="1017272683">
    <w:abstractNumId w:val="4"/>
  </w:num>
  <w:num w:numId="8" w16cid:durableId="2073649380">
    <w:abstractNumId w:val="35"/>
  </w:num>
  <w:num w:numId="9" w16cid:durableId="1757750035">
    <w:abstractNumId w:val="22"/>
  </w:num>
  <w:num w:numId="10" w16cid:durableId="1775515197">
    <w:abstractNumId w:val="11"/>
  </w:num>
  <w:num w:numId="11" w16cid:durableId="1317880277">
    <w:abstractNumId w:val="14"/>
  </w:num>
  <w:num w:numId="12" w16cid:durableId="1444613462">
    <w:abstractNumId w:val="34"/>
  </w:num>
  <w:num w:numId="13" w16cid:durableId="830102609">
    <w:abstractNumId w:val="15"/>
  </w:num>
  <w:num w:numId="14" w16cid:durableId="1522278483">
    <w:abstractNumId w:val="26"/>
  </w:num>
  <w:num w:numId="15" w16cid:durableId="1131438287">
    <w:abstractNumId w:val="23"/>
  </w:num>
  <w:num w:numId="16" w16cid:durableId="16392610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8924833">
    <w:abstractNumId w:val="31"/>
  </w:num>
  <w:num w:numId="18" w16cid:durableId="1910841682">
    <w:abstractNumId w:val="13"/>
  </w:num>
  <w:num w:numId="19" w16cid:durableId="452134827">
    <w:abstractNumId w:val="2"/>
  </w:num>
  <w:num w:numId="20" w16cid:durableId="888149500">
    <w:abstractNumId w:val="1"/>
  </w:num>
  <w:num w:numId="21" w16cid:durableId="10976292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9973006">
    <w:abstractNumId w:val="27"/>
  </w:num>
  <w:num w:numId="23" w16cid:durableId="321205062">
    <w:abstractNumId w:val="27"/>
    <w:lvlOverride w:ilvl="0">
      <w:startOverride w:val="1"/>
    </w:lvlOverride>
  </w:num>
  <w:num w:numId="24" w16cid:durableId="540557777">
    <w:abstractNumId w:val="27"/>
    <w:lvlOverride w:ilvl="0">
      <w:startOverride w:val="1"/>
    </w:lvlOverride>
  </w:num>
  <w:num w:numId="25" w16cid:durableId="2099982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710316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98398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4220005">
    <w:abstractNumId w:val="8"/>
  </w:num>
  <w:num w:numId="29" w16cid:durableId="459107674">
    <w:abstractNumId w:val="24"/>
  </w:num>
  <w:num w:numId="30" w16cid:durableId="1850752750">
    <w:abstractNumId w:val="41"/>
  </w:num>
  <w:num w:numId="31" w16cid:durableId="1487353917">
    <w:abstractNumId w:val="12"/>
  </w:num>
  <w:num w:numId="32" w16cid:durableId="1219053132">
    <w:abstractNumId w:val="29"/>
  </w:num>
  <w:num w:numId="33" w16cid:durableId="476145534">
    <w:abstractNumId w:val="20"/>
  </w:num>
  <w:num w:numId="34" w16cid:durableId="2091347926">
    <w:abstractNumId w:val="20"/>
  </w:num>
  <w:num w:numId="35" w16cid:durableId="1527795188">
    <w:abstractNumId w:val="20"/>
  </w:num>
  <w:num w:numId="36" w16cid:durableId="2057045885">
    <w:abstractNumId w:val="19"/>
  </w:num>
  <w:num w:numId="37" w16cid:durableId="50582691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4097">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A4F"/>
    <w:rsid w:val="00006544"/>
    <w:rsid w:val="00010BD3"/>
    <w:rsid w:val="0001144C"/>
    <w:rsid w:val="00016492"/>
    <w:rsid w:val="00026C82"/>
    <w:rsid w:val="0004698A"/>
    <w:rsid w:val="00063BFD"/>
    <w:rsid w:val="00086691"/>
    <w:rsid w:val="000949CB"/>
    <w:rsid w:val="000C141A"/>
    <w:rsid w:val="000C1C01"/>
    <w:rsid w:val="000C3368"/>
    <w:rsid w:val="000C3814"/>
    <w:rsid w:val="000E1BA4"/>
    <w:rsid w:val="000E4881"/>
    <w:rsid w:val="000E5B4E"/>
    <w:rsid w:val="000F54E7"/>
    <w:rsid w:val="00104077"/>
    <w:rsid w:val="001213BE"/>
    <w:rsid w:val="001251C4"/>
    <w:rsid w:val="00126C86"/>
    <w:rsid w:val="00135230"/>
    <w:rsid w:val="00143A23"/>
    <w:rsid w:val="00157448"/>
    <w:rsid w:val="00164424"/>
    <w:rsid w:val="00181844"/>
    <w:rsid w:val="00184E1A"/>
    <w:rsid w:val="0018749C"/>
    <w:rsid w:val="001A7B19"/>
    <w:rsid w:val="001B0B3F"/>
    <w:rsid w:val="001C0319"/>
    <w:rsid w:val="001C1842"/>
    <w:rsid w:val="001C351D"/>
    <w:rsid w:val="001C6970"/>
    <w:rsid w:val="001D0547"/>
    <w:rsid w:val="001D3F59"/>
    <w:rsid w:val="001D60E6"/>
    <w:rsid w:val="001E0A43"/>
    <w:rsid w:val="001E5315"/>
    <w:rsid w:val="001E67A9"/>
    <w:rsid w:val="00205B35"/>
    <w:rsid w:val="002063AC"/>
    <w:rsid w:val="0021054C"/>
    <w:rsid w:val="00225175"/>
    <w:rsid w:val="002344F7"/>
    <w:rsid w:val="00252F44"/>
    <w:rsid w:val="002578C1"/>
    <w:rsid w:val="00260106"/>
    <w:rsid w:val="00267317"/>
    <w:rsid w:val="00267638"/>
    <w:rsid w:val="00283A24"/>
    <w:rsid w:val="002A18C2"/>
    <w:rsid w:val="002A4C3E"/>
    <w:rsid w:val="002C4EC9"/>
    <w:rsid w:val="002C6424"/>
    <w:rsid w:val="002C6866"/>
    <w:rsid w:val="002D5854"/>
    <w:rsid w:val="002E7EFC"/>
    <w:rsid w:val="002F2549"/>
    <w:rsid w:val="002F64DF"/>
    <w:rsid w:val="002F7AEB"/>
    <w:rsid w:val="00301E49"/>
    <w:rsid w:val="00307CC0"/>
    <w:rsid w:val="00322500"/>
    <w:rsid w:val="00332535"/>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E230C"/>
    <w:rsid w:val="003E66B9"/>
    <w:rsid w:val="003F016E"/>
    <w:rsid w:val="003F45D9"/>
    <w:rsid w:val="003F4E27"/>
    <w:rsid w:val="004113E1"/>
    <w:rsid w:val="00422FAB"/>
    <w:rsid w:val="00427659"/>
    <w:rsid w:val="00430A03"/>
    <w:rsid w:val="004455A7"/>
    <w:rsid w:val="00451758"/>
    <w:rsid w:val="00462DB3"/>
    <w:rsid w:val="00466D77"/>
    <w:rsid w:val="00467979"/>
    <w:rsid w:val="00475FC8"/>
    <w:rsid w:val="00480708"/>
    <w:rsid w:val="004862D0"/>
    <w:rsid w:val="004907E5"/>
    <w:rsid w:val="004A136B"/>
    <w:rsid w:val="004A2DD7"/>
    <w:rsid w:val="004A460D"/>
    <w:rsid w:val="004B0978"/>
    <w:rsid w:val="004B534D"/>
    <w:rsid w:val="004C28BF"/>
    <w:rsid w:val="004C774E"/>
    <w:rsid w:val="004C7E27"/>
    <w:rsid w:val="004D7D40"/>
    <w:rsid w:val="004F1A9B"/>
    <w:rsid w:val="005013B3"/>
    <w:rsid w:val="00505FD8"/>
    <w:rsid w:val="00506E38"/>
    <w:rsid w:val="0051295C"/>
    <w:rsid w:val="005155EC"/>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A2294"/>
    <w:rsid w:val="005A51DC"/>
    <w:rsid w:val="005B2711"/>
    <w:rsid w:val="005B7317"/>
    <w:rsid w:val="005C69CC"/>
    <w:rsid w:val="005D3801"/>
    <w:rsid w:val="005D502E"/>
    <w:rsid w:val="005E006C"/>
    <w:rsid w:val="005E32AE"/>
    <w:rsid w:val="005F0BBF"/>
    <w:rsid w:val="005F6958"/>
    <w:rsid w:val="00610AFF"/>
    <w:rsid w:val="00622A73"/>
    <w:rsid w:val="00626463"/>
    <w:rsid w:val="00645ADA"/>
    <w:rsid w:val="00647E27"/>
    <w:rsid w:val="00655C72"/>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27400"/>
    <w:rsid w:val="00731D56"/>
    <w:rsid w:val="0073778D"/>
    <w:rsid w:val="00737A4F"/>
    <w:rsid w:val="00745F07"/>
    <w:rsid w:val="00747EAA"/>
    <w:rsid w:val="00752AD5"/>
    <w:rsid w:val="0075637D"/>
    <w:rsid w:val="007602D7"/>
    <w:rsid w:val="00771EC3"/>
    <w:rsid w:val="0077373E"/>
    <w:rsid w:val="00773ACE"/>
    <w:rsid w:val="0077512D"/>
    <w:rsid w:val="00777555"/>
    <w:rsid w:val="007809B7"/>
    <w:rsid w:val="00782E8F"/>
    <w:rsid w:val="00782F61"/>
    <w:rsid w:val="00784401"/>
    <w:rsid w:val="00785F89"/>
    <w:rsid w:val="0078774E"/>
    <w:rsid w:val="007A6388"/>
    <w:rsid w:val="007B0E7B"/>
    <w:rsid w:val="007B4F5D"/>
    <w:rsid w:val="007B511D"/>
    <w:rsid w:val="007B546A"/>
    <w:rsid w:val="007C0F87"/>
    <w:rsid w:val="007C35C1"/>
    <w:rsid w:val="007C7C80"/>
    <w:rsid w:val="007D6194"/>
    <w:rsid w:val="00803B4C"/>
    <w:rsid w:val="00810AB4"/>
    <w:rsid w:val="00813444"/>
    <w:rsid w:val="00813D23"/>
    <w:rsid w:val="00820D82"/>
    <w:rsid w:val="00821B10"/>
    <w:rsid w:val="0082311D"/>
    <w:rsid w:val="00840293"/>
    <w:rsid w:val="008410D5"/>
    <w:rsid w:val="008433CF"/>
    <w:rsid w:val="00846677"/>
    <w:rsid w:val="008645CD"/>
    <w:rsid w:val="0087108A"/>
    <w:rsid w:val="00872CD7"/>
    <w:rsid w:val="00880986"/>
    <w:rsid w:val="00886A1C"/>
    <w:rsid w:val="008A3BC9"/>
    <w:rsid w:val="008A3BE3"/>
    <w:rsid w:val="008B00A2"/>
    <w:rsid w:val="008B7C35"/>
    <w:rsid w:val="008C5DD9"/>
    <w:rsid w:val="008D2825"/>
    <w:rsid w:val="008D319B"/>
    <w:rsid w:val="008D74B1"/>
    <w:rsid w:val="008E5070"/>
    <w:rsid w:val="008E7403"/>
    <w:rsid w:val="008F1C0C"/>
    <w:rsid w:val="00900A09"/>
    <w:rsid w:val="009074D9"/>
    <w:rsid w:val="00915450"/>
    <w:rsid w:val="0091711E"/>
    <w:rsid w:val="009179CF"/>
    <w:rsid w:val="00925CAA"/>
    <w:rsid w:val="00926A50"/>
    <w:rsid w:val="00933996"/>
    <w:rsid w:val="009342B3"/>
    <w:rsid w:val="00951F3D"/>
    <w:rsid w:val="00956416"/>
    <w:rsid w:val="009572B6"/>
    <w:rsid w:val="009647C8"/>
    <w:rsid w:val="00967F9A"/>
    <w:rsid w:val="0098017E"/>
    <w:rsid w:val="0098787E"/>
    <w:rsid w:val="00993D1E"/>
    <w:rsid w:val="00996EBF"/>
    <w:rsid w:val="009A419F"/>
    <w:rsid w:val="009A6A13"/>
    <w:rsid w:val="009C2652"/>
    <w:rsid w:val="009C2923"/>
    <w:rsid w:val="009C3719"/>
    <w:rsid w:val="009C51C5"/>
    <w:rsid w:val="009C759C"/>
    <w:rsid w:val="009D19FA"/>
    <w:rsid w:val="009D34EB"/>
    <w:rsid w:val="009E5467"/>
    <w:rsid w:val="009E5F72"/>
    <w:rsid w:val="00A051EB"/>
    <w:rsid w:val="00A135CF"/>
    <w:rsid w:val="00A2262C"/>
    <w:rsid w:val="00A23384"/>
    <w:rsid w:val="00A26015"/>
    <w:rsid w:val="00A35674"/>
    <w:rsid w:val="00A37A4F"/>
    <w:rsid w:val="00A40F98"/>
    <w:rsid w:val="00A5202A"/>
    <w:rsid w:val="00A6456E"/>
    <w:rsid w:val="00A67EEB"/>
    <w:rsid w:val="00A8571E"/>
    <w:rsid w:val="00A87845"/>
    <w:rsid w:val="00A90F14"/>
    <w:rsid w:val="00AC27DA"/>
    <w:rsid w:val="00AC476E"/>
    <w:rsid w:val="00AD2349"/>
    <w:rsid w:val="00AE6C2E"/>
    <w:rsid w:val="00AE7BC6"/>
    <w:rsid w:val="00AF3197"/>
    <w:rsid w:val="00AF63CF"/>
    <w:rsid w:val="00AF7E39"/>
    <w:rsid w:val="00B10361"/>
    <w:rsid w:val="00B12BD8"/>
    <w:rsid w:val="00B217D9"/>
    <w:rsid w:val="00B3351E"/>
    <w:rsid w:val="00B44C41"/>
    <w:rsid w:val="00B53973"/>
    <w:rsid w:val="00B54F88"/>
    <w:rsid w:val="00B57C72"/>
    <w:rsid w:val="00B60925"/>
    <w:rsid w:val="00B7283D"/>
    <w:rsid w:val="00B82136"/>
    <w:rsid w:val="00B96F20"/>
    <w:rsid w:val="00BA277B"/>
    <w:rsid w:val="00BA7830"/>
    <w:rsid w:val="00BC0888"/>
    <w:rsid w:val="00BC60A9"/>
    <w:rsid w:val="00BD45AA"/>
    <w:rsid w:val="00BE09D0"/>
    <w:rsid w:val="00BE1393"/>
    <w:rsid w:val="00C01977"/>
    <w:rsid w:val="00C16FF3"/>
    <w:rsid w:val="00C252AE"/>
    <w:rsid w:val="00C26C54"/>
    <w:rsid w:val="00C3191D"/>
    <w:rsid w:val="00C41C46"/>
    <w:rsid w:val="00C659FA"/>
    <w:rsid w:val="00C71D9D"/>
    <w:rsid w:val="00C73E55"/>
    <w:rsid w:val="00C74D69"/>
    <w:rsid w:val="00C81316"/>
    <w:rsid w:val="00C850E0"/>
    <w:rsid w:val="00CA0609"/>
    <w:rsid w:val="00CA4310"/>
    <w:rsid w:val="00CA6349"/>
    <w:rsid w:val="00CB72F7"/>
    <w:rsid w:val="00CB793A"/>
    <w:rsid w:val="00CC064E"/>
    <w:rsid w:val="00CE2166"/>
    <w:rsid w:val="00D000C1"/>
    <w:rsid w:val="00D06C25"/>
    <w:rsid w:val="00D211A0"/>
    <w:rsid w:val="00D31E02"/>
    <w:rsid w:val="00D355EE"/>
    <w:rsid w:val="00D40B9E"/>
    <w:rsid w:val="00D456E5"/>
    <w:rsid w:val="00D57AA5"/>
    <w:rsid w:val="00D64112"/>
    <w:rsid w:val="00D72214"/>
    <w:rsid w:val="00D75112"/>
    <w:rsid w:val="00D75501"/>
    <w:rsid w:val="00D75F59"/>
    <w:rsid w:val="00D80AEE"/>
    <w:rsid w:val="00D90B1F"/>
    <w:rsid w:val="00D9495D"/>
    <w:rsid w:val="00DA4453"/>
    <w:rsid w:val="00DB464D"/>
    <w:rsid w:val="00DB4C5B"/>
    <w:rsid w:val="00DB5A6E"/>
    <w:rsid w:val="00DB74A7"/>
    <w:rsid w:val="00DC3EAB"/>
    <w:rsid w:val="00DD2C1F"/>
    <w:rsid w:val="00DD4AC6"/>
    <w:rsid w:val="00DD6206"/>
    <w:rsid w:val="00DE3260"/>
    <w:rsid w:val="00DE7990"/>
    <w:rsid w:val="00E03C3C"/>
    <w:rsid w:val="00E05B9C"/>
    <w:rsid w:val="00E05F22"/>
    <w:rsid w:val="00E12836"/>
    <w:rsid w:val="00E20BB5"/>
    <w:rsid w:val="00E23EC0"/>
    <w:rsid w:val="00E3726E"/>
    <w:rsid w:val="00E46801"/>
    <w:rsid w:val="00E500D1"/>
    <w:rsid w:val="00E51CAA"/>
    <w:rsid w:val="00E5224A"/>
    <w:rsid w:val="00E557E9"/>
    <w:rsid w:val="00E7585E"/>
    <w:rsid w:val="00E96847"/>
    <w:rsid w:val="00E97E50"/>
    <w:rsid w:val="00EA07C3"/>
    <w:rsid w:val="00EA3DC1"/>
    <w:rsid w:val="00EB117F"/>
    <w:rsid w:val="00EB2189"/>
    <w:rsid w:val="00EC1C00"/>
    <w:rsid w:val="00EC708F"/>
    <w:rsid w:val="00ED03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30442"/>
    <w:rsid w:val="00F31235"/>
    <w:rsid w:val="00F355BA"/>
    <w:rsid w:val="00F42424"/>
    <w:rsid w:val="00F42854"/>
    <w:rsid w:val="00F52F0F"/>
    <w:rsid w:val="00F57633"/>
    <w:rsid w:val="00F64F18"/>
    <w:rsid w:val="00F67E0A"/>
    <w:rsid w:val="00F75426"/>
    <w:rsid w:val="00F85551"/>
    <w:rsid w:val="00FA0273"/>
    <w:rsid w:val="00FB6B27"/>
    <w:rsid w:val="00FC023A"/>
    <w:rsid w:val="00FD575F"/>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39,#4d4d4d,maroon"/>
    </o:shapedefaults>
    <o:shapelayout v:ext="edit">
      <o:idmap v:ext="edit" data="1"/>
    </o:shapelayout>
  </w:shapeDefaults>
  <w:decimalSymbol w:val="."/>
  <w:listSeparator w:val=","/>
  <w14:docId w14:val="5373D136"/>
  <w15:docId w15:val="{4451FF93-127D-430B-B4E7-61C26DDC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C28BF"/>
    <w:pPr>
      <w:keepNext/>
      <w:spacing w:before="200" w:after="120" w:line="240" w:lineRule="auto"/>
      <w:outlineLvl w:val="0"/>
    </w:pPr>
    <w:rPr>
      <w:b/>
      <w:color w:val="7030A0"/>
      <w:sz w:val="40"/>
      <w:szCs w:val="40"/>
      <w:lang w:eastAsia="en-US"/>
    </w:rPr>
  </w:style>
  <w:style w:type="paragraph" w:styleId="Heading2">
    <w:name w:val="heading 2"/>
    <w:basedOn w:val="Normal"/>
    <w:next w:val="Normal"/>
    <w:uiPriority w:val="3"/>
    <w:qFormat/>
    <w:rsid w:val="004C28BF"/>
    <w:pPr>
      <w:keepNext/>
      <w:spacing w:before="240" w:after="120" w:line="240" w:lineRule="auto"/>
      <w:outlineLvl w:val="1"/>
    </w:pPr>
    <w:rPr>
      <w:b/>
      <w:color w:val="7030A0"/>
      <w:sz w:val="32"/>
      <w:szCs w:val="24"/>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B7283D"/>
    <w:pPr>
      <w:numPr>
        <w:numId w:val="17"/>
      </w:numPr>
      <w:ind w:left="230" w:hanging="23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character" w:customStyle="1" w:styleId="CommentTextChar">
    <w:name w:val="Comment Text Char"/>
    <w:basedOn w:val="DefaultParagraphFont"/>
    <w:link w:val="CommentText"/>
    <w:uiPriority w:val="99"/>
    <w:rsid w:val="00CA0609"/>
    <w:rPr>
      <w:rFonts w:ascii="Calibri" w:hAnsi="Calibri" w:cs="Calibri"/>
      <w:sz w:val="22"/>
      <w:szCs w:val="22"/>
    </w:rPr>
  </w:style>
  <w:style w:type="character" w:styleId="UnresolvedMention">
    <w:name w:val="Unresolved Mention"/>
    <w:basedOn w:val="DefaultParagraphFont"/>
    <w:uiPriority w:val="99"/>
    <w:semiHidden/>
    <w:unhideWhenUsed/>
    <w:rsid w:val="00D72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yingfor.vic.gov.au/evaluate-and-select-offers-goods-and-services-guide" TargetMode="External"/><Relationship Id="rId13" Type="http://schemas.openxmlformats.org/officeDocument/2006/relationships/hyperlink" Target="https://buyingfor.vic.gov.au/goods-services-supply-policies" TargetMode="External"/><Relationship Id="rId18" Type="http://schemas.openxmlformats.org/officeDocument/2006/relationships/hyperlink" Target="http://creativecommons.org/licenses/by/3.0/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buyingfor.vic.gov.au/contact" TargetMode="External"/><Relationship Id="rId7" Type="http://schemas.openxmlformats.org/officeDocument/2006/relationships/endnotes" Target="endnotes.xml"/><Relationship Id="rId12" Type="http://schemas.openxmlformats.org/officeDocument/2006/relationships/hyperlink" Target="https://www.buyingfor.vic.gov.au/prepare-supplier-engagement-plan-goods-and-services-guide" TargetMode="External"/><Relationship Id="rId17" Type="http://schemas.openxmlformats.org/officeDocument/2006/relationships/hyperlink" Target="http://www.rdv.vic.gov.a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usiness.vic.gov.au/" TargetMode="External"/><Relationship Id="rId20"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yingfor.vic.gov.au/debrief-participant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vsbc.vic.gov.au/" TargetMode="External"/><Relationship Id="rId23" Type="http://schemas.openxmlformats.org/officeDocument/2006/relationships/footer" Target="footer1.xml"/><Relationship Id="rId10" Type="http://schemas.openxmlformats.org/officeDocument/2006/relationships/hyperlink" Target="https://www.buyingfor.vic.gov.au/supplier-debriefing-template-goods-and-services"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buyingfor.vic.gov.au/evaluate-and-select-offers-goods-and-services-guide" TargetMode="External"/><Relationship Id="rId14" Type="http://schemas.openxmlformats.org/officeDocument/2006/relationships/hyperlink" Target="https://buyingfor.vic.gov.au/market-approach-policy"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5AD4327-3A0D-46F2-AC45-78C42859DFA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Luciella Scarlett (DGS)</cp:lastModifiedBy>
  <cp:revision>36</cp:revision>
  <cp:lastPrinted>2014-10-09T05:06:00Z</cp:lastPrinted>
  <dcterms:created xsi:type="dcterms:W3CDTF">2019-09-01T00:45:00Z</dcterms:created>
  <dcterms:modified xsi:type="dcterms:W3CDTF">2025-02-13T03:18:00Z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Owner">
    <vt:lpwstr>athena.rozenberg@dtf.vic.gov.au</vt:lpwstr>
  </property>
  <property fmtid="{D5CDD505-2E9C-101B-9397-08002B2CF9AE}" pid="11" name="MSIP_Label_7158ebbd-6c5e-441f-bfc9-4eb8c11e3978_SetDate">
    <vt:lpwstr>2019-09-01T01:25:59.3361993Z</vt:lpwstr>
  </property>
  <property fmtid="{D5CDD505-2E9C-101B-9397-08002B2CF9AE}" pid="12" name="MSIP_Label_7158ebbd-6c5e-441f-bfc9-4eb8c11e3978_Name">
    <vt:lpwstr>OFFICIAL</vt:lpwstr>
  </property>
  <property fmtid="{D5CDD505-2E9C-101B-9397-08002B2CF9AE}" pid="13" name="MSIP_Label_7158ebbd-6c5e-441f-bfc9-4eb8c11e3978_Application">
    <vt:lpwstr>Microsoft Azure Information Protection</vt:lpwstr>
  </property>
  <property fmtid="{D5CDD505-2E9C-101B-9397-08002B2CF9AE}" pid="14" name="MSIP_Label_7158ebbd-6c5e-441f-bfc9-4eb8c11e3978_Extended_MSFT_Method">
    <vt:lpwstr>Manual</vt:lpwstr>
  </property>
  <property fmtid="{D5CDD505-2E9C-101B-9397-08002B2CF9AE}" pid="15" name="Sensitivity">
    <vt:lpwstr>OFFICIAL</vt:lpwstr>
  </property>
</Properties>
</file>