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2C73" w14:textId="57C17ED4" w:rsidR="00E213D5" w:rsidRPr="00C65BE7" w:rsidRDefault="00E213D5" w:rsidP="00C65BE7">
      <w:pPr>
        <w:pStyle w:val="Heading1"/>
        <w:keepLines w:val="0"/>
        <w:spacing w:before="200" w:after="240" w:line="240" w:lineRule="auto"/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</w:pPr>
      <w:r w:rsidRPr="00C65BE7"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  <w:t>Application of Social Procurement Framework weighting (example)</w:t>
      </w:r>
    </w:p>
    <w:p w14:paraId="46A8807C" w14:textId="5C058006" w:rsidR="0000388D" w:rsidRPr="00D32990" w:rsidRDefault="0000388D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The example approach adopts indicative minimum weightings as follows:</w:t>
      </w:r>
    </w:p>
    <w:p w14:paraId="4955E9DE" w14:textId="3448392A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Individual procurement activities valued under $20 million (exclusive of GST) – assign a minimum total weighting of 5 percent in respect of evaluation criteria associated with ‘supplier attributes’ and/or ‘social or sustainable business practices’. The definitions of ‘supplier attributes’ and ‘social or sustainable business practices</w:t>
      </w:r>
      <w:r w:rsidR="009408FF" w:rsidRPr="00D32990">
        <w:rPr>
          <w:sz w:val="22"/>
          <w:szCs w:val="22"/>
        </w:rPr>
        <w:t>’</w:t>
      </w:r>
      <w:r w:rsidRPr="00D32990">
        <w:rPr>
          <w:sz w:val="22"/>
          <w:szCs w:val="22"/>
        </w:rPr>
        <w:t xml:space="preserve"> are provided </w:t>
      </w:r>
      <w:r w:rsidR="00E213D5" w:rsidRPr="00D32990">
        <w:rPr>
          <w:sz w:val="22"/>
          <w:szCs w:val="22"/>
        </w:rPr>
        <w:t xml:space="preserve">in </w:t>
      </w:r>
      <w:hyperlink r:id="rId9" w:history="1">
        <w:r w:rsidR="00E213D5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Understanding social procurement</w:t>
        </w:r>
      </w:hyperlink>
      <w:r w:rsidRPr="00D32990">
        <w:rPr>
          <w:sz w:val="22"/>
          <w:szCs w:val="22"/>
        </w:rPr>
        <w:t xml:space="preserve">. Note that this example departs from the ‘described approach’ in </w:t>
      </w:r>
      <w:r w:rsidR="00DC63C6" w:rsidRPr="00D32990">
        <w:rPr>
          <w:sz w:val="22"/>
          <w:szCs w:val="22"/>
        </w:rPr>
        <w:t xml:space="preserve">Table 3 </w:t>
      </w:r>
      <w:hyperlink r:id="rId10" w:history="1"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buyers)</w:t>
        </w:r>
      </w:hyperlink>
      <w:r w:rsidR="00E213D5" w:rsidRPr="00D32990">
        <w:rPr>
          <w:rFonts w:cstheme="minorHAnsi"/>
          <w:sz w:val="22"/>
          <w:szCs w:val="22"/>
          <w:lang w:bidi="he-IL"/>
        </w:rPr>
        <w:t xml:space="preserve"> </w:t>
      </w:r>
      <w:r w:rsidRPr="00D32990">
        <w:rPr>
          <w:sz w:val="22"/>
          <w:szCs w:val="22"/>
        </w:rPr>
        <w:t>in relation to ‘below threshold’ activities, which does not recommend weighted evaluation criteria.</w:t>
      </w:r>
    </w:p>
    <w:p w14:paraId="7FF9B4CC" w14:textId="04F5B127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Individual procurement activities valued at or above $20 million</w:t>
      </w:r>
      <w:r w:rsidR="00E213D5" w:rsidRPr="00D32990">
        <w:rPr>
          <w:sz w:val="22"/>
          <w:szCs w:val="22"/>
        </w:rPr>
        <w:t xml:space="preserve"> (exclusive of GST)</w:t>
      </w:r>
      <w:r w:rsidRPr="00D32990">
        <w:rPr>
          <w:sz w:val="22"/>
          <w:szCs w:val="22"/>
        </w:rPr>
        <w:t xml:space="preserve"> – assign a minimum total weighting of 10 percent, which includes an additional 5 percent allocated in respect of evaluation criteria associated with ‘social and sustainable outputs’ also being achieved from the individual procurement.</w:t>
      </w:r>
      <w:r w:rsidR="00E213D5" w:rsidRPr="00D32990">
        <w:rPr>
          <w:sz w:val="22"/>
          <w:szCs w:val="22"/>
        </w:rPr>
        <w:t xml:space="preserve"> The definition of ‘social or sustainable outputs’ is provided in </w:t>
      </w:r>
      <w:hyperlink r:id="rId11" w:history="1"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Un</w:t>
        </w:r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u w:val="single"/>
          </w:rPr>
          <w:t>derstanding</w:t>
        </w:r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 xml:space="preserve"> social procurement</w:t>
        </w:r>
      </w:hyperlink>
      <w:r w:rsidR="00DC63C6">
        <w:rPr>
          <w:sz w:val="22"/>
          <w:szCs w:val="22"/>
        </w:rPr>
        <w:t>.</w:t>
      </w:r>
    </w:p>
    <w:p w14:paraId="2999FD6E" w14:textId="77777777" w:rsidR="0000388D" w:rsidRPr="00D32990" w:rsidRDefault="0000388D" w:rsidP="00C65BE7">
      <w:pPr>
        <w:pStyle w:val="Bullet1"/>
        <w:numPr>
          <w:ilvl w:val="0"/>
          <w:numId w:val="0"/>
        </w:numPr>
        <w:spacing w:before="120" w:after="120" w:line="264" w:lineRule="auto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Importantly, it may be appropriate for government buyers to:</w:t>
      </w:r>
    </w:p>
    <w:p w14:paraId="139C409A" w14:textId="01D13378" w:rsidR="0000388D" w:rsidRPr="00D32990" w:rsidRDefault="0000388D" w:rsidP="00C65BE7">
      <w:pPr>
        <w:pStyle w:val="Bullet1"/>
        <w:numPr>
          <w:ilvl w:val="0"/>
          <w:numId w:val="8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allocate higher weightings than the recommended 5 to 10 percent for </w:t>
      </w:r>
      <w:r w:rsidR="00E213D5" w:rsidRPr="00D32990">
        <w:rPr>
          <w:sz w:val="22"/>
          <w:szCs w:val="22"/>
        </w:rPr>
        <w:t>Social Procurement Framework</w:t>
      </w:r>
      <w:r w:rsidRPr="00D32990">
        <w:rPr>
          <w:sz w:val="22"/>
          <w:szCs w:val="22"/>
        </w:rPr>
        <w:t>-related evaluation criteria in some procurement activities; and</w:t>
      </w:r>
    </w:p>
    <w:p w14:paraId="6C670D0A" w14:textId="1577E3CA" w:rsidR="0000388D" w:rsidRPr="00D32990" w:rsidRDefault="0000388D" w:rsidP="00C65BE7">
      <w:pPr>
        <w:pStyle w:val="Bullet1"/>
        <w:numPr>
          <w:ilvl w:val="0"/>
          <w:numId w:val="8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set performance standards, requirements or targets for individual procurement activities valued under $20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Pr="00D32990">
        <w:rPr>
          <w:sz w:val="22"/>
          <w:szCs w:val="22"/>
        </w:rPr>
        <w:t xml:space="preserve"> (</w:t>
      </w:r>
      <w:r w:rsidR="00780877">
        <w:rPr>
          <w:sz w:val="22"/>
          <w:szCs w:val="22"/>
        </w:rPr>
        <w:t>that is,</w:t>
      </w:r>
      <w:r w:rsidRPr="00D32990">
        <w:rPr>
          <w:sz w:val="22"/>
          <w:szCs w:val="22"/>
        </w:rPr>
        <w:t xml:space="preserve"> focus on social and sustainable outputs, rather than supplier attributes and/or business practices as recommended in Table 3 </w:t>
      </w:r>
      <w:hyperlink r:id="rId12" w:history="1">
        <w:r w:rsidR="00E213D5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</w:t>
        </w:r>
        <w:r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)</w:t>
        </w:r>
      </w:hyperlink>
      <w:r w:rsidRPr="00D32990">
        <w:rPr>
          <w:sz w:val="22"/>
          <w:szCs w:val="22"/>
        </w:rPr>
        <w:t>.</w:t>
      </w:r>
    </w:p>
    <w:p w14:paraId="486C2235" w14:textId="2B8F6250" w:rsidR="0000388D" w:rsidRPr="00D32990" w:rsidRDefault="0000388D" w:rsidP="00C65BE7">
      <w:pPr>
        <w:pStyle w:val="Bullet1"/>
        <w:numPr>
          <w:ilvl w:val="0"/>
          <w:numId w:val="0"/>
        </w:numPr>
        <w:spacing w:before="120" w:after="120" w:line="264" w:lineRule="auto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For example, in an individual procurement activity valued under $20 million</w:t>
      </w:r>
      <w:r w:rsidR="00E213D5" w:rsidRPr="00D32990">
        <w:rPr>
          <w:sz w:val="22"/>
          <w:szCs w:val="22"/>
        </w:rPr>
        <w:t xml:space="preserve"> (exclusive of GST)</w:t>
      </w:r>
      <w:r w:rsidRPr="00D32990">
        <w:rPr>
          <w:sz w:val="22"/>
          <w:szCs w:val="22"/>
        </w:rPr>
        <w:t xml:space="preserve">, it may be appropriate to set targets on labour hours to be performed by Victorians with disability, notwithstanding that the recommended action for ‘lower band’ activities in </w:t>
      </w:r>
      <w:r w:rsidR="00DC63C6" w:rsidRPr="00D32990">
        <w:rPr>
          <w:sz w:val="22"/>
          <w:szCs w:val="22"/>
        </w:rPr>
        <w:t xml:space="preserve">Table 3 </w:t>
      </w:r>
      <w:hyperlink r:id="rId13" w:history="1"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buyers)</w:t>
        </w:r>
      </w:hyperlink>
      <w:r w:rsidR="00E213D5" w:rsidRPr="00D32990">
        <w:rPr>
          <w:rFonts w:cstheme="minorHAnsi"/>
          <w:sz w:val="22"/>
          <w:szCs w:val="22"/>
          <w:lang w:bidi="he-IL"/>
        </w:rPr>
        <w:t xml:space="preserve"> </w:t>
      </w:r>
      <w:r w:rsidRPr="00D32990">
        <w:rPr>
          <w:sz w:val="22"/>
          <w:szCs w:val="22"/>
        </w:rPr>
        <w:t>is to seek opportunities to procure from Victorian social enterprises</w:t>
      </w:r>
      <w:r w:rsidR="00E213D5" w:rsidRPr="00D32990">
        <w:rPr>
          <w:sz w:val="22"/>
          <w:szCs w:val="22"/>
        </w:rPr>
        <w:t xml:space="preserve"> </w:t>
      </w:r>
      <w:r w:rsidRPr="00D32990">
        <w:rPr>
          <w:sz w:val="22"/>
          <w:szCs w:val="22"/>
        </w:rPr>
        <w:t>/</w:t>
      </w:r>
      <w:r w:rsidR="00E213D5" w:rsidRPr="00D32990">
        <w:rPr>
          <w:sz w:val="22"/>
          <w:szCs w:val="22"/>
        </w:rPr>
        <w:t xml:space="preserve"> Australian Disability Enterprises </w:t>
      </w:r>
      <w:r w:rsidRPr="00D32990">
        <w:rPr>
          <w:sz w:val="22"/>
          <w:szCs w:val="22"/>
        </w:rPr>
        <w:t>or ask suppliers to demonstrate inclusive employment practices.</w:t>
      </w:r>
    </w:p>
    <w:p w14:paraId="7769228B" w14:textId="77777777" w:rsidR="0000388D" w:rsidRPr="00C65BE7" w:rsidRDefault="0000388D" w:rsidP="00C65BE7">
      <w:pPr>
        <w:pStyle w:val="Heading2"/>
        <w:keepLines w:val="0"/>
        <w:spacing w:before="120" w:after="120" w:line="264" w:lineRule="auto"/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</w:pPr>
      <w:r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>Proposed application of weightings</w:t>
      </w:r>
    </w:p>
    <w:p w14:paraId="175F1FCA" w14:textId="3A01B3F4" w:rsidR="0000388D" w:rsidRPr="00D32990" w:rsidRDefault="009C17F5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 xml:space="preserve">The example approach to application of social procurement weightings </w:t>
      </w:r>
      <w:r w:rsidR="0000388D" w:rsidRPr="00D32990">
        <w:rPr>
          <w:sz w:val="22"/>
          <w:szCs w:val="22"/>
        </w:rPr>
        <w:t>sets out:</w:t>
      </w:r>
    </w:p>
    <w:p w14:paraId="37535470" w14:textId="53EE2612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an indicative total weighting for each of the four value bands specified in </w:t>
      </w:r>
      <w:r w:rsidR="00DC63C6" w:rsidRPr="00D32990">
        <w:rPr>
          <w:sz w:val="22"/>
          <w:szCs w:val="22"/>
        </w:rPr>
        <w:t xml:space="preserve">Table 3 </w:t>
      </w:r>
      <w:hyperlink r:id="rId14" w:history="1">
        <w:r w:rsidR="00DC63C6" w:rsidRPr="00C65BE7">
          <w:rPr>
            <w:rStyle w:val="Hyperlink"/>
            <w:rFonts w:ascii="Calibri" w:eastAsia="Times New Roman" w:hAnsi="Calibri" w:cs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buyers)</w:t>
        </w:r>
      </w:hyperlink>
      <w:r w:rsidRPr="00D32990">
        <w:rPr>
          <w:sz w:val="22"/>
          <w:szCs w:val="22"/>
        </w:rPr>
        <w:t>;</w:t>
      </w:r>
    </w:p>
    <w:p w14:paraId="12DB0E2E" w14:textId="69092E03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the key focus area(s) for each band</w:t>
      </w:r>
      <w:r w:rsidR="00D32990" w:rsidRPr="00D32990">
        <w:rPr>
          <w:sz w:val="22"/>
          <w:szCs w:val="22"/>
        </w:rPr>
        <w:t xml:space="preserve"> </w:t>
      </w:r>
      <w:r w:rsidR="00E213D5" w:rsidRPr="00D32990">
        <w:rPr>
          <w:sz w:val="22"/>
          <w:szCs w:val="22"/>
        </w:rPr>
        <w:t xml:space="preserve">(see </w:t>
      </w:r>
      <w:hyperlink r:id="rId15" w:history="1">
        <w:r w:rsidR="00E213D5" w:rsidRPr="00C65BE7">
          <w:rPr>
            <w:rStyle w:val="Hyperlink"/>
            <w:rFonts w:ascii="Calibri" w:eastAsia="Times New Roman" w:hAnsi="Calibri" w:cs="Calibri"/>
            <w:color w:val="44546A" w:themeColor="text2"/>
            <w:spacing w:val="0"/>
            <w:sz w:val="22"/>
            <w:szCs w:val="22"/>
            <w:u w:val="single"/>
          </w:rPr>
          <w:t>Social procurement objectives and outcomes and key focus areas</w:t>
        </w:r>
      </w:hyperlink>
      <w:r w:rsidR="00E213D5" w:rsidRPr="00D32990">
        <w:rPr>
          <w:sz w:val="22"/>
          <w:szCs w:val="22"/>
        </w:rPr>
        <w:t>)</w:t>
      </w:r>
      <w:r w:rsidR="009408FF" w:rsidRPr="00D32990">
        <w:rPr>
          <w:sz w:val="22"/>
          <w:szCs w:val="22"/>
        </w:rPr>
        <w:t>;</w:t>
      </w:r>
    </w:p>
    <w:p w14:paraId="78BBA4BE" w14:textId="336A8909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how the full weighted score for </w:t>
      </w:r>
      <w:r w:rsidR="00E213D5" w:rsidRPr="00D32990">
        <w:rPr>
          <w:sz w:val="22"/>
          <w:szCs w:val="22"/>
        </w:rPr>
        <w:t xml:space="preserve">Social Procurement Framework </w:t>
      </w:r>
      <w:r w:rsidRPr="00D32990">
        <w:rPr>
          <w:sz w:val="22"/>
          <w:szCs w:val="22"/>
        </w:rPr>
        <w:t>outcomes may be derived for each band; and</w:t>
      </w:r>
    </w:p>
    <w:p w14:paraId="51AC0967" w14:textId="77777777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lastRenderedPageBreak/>
        <w:t>a risk discount mechanism, where an assessment of risk that a social procurement commitment made by a supplier will not be met, results in the application of a discount / reduction to the supplier’s score.</w:t>
      </w:r>
    </w:p>
    <w:p w14:paraId="4FF1A256" w14:textId="7DE6F8DD" w:rsidR="0000388D" w:rsidRPr="00D32990" w:rsidRDefault="0000388D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The indicative total weightings, and the proposed application of those weightings, provides one example of an approach to incorporating social and sustainable outcomes into an evaluation process:</w:t>
      </w:r>
    </w:p>
    <w:p w14:paraId="03EDA8FE" w14:textId="29D5D14B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for individual procurement activities </w:t>
      </w:r>
      <w:r w:rsidR="009408FF" w:rsidRPr="00D32990">
        <w:rPr>
          <w:sz w:val="22"/>
          <w:szCs w:val="22"/>
        </w:rPr>
        <w:t>valued below $1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="009408FF" w:rsidRPr="00D32990">
        <w:rPr>
          <w:sz w:val="22"/>
          <w:szCs w:val="22"/>
        </w:rPr>
        <w:t xml:space="preserve"> (regional) or $3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="009408FF" w:rsidRPr="00D32990">
        <w:rPr>
          <w:sz w:val="22"/>
          <w:szCs w:val="22"/>
        </w:rPr>
        <w:t xml:space="preserve"> (metro or State-wide)</w:t>
      </w:r>
      <w:r w:rsidRPr="00D32990">
        <w:rPr>
          <w:sz w:val="22"/>
          <w:szCs w:val="22"/>
        </w:rPr>
        <w:t>, a maximum score may be achieved by adopting a direct approach to social procurement (</w:t>
      </w:r>
      <w:r w:rsidR="00780877">
        <w:rPr>
          <w:sz w:val="22"/>
          <w:szCs w:val="22"/>
        </w:rPr>
        <w:t>that is,</w:t>
      </w:r>
      <w:r w:rsidRPr="00D32990">
        <w:rPr>
          <w:sz w:val="22"/>
          <w:szCs w:val="22"/>
        </w:rPr>
        <w:t xml:space="preserve"> purchasing from a social benefit supplier) or, alternatively, an indirect approach to social procurement where the mainstream supplier is required to involve a social benefit supplier through the supply chain (</w:t>
      </w:r>
      <w:r w:rsidR="00780877">
        <w:rPr>
          <w:sz w:val="22"/>
          <w:szCs w:val="22"/>
        </w:rPr>
        <w:t>for example,</w:t>
      </w:r>
      <w:r w:rsidRPr="00D32990">
        <w:rPr>
          <w:sz w:val="22"/>
          <w:szCs w:val="22"/>
        </w:rPr>
        <w:t xml:space="preserve"> by way of subcontracting);</w:t>
      </w:r>
    </w:p>
    <w:p w14:paraId="4F78D364" w14:textId="2B37414F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for individual procurement activities </w:t>
      </w:r>
      <w:r w:rsidR="009408FF" w:rsidRPr="00D32990">
        <w:rPr>
          <w:sz w:val="22"/>
          <w:szCs w:val="22"/>
        </w:rPr>
        <w:t xml:space="preserve">valued at or above $1 million </w:t>
      </w:r>
      <w:r w:rsidR="00780877" w:rsidRPr="00D32990">
        <w:rPr>
          <w:sz w:val="22"/>
          <w:szCs w:val="22"/>
        </w:rPr>
        <w:t xml:space="preserve">(exclusive of GST) </w:t>
      </w:r>
      <w:r w:rsidR="009408FF" w:rsidRPr="00D32990">
        <w:rPr>
          <w:sz w:val="22"/>
          <w:szCs w:val="22"/>
        </w:rPr>
        <w:t xml:space="preserve">(regional) or $3 million </w:t>
      </w:r>
      <w:r w:rsidR="00780877" w:rsidRPr="00D32990">
        <w:rPr>
          <w:sz w:val="22"/>
          <w:szCs w:val="22"/>
        </w:rPr>
        <w:t xml:space="preserve">(exclusive of GST) </w:t>
      </w:r>
      <w:r w:rsidR="009408FF" w:rsidRPr="00D32990">
        <w:rPr>
          <w:sz w:val="22"/>
          <w:szCs w:val="22"/>
        </w:rPr>
        <w:t>(metro or State-wide) up to $20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Pr="00D32990">
        <w:rPr>
          <w:sz w:val="22"/>
          <w:szCs w:val="22"/>
        </w:rPr>
        <w:t>, a maximum score may be achieved by:</w:t>
      </w:r>
    </w:p>
    <w:p w14:paraId="6952893A" w14:textId="703D6209" w:rsidR="0000388D" w:rsidRPr="00D32990" w:rsidRDefault="0000388D" w:rsidP="00C65BE7">
      <w:pPr>
        <w:pStyle w:val="Bullet2"/>
        <w:numPr>
          <w:ilvl w:val="2"/>
          <w:numId w:val="15"/>
        </w:numPr>
        <w:tabs>
          <w:tab w:val="clear" w:pos="1293"/>
        </w:tabs>
        <w:spacing w:before="120" w:after="120" w:line="264" w:lineRule="auto"/>
        <w:ind w:left="851"/>
        <w:rPr>
          <w:sz w:val="22"/>
          <w:szCs w:val="22"/>
        </w:rPr>
      </w:pPr>
      <w:r w:rsidRPr="00D32990">
        <w:rPr>
          <w:sz w:val="22"/>
          <w:szCs w:val="22"/>
        </w:rPr>
        <w:t>a direct approach to social procurement;</w:t>
      </w:r>
    </w:p>
    <w:p w14:paraId="1E677779" w14:textId="4604D4E7" w:rsidR="0000388D" w:rsidRPr="00D32990" w:rsidRDefault="0000388D" w:rsidP="00C65BE7">
      <w:pPr>
        <w:pStyle w:val="Bullet2"/>
        <w:numPr>
          <w:ilvl w:val="2"/>
          <w:numId w:val="15"/>
        </w:numPr>
        <w:tabs>
          <w:tab w:val="clear" w:pos="1293"/>
        </w:tabs>
        <w:spacing w:before="120" w:after="120" w:line="264" w:lineRule="auto"/>
        <w:ind w:left="851"/>
        <w:rPr>
          <w:sz w:val="22"/>
          <w:szCs w:val="22"/>
        </w:rPr>
      </w:pPr>
      <w:r w:rsidRPr="00D32990">
        <w:rPr>
          <w:sz w:val="22"/>
          <w:szCs w:val="22"/>
        </w:rPr>
        <w:t xml:space="preserve">an indirect approach to social procurement </w:t>
      </w:r>
      <w:r w:rsidRPr="00D32990">
        <w:rPr>
          <w:i/>
          <w:sz w:val="22"/>
          <w:szCs w:val="22"/>
        </w:rPr>
        <w:t>plus</w:t>
      </w:r>
      <w:r w:rsidRPr="00D32990">
        <w:rPr>
          <w:sz w:val="22"/>
          <w:szCs w:val="22"/>
        </w:rPr>
        <w:t xml:space="preserve"> one social or sustainable business practice; or</w:t>
      </w:r>
    </w:p>
    <w:p w14:paraId="025F2B09" w14:textId="77777777" w:rsidR="0000388D" w:rsidRPr="00D32990" w:rsidRDefault="0000388D" w:rsidP="00C65BE7">
      <w:pPr>
        <w:pStyle w:val="Bullet2"/>
        <w:numPr>
          <w:ilvl w:val="2"/>
          <w:numId w:val="15"/>
        </w:numPr>
        <w:tabs>
          <w:tab w:val="clear" w:pos="1293"/>
        </w:tabs>
        <w:spacing w:before="120" w:after="120" w:line="264" w:lineRule="auto"/>
        <w:ind w:left="851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an indirect approach to social procurement involving two social or sustainable business practices; and</w:t>
      </w:r>
    </w:p>
    <w:p w14:paraId="1802B617" w14:textId="1837AEBD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for individual procurement activities </w:t>
      </w:r>
      <w:r w:rsidR="009408FF" w:rsidRPr="00D32990">
        <w:rPr>
          <w:sz w:val="22"/>
          <w:szCs w:val="22"/>
        </w:rPr>
        <w:t>valued at or above $20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Pr="00D32990">
        <w:rPr>
          <w:sz w:val="22"/>
          <w:szCs w:val="22"/>
        </w:rPr>
        <w:t>, a maximum score may be achieved through a combination of supplier attributes, social or sustainable business practices and/or social or sustainable outputs.</w:t>
      </w:r>
    </w:p>
    <w:p w14:paraId="3B103E37" w14:textId="0C99E8B2" w:rsidR="0000388D" w:rsidRPr="00D32990" w:rsidRDefault="0000388D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In preparing for the market approach, government buyers are responsible for determining which SPF objectives and outcomes are to be pursued and prioritised in the individual procurement activity.</w:t>
      </w:r>
    </w:p>
    <w:p w14:paraId="792F94C0" w14:textId="6283F21E" w:rsidR="0000388D" w:rsidRPr="00D32990" w:rsidRDefault="009E3813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Note</w:t>
      </w:r>
      <w:r w:rsidR="0000388D" w:rsidRPr="00D32990">
        <w:rPr>
          <w:sz w:val="22"/>
          <w:szCs w:val="22"/>
        </w:rPr>
        <w:t xml:space="preserve">: This example approach is not prescriptive – it is up to the government buyer to determine the most appropriate approach based on the circumstances of the individual procurement activity. It should be read in conjunction with </w:t>
      </w:r>
      <w:r w:rsidRPr="00D32990">
        <w:rPr>
          <w:sz w:val="22"/>
          <w:szCs w:val="22"/>
        </w:rPr>
        <w:t xml:space="preserve">the template </w:t>
      </w:r>
      <w:r w:rsidRPr="00D32990">
        <w:rPr>
          <w:rFonts w:cstheme="minorHAnsi"/>
          <w:sz w:val="22"/>
          <w:szCs w:val="22"/>
        </w:rPr>
        <w:t>scoring against Social Procurement Framework evaluation criteria</w:t>
      </w:r>
      <w:r w:rsidR="0000388D" w:rsidRPr="00D32990">
        <w:rPr>
          <w:sz w:val="22"/>
          <w:szCs w:val="22"/>
        </w:rPr>
        <w:t xml:space="preserve">), which examines scoring against </w:t>
      </w:r>
      <w:r w:rsidRPr="00D32990">
        <w:rPr>
          <w:sz w:val="22"/>
          <w:szCs w:val="22"/>
        </w:rPr>
        <w:t xml:space="preserve">Social Procurement Framework </w:t>
      </w:r>
      <w:r w:rsidR="0000388D" w:rsidRPr="00D32990">
        <w:rPr>
          <w:sz w:val="22"/>
          <w:szCs w:val="22"/>
        </w:rPr>
        <w:t>evaluation criteria</w:t>
      </w:r>
      <w:r w:rsidR="00D32990" w:rsidRPr="00D32990">
        <w:rPr>
          <w:sz w:val="22"/>
          <w:szCs w:val="22"/>
        </w:rPr>
        <w:t>.</w:t>
      </w:r>
    </w:p>
    <w:p w14:paraId="5E21740F" w14:textId="59E5C756" w:rsidR="0000388D" w:rsidRDefault="0000388D" w:rsidP="00780877">
      <w:pPr>
        <w:pStyle w:val="Heading2"/>
        <w:keepLines w:val="0"/>
        <w:spacing w:before="120" w:after="120" w:line="264" w:lineRule="auto"/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</w:pPr>
      <w:r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 xml:space="preserve">Example approach to application of </w:t>
      </w:r>
      <w:r w:rsidR="009C17F5"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 xml:space="preserve">social procurement </w:t>
      </w:r>
      <w:r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>weightings</w:t>
      </w:r>
    </w:p>
    <w:p w14:paraId="5F1D18B7" w14:textId="7EEA9368" w:rsidR="00780877" w:rsidRDefault="00780877" w:rsidP="00780877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>The following table sets out an example of how to develop social procurement weightings.</w:t>
      </w:r>
    </w:p>
    <w:p w14:paraId="0825FDBD" w14:textId="0F859872" w:rsidR="00780877" w:rsidRDefault="00780877">
      <w:pPr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DTFtexttable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191"/>
        <w:gridCol w:w="2127"/>
        <w:gridCol w:w="2126"/>
        <w:gridCol w:w="2126"/>
        <w:gridCol w:w="2137"/>
      </w:tblGrid>
      <w:tr w:rsidR="00D32990" w:rsidRPr="00D32990" w14:paraId="1554581D" w14:textId="77777777" w:rsidTr="00C65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91" w:type="dxa"/>
            <w:shd w:val="clear" w:color="auto" w:fill="auto"/>
          </w:tcPr>
          <w:p w14:paraId="446E580A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58344362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Below threshold</w:t>
            </w:r>
          </w:p>
        </w:tc>
        <w:tc>
          <w:tcPr>
            <w:tcW w:w="2126" w:type="dxa"/>
            <w:shd w:val="clear" w:color="auto" w:fill="auto"/>
          </w:tcPr>
          <w:p w14:paraId="6809F8F1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Lower band</w:t>
            </w:r>
          </w:p>
        </w:tc>
        <w:tc>
          <w:tcPr>
            <w:tcW w:w="2126" w:type="dxa"/>
            <w:shd w:val="clear" w:color="auto" w:fill="auto"/>
          </w:tcPr>
          <w:p w14:paraId="61A0166E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Middle band</w:t>
            </w:r>
          </w:p>
        </w:tc>
        <w:tc>
          <w:tcPr>
            <w:tcW w:w="2137" w:type="dxa"/>
            <w:shd w:val="clear" w:color="auto" w:fill="auto"/>
          </w:tcPr>
          <w:p w14:paraId="558974D8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Upper band</w:t>
            </w:r>
          </w:p>
        </w:tc>
      </w:tr>
      <w:tr w:rsidR="00D32990" w:rsidRPr="00D32990" w14:paraId="48913350" w14:textId="77777777" w:rsidTr="00D32990">
        <w:trPr>
          <w:trHeight w:val="480"/>
        </w:trPr>
        <w:tc>
          <w:tcPr>
            <w:tcW w:w="1191" w:type="dxa"/>
            <w:shd w:val="clear" w:color="auto" w:fill="auto"/>
          </w:tcPr>
          <w:p w14:paraId="5FC51B9D" w14:textId="36ACF71D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Total </w:t>
            </w:r>
            <w:r w:rsidR="00F74455" w:rsidRPr="00C65BE7">
              <w:rPr>
                <w:bCs/>
                <w:noProof/>
              </w:rPr>
              <w:t xml:space="preserve">Social Procurement Framework </w:t>
            </w:r>
            <w:r w:rsidRPr="00C65BE7">
              <w:rPr>
                <w:bCs/>
                <w:noProof/>
              </w:rPr>
              <w:t>-related criteria weighting</w:t>
            </w:r>
          </w:p>
        </w:tc>
        <w:tc>
          <w:tcPr>
            <w:tcW w:w="2127" w:type="dxa"/>
            <w:shd w:val="clear" w:color="auto" w:fill="auto"/>
          </w:tcPr>
          <w:p w14:paraId="27C13007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5%</w:t>
            </w:r>
          </w:p>
        </w:tc>
        <w:tc>
          <w:tcPr>
            <w:tcW w:w="2126" w:type="dxa"/>
            <w:shd w:val="clear" w:color="auto" w:fill="auto"/>
          </w:tcPr>
          <w:p w14:paraId="395C35CA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5%</w:t>
            </w:r>
          </w:p>
        </w:tc>
        <w:tc>
          <w:tcPr>
            <w:tcW w:w="2126" w:type="dxa"/>
            <w:shd w:val="clear" w:color="auto" w:fill="auto"/>
          </w:tcPr>
          <w:p w14:paraId="21885788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10%</w:t>
            </w:r>
          </w:p>
        </w:tc>
        <w:tc>
          <w:tcPr>
            <w:tcW w:w="2137" w:type="dxa"/>
            <w:shd w:val="clear" w:color="auto" w:fill="auto"/>
          </w:tcPr>
          <w:p w14:paraId="0692CB62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10%</w:t>
            </w:r>
          </w:p>
        </w:tc>
      </w:tr>
      <w:tr w:rsidR="00D32990" w:rsidRPr="00D32990" w14:paraId="66B83FB9" w14:textId="77777777" w:rsidTr="00D32990">
        <w:trPr>
          <w:trHeight w:val="493"/>
        </w:trPr>
        <w:tc>
          <w:tcPr>
            <w:tcW w:w="1191" w:type="dxa"/>
            <w:shd w:val="clear" w:color="auto" w:fill="auto"/>
          </w:tcPr>
          <w:p w14:paraId="056A4D32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Application of weighting</w:t>
            </w:r>
          </w:p>
        </w:tc>
        <w:tc>
          <w:tcPr>
            <w:tcW w:w="2127" w:type="dxa"/>
            <w:shd w:val="clear" w:color="auto" w:fill="auto"/>
          </w:tcPr>
          <w:p w14:paraId="5A20356E" w14:textId="2490DB2B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  <w:tc>
          <w:tcPr>
            <w:tcW w:w="2126" w:type="dxa"/>
            <w:shd w:val="clear" w:color="auto" w:fill="auto"/>
          </w:tcPr>
          <w:p w14:paraId="20AE94A1" w14:textId="6434CCF9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  <w:tc>
          <w:tcPr>
            <w:tcW w:w="2126" w:type="dxa"/>
            <w:shd w:val="clear" w:color="auto" w:fill="auto"/>
          </w:tcPr>
          <w:p w14:paraId="6488ABE5" w14:textId="58A849D1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  <w:tc>
          <w:tcPr>
            <w:tcW w:w="2137" w:type="dxa"/>
            <w:shd w:val="clear" w:color="auto" w:fill="auto"/>
          </w:tcPr>
          <w:p w14:paraId="6A374E00" w14:textId="4B24BD34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</w:tr>
      <w:tr w:rsidR="00D32990" w:rsidRPr="00D32990" w14:paraId="1972611F" w14:textId="77777777" w:rsidTr="00D32990">
        <w:tc>
          <w:tcPr>
            <w:tcW w:w="1191" w:type="dxa"/>
            <w:shd w:val="clear" w:color="auto" w:fill="auto"/>
          </w:tcPr>
          <w:p w14:paraId="4571815C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Key focus area</w:t>
            </w:r>
          </w:p>
        </w:tc>
        <w:tc>
          <w:tcPr>
            <w:tcW w:w="2127" w:type="dxa"/>
            <w:shd w:val="clear" w:color="auto" w:fill="auto"/>
          </w:tcPr>
          <w:p w14:paraId="2E7C8881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(5%)</w:t>
            </w:r>
          </w:p>
        </w:tc>
        <w:tc>
          <w:tcPr>
            <w:tcW w:w="2126" w:type="dxa"/>
            <w:shd w:val="clear" w:color="auto" w:fill="auto"/>
          </w:tcPr>
          <w:p w14:paraId="7A8D8DC8" w14:textId="26F107B1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/ social or sustainable business practices (5%)</w:t>
            </w:r>
          </w:p>
        </w:tc>
        <w:tc>
          <w:tcPr>
            <w:tcW w:w="2126" w:type="dxa"/>
            <w:shd w:val="clear" w:color="auto" w:fill="auto"/>
          </w:tcPr>
          <w:p w14:paraId="23853874" w14:textId="07C0E12E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/ social or sustainable business practices (5%)</w:t>
            </w:r>
          </w:p>
          <w:p w14:paraId="48D38B4A" w14:textId="0E0880A3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PLUS</w:t>
            </w:r>
          </w:p>
          <w:p w14:paraId="769364DB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(5%)</w:t>
            </w:r>
          </w:p>
        </w:tc>
        <w:tc>
          <w:tcPr>
            <w:tcW w:w="2137" w:type="dxa"/>
            <w:shd w:val="clear" w:color="auto" w:fill="auto"/>
          </w:tcPr>
          <w:p w14:paraId="0F9110A2" w14:textId="0D8B46F4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/ social or sustainable business practices (5%)</w:t>
            </w:r>
          </w:p>
          <w:p w14:paraId="4B37E00E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PLUS</w:t>
            </w:r>
          </w:p>
          <w:p w14:paraId="399B64A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(5%)</w:t>
            </w:r>
          </w:p>
        </w:tc>
      </w:tr>
      <w:tr w:rsidR="00D32990" w:rsidRPr="00D32990" w14:paraId="5F0A9613" w14:textId="77777777" w:rsidTr="00D32990">
        <w:tc>
          <w:tcPr>
            <w:tcW w:w="1191" w:type="dxa"/>
            <w:shd w:val="clear" w:color="auto" w:fill="auto"/>
          </w:tcPr>
          <w:p w14:paraId="5404AA0B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Achieving full weighted score</w:t>
            </w:r>
          </w:p>
        </w:tc>
        <w:tc>
          <w:tcPr>
            <w:tcW w:w="2127" w:type="dxa"/>
            <w:shd w:val="clear" w:color="auto" w:fill="auto"/>
          </w:tcPr>
          <w:p w14:paraId="51FC4249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5587BFA3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53CFB73E" w14:textId="71A797A1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(5%)</w:t>
            </w:r>
          </w:p>
        </w:tc>
        <w:tc>
          <w:tcPr>
            <w:tcW w:w="2126" w:type="dxa"/>
            <w:shd w:val="clear" w:color="auto" w:fill="auto"/>
          </w:tcPr>
          <w:p w14:paraId="62B595FF" w14:textId="3D0E88EC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6B48349F" w14:textId="62E3AF4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4C17A18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(2.5%) + social or sustainable business practice x 1 (2.5%)</w:t>
            </w:r>
          </w:p>
        </w:tc>
        <w:tc>
          <w:tcPr>
            <w:tcW w:w="2126" w:type="dxa"/>
            <w:shd w:val="clear" w:color="auto" w:fill="auto"/>
          </w:tcPr>
          <w:p w14:paraId="419DD712" w14:textId="768A91F6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5F50AB7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34D01ECC" w14:textId="4570E9C8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(2.5%) + social or sustainable business practice x 1 (2.5%)</w:t>
            </w:r>
          </w:p>
          <w:p w14:paraId="2F3A5506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6BDC83A5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business practice × 2 (2.5% × 2)</w:t>
            </w:r>
          </w:p>
          <w:p w14:paraId="05B34130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AND</w:t>
            </w:r>
          </w:p>
          <w:p w14:paraId="48D885CF" w14:textId="0BA07D3B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× 2 (2.5% x 2)</w:t>
            </w:r>
          </w:p>
        </w:tc>
        <w:tc>
          <w:tcPr>
            <w:tcW w:w="2137" w:type="dxa"/>
            <w:shd w:val="clear" w:color="auto" w:fill="auto"/>
          </w:tcPr>
          <w:p w14:paraId="359238F5" w14:textId="3EA5B7D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459FD1EA" w14:textId="53C81A4C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1F44DFB7" w14:textId="17C585E2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(2.5%) + social or sustainable business practice x 1 (2.5%)</w:t>
            </w:r>
          </w:p>
          <w:p w14:paraId="304743ED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3905A9C6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business practice × 2 (2.5% × 2)</w:t>
            </w:r>
          </w:p>
          <w:p w14:paraId="294EE021" w14:textId="20A88D99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AN</w:t>
            </w:r>
            <w:r w:rsidR="00C65BE7">
              <w:rPr>
                <w:bCs/>
                <w:noProof/>
              </w:rPr>
              <w:t>D</w:t>
            </w:r>
          </w:p>
          <w:p w14:paraId="51F92B9A" w14:textId="7D4CF002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× 2 (2.5% x 2)</w:t>
            </w:r>
          </w:p>
        </w:tc>
      </w:tr>
      <w:tr w:rsidR="00D32990" w:rsidRPr="00D32990" w14:paraId="74BB0AE6" w14:textId="77777777" w:rsidTr="00D32990">
        <w:tc>
          <w:tcPr>
            <w:tcW w:w="1191" w:type="dxa"/>
            <w:shd w:val="clear" w:color="auto" w:fill="auto"/>
          </w:tcPr>
          <w:p w14:paraId="342C3CA8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Risk discount</w:t>
            </w:r>
          </w:p>
        </w:tc>
        <w:tc>
          <w:tcPr>
            <w:tcW w:w="2127" w:type="dxa"/>
            <w:shd w:val="clear" w:color="auto" w:fill="auto"/>
          </w:tcPr>
          <w:p w14:paraId="201FC622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  <w:tc>
          <w:tcPr>
            <w:tcW w:w="2126" w:type="dxa"/>
            <w:shd w:val="clear" w:color="auto" w:fill="auto"/>
          </w:tcPr>
          <w:p w14:paraId="7E00DCAA" w14:textId="60DEEAD4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  <w:tc>
          <w:tcPr>
            <w:tcW w:w="2126" w:type="dxa"/>
            <w:shd w:val="clear" w:color="auto" w:fill="auto"/>
          </w:tcPr>
          <w:p w14:paraId="021E6F8E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  <w:tc>
          <w:tcPr>
            <w:tcW w:w="2137" w:type="dxa"/>
            <w:shd w:val="clear" w:color="auto" w:fill="auto"/>
          </w:tcPr>
          <w:p w14:paraId="64AA4F8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</w:tr>
    </w:tbl>
    <w:p w14:paraId="7A35BC61" w14:textId="77777777" w:rsidR="00C84D2E" w:rsidRPr="00D32990" w:rsidRDefault="00C84D2E" w:rsidP="00D32990">
      <w:pPr>
        <w:spacing w:after="120" w:line="240" w:lineRule="auto"/>
      </w:pPr>
    </w:p>
    <w:sectPr w:rsidR="00C84D2E" w:rsidRPr="00D32990" w:rsidSect="007E699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20C8" w14:textId="77777777" w:rsidR="00464D4D" w:rsidRDefault="00464D4D" w:rsidP="00C84D2E">
      <w:pPr>
        <w:spacing w:before="0" w:after="0" w:line="240" w:lineRule="auto"/>
      </w:pPr>
      <w:r>
        <w:separator/>
      </w:r>
    </w:p>
  </w:endnote>
  <w:endnote w:type="continuationSeparator" w:id="0">
    <w:p w14:paraId="612C28CB" w14:textId="77777777" w:rsidR="00464D4D" w:rsidRDefault="00464D4D" w:rsidP="00C84D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D2FD" w14:textId="2F9ED945" w:rsidR="007E6995" w:rsidRDefault="001D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1EE37E2" wp14:editId="50AD219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0404fd58912e74c9b019e1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AADE56" w14:textId="2CEBEE94" w:rsidR="001D591F" w:rsidRPr="001D591F" w:rsidRDefault="001D591F" w:rsidP="001D591F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D591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E37E2" id="_x0000_t202" coordsize="21600,21600" o:spt="202" path="m,l,21600r21600,l21600,xe">
              <v:stroke joinstyle="miter"/>
              <v:path gradientshapeok="t" o:connecttype="rect"/>
            </v:shapetype>
            <v:shape id="MSIPCM40404fd58912e74c9b019e1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BH1EqnHgMAADg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0AAADE56" w14:textId="2CEBEE94" w:rsidR="001D591F" w:rsidRPr="001D591F" w:rsidRDefault="001D591F" w:rsidP="001D591F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D591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6995">
      <w:t>Application of Social Procurement Framework weighting</w:t>
    </w:r>
    <w:r w:rsidR="00780877">
      <w:t xml:space="preserve"> (example)</w:t>
    </w:r>
    <w:r w:rsidR="007E6995">
      <w:br/>
    </w:r>
    <w:r w:rsidR="00780877">
      <w:t>September 2018</w:t>
    </w:r>
    <w:r w:rsidR="007E6995">
      <w:tab/>
    </w:r>
    <w:sdt>
      <w:sdtPr>
        <w:id w:val="-2026619730"/>
        <w:docPartObj>
          <w:docPartGallery w:val="Page Numbers (Top of Page)"/>
          <w:docPartUnique/>
        </w:docPartObj>
      </w:sdtPr>
      <w:sdtContent>
        <w:r w:rsidR="007E6995">
          <w:tab/>
          <w:t xml:space="preserve">Page </w:t>
        </w:r>
        <w:r w:rsidR="007E6995">
          <w:rPr>
            <w:b/>
            <w:bCs/>
            <w:sz w:val="24"/>
            <w:szCs w:val="24"/>
          </w:rPr>
          <w:fldChar w:fldCharType="begin"/>
        </w:r>
        <w:r w:rsidR="007E6995">
          <w:rPr>
            <w:b/>
            <w:bCs/>
          </w:rPr>
          <w:instrText xml:space="preserve"> PAGE </w:instrText>
        </w:r>
        <w:r w:rsidR="007E6995">
          <w:rPr>
            <w:b/>
            <w:bCs/>
            <w:sz w:val="24"/>
            <w:szCs w:val="24"/>
          </w:rPr>
          <w:fldChar w:fldCharType="separate"/>
        </w:r>
        <w:r w:rsidR="007E6995">
          <w:rPr>
            <w:b/>
            <w:bCs/>
            <w:sz w:val="24"/>
            <w:szCs w:val="24"/>
          </w:rPr>
          <w:t>1</w:t>
        </w:r>
        <w:r w:rsidR="007E6995">
          <w:rPr>
            <w:b/>
            <w:bCs/>
            <w:sz w:val="24"/>
            <w:szCs w:val="24"/>
          </w:rPr>
          <w:fldChar w:fldCharType="end"/>
        </w:r>
        <w:r w:rsidR="007E6995">
          <w:t xml:space="preserve"> of </w:t>
        </w:r>
        <w:r w:rsidR="007E6995">
          <w:rPr>
            <w:b/>
            <w:bCs/>
            <w:sz w:val="24"/>
            <w:szCs w:val="24"/>
          </w:rPr>
          <w:fldChar w:fldCharType="begin"/>
        </w:r>
        <w:r w:rsidR="007E6995">
          <w:rPr>
            <w:b/>
            <w:bCs/>
          </w:rPr>
          <w:instrText xml:space="preserve"> NUMPAGES  </w:instrText>
        </w:r>
        <w:r w:rsidR="007E6995">
          <w:rPr>
            <w:b/>
            <w:bCs/>
            <w:sz w:val="24"/>
            <w:szCs w:val="24"/>
          </w:rPr>
          <w:fldChar w:fldCharType="separate"/>
        </w:r>
        <w:r w:rsidR="007E6995">
          <w:rPr>
            <w:b/>
            <w:bCs/>
            <w:sz w:val="24"/>
            <w:szCs w:val="24"/>
          </w:rPr>
          <w:t>4</w:t>
        </w:r>
        <w:r w:rsidR="007E699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37B9" w14:textId="52DD82A8" w:rsidR="00CD69E9" w:rsidRDefault="00CD69E9" w:rsidP="008D5665">
    <w:pPr>
      <w:pStyle w:val="Footer"/>
      <w:rPr>
        <w:b/>
        <w:color w:val="4472C4" w:themeColor="accent1"/>
      </w:rPr>
    </w:pPr>
    <w:r>
      <w:rPr>
        <w:b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6EA5434" wp14:editId="1228ED9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8" name="MSIPCMbf954246a0c6b9ccd251e692" descr="{&quot;HashCode&quot;:-1267603503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48C46" w14:textId="487E164F" w:rsidR="00CD69E9" w:rsidRPr="00F069C1" w:rsidRDefault="00F069C1" w:rsidP="00F069C1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069C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A5434" id="_x0000_t202" coordsize="21600,21600" o:spt="202" path="m,l,21600r21600,l21600,xe">
              <v:stroke joinstyle="miter"/>
              <v:path gradientshapeok="t" o:connecttype="rect"/>
            </v:shapetype>
            <v:shape id="MSIPCMbf954246a0c6b9ccd251e692" o:spid="_x0000_s1027" type="#_x0000_t202" alt="{&quot;HashCode&quot;:-1267603503,&quot;Height&quot;:9999999.0,&quot;Width&quot;:9999999.0,&quot;Placement&quot;:&quot;Footer&quot;,&quot;Index&quot;:&quot;FirstPage&quot;,&quot;Section&quot;:2,&quot;Top&quot;:0.0,&quot;Left&quot;:0.0}" style="position:absolute;margin-left:0;margin-top:0;width:612pt;height:21pt;z-index:25166540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" o:allowincell="f" filled="f" stroked="f" strokeweight=".5pt">
              <v:textbox inset="20pt,0,,0">
                <w:txbxContent>
                  <w:p w14:paraId="0A248C46" w14:textId="487E164F" w:rsidR="00CD69E9" w:rsidRPr="00F069C1" w:rsidRDefault="00F069C1" w:rsidP="00F069C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069C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B275B2" w14:textId="77777777" w:rsidR="00CD69E9" w:rsidRDefault="00CD69E9" w:rsidP="008D5665">
    <w:pPr>
      <w:pStyle w:val="Footer"/>
    </w:pPr>
    <w:r>
      <w:rPr>
        <w:b/>
        <w:color w:val="4472C4" w:themeColor="accent1"/>
      </w:rPr>
      <w:t>Victoria’s Social Procurement Framework – Buyer Guidance</w:t>
    </w:r>
    <w:r>
      <w:t xml:space="preserve"> </w:t>
    </w:r>
  </w:p>
  <w:p w14:paraId="2859FE10" w14:textId="77777777" w:rsidR="00CD69E9" w:rsidRPr="003A70DC" w:rsidRDefault="00CD69E9" w:rsidP="008D5665">
    <w:pPr>
      <w:pStyle w:val="Footer"/>
    </w:pPr>
    <w:r w:rsidRPr="003A70DC">
      <w:t xml:space="preserve">Guide to mandatory planning requirements </w:t>
    </w:r>
    <w:r w:rsidRPr="003A70DC">
      <w:tab/>
      <w:t xml:space="preserve">Page </w:t>
    </w:r>
    <w:r w:rsidRPr="003A70DC">
      <w:rPr>
        <w:rStyle w:val="PageNumber"/>
      </w:rPr>
      <w:fldChar w:fldCharType="begin"/>
    </w:r>
    <w:r w:rsidRPr="003A70DC">
      <w:rPr>
        <w:rStyle w:val="PageNumber"/>
      </w:rPr>
      <w:instrText xml:space="preserve"> Page </w:instrText>
    </w:r>
    <w:r w:rsidRPr="003A70DC">
      <w:rPr>
        <w:rStyle w:val="PageNumber"/>
      </w:rPr>
      <w:fldChar w:fldCharType="separate"/>
    </w:r>
    <w:r>
      <w:rPr>
        <w:rStyle w:val="PageNumber"/>
      </w:rPr>
      <w:t>8</w:t>
    </w:r>
    <w:r w:rsidRPr="003A70D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9894" w14:textId="77777777" w:rsidR="00464D4D" w:rsidRDefault="00464D4D" w:rsidP="00C84D2E">
      <w:pPr>
        <w:spacing w:before="0" w:after="0" w:line="240" w:lineRule="auto"/>
      </w:pPr>
      <w:r>
        <w:separator/>
      </w:r>
    </w:p>
  </w:footnote>
  <w:footnote w:type="continuationSeparator" w:id="0">
    <w:p w14:paraId="0B306528" w14:textId="77777777" w:rsidR="00464D4D" w:rsidRDefault="00464D4D" w:rsidP="00C84D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1E3B" w14:textId="16FA7D79" w:rsidR="007E6995" w:rsidRDefault="007145AE" w:rsidP="007E6995">
    <w:pPr>
      <w:pStyle w:val="Header"/>
      <w:jc w:val="right"/>
    </w:pPr>
    <w:r>
      <w:rPr>
        <w:noProof/>
      </w:rPr>
      <w:drawing>
        <wp:inline distT="0" distB="0" distL="0" distR="0" wp14:anchorId="26DAFDB2" wp14:editId="74AB9A2D">
          <wp:extent cx="1075163" cy="442913"/>
          <wp:effectExtent l="0" t="0" r="0" b="0"/>
          <wp:docPr id="84779079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790795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76" cy="44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07AA" w14:textId="77777777" w:rsidR="00CD69E9" w:rsidRDefault="00CD69E9" w:rsidP="008D566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BA7CC5" wp14:editId="55518ED8">
          <wp:simplePos x="0" y="0"/>
          <wp:positionH relativeFrom="page">
            <wp:posOffset>153508</wp:posOffset>
          </wp:positionH>
          <wp:positionV relativeFrom="page">
            <wp:posOffset>156210</wp:posOffset>
          </wp:positionV>
          <wp:extent cx="7545070" cy="10673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4E1E948" wp14:editId="59BF4FD0">
          <wp:simplePos x="0" y="0"/>
          <wp:positionH relativeFrom="page">
            <wp:posOffset>3261360</wp:posOffset>
          </wp:positionH>
          <wp:positionV relativeFrom="page">
            <wp:posOffset>311041</wp:posOffset>
          </wp:positionV>
          <wp:extent cx="7545070" cy="73780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 1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71"/>
                  <a:stretch/>
                </pic:blipFill>
                <pic:spPr bwMode="auto">
                  <a:xfrm>
                    <a:off x="0" y="0"/>
                    <a:ext cx="7545070" cy="737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DC0E" w14:textId="77777777" w:rsidR="00CD69E9" w:rsidRDefault="00CD69E9" w:rsidP="008D5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FFD"/>
    <w:multiLevelType w:val="hybridMultilevel"/>
    <w:tmpl w:val="12D49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166"/>
    <w:multiLevelType w:val="hybridMultilevel"/>
    <w:tmpl w:val="DC148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D16A4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1B4B3A43"/>
    <w:multiLevelType w:val="hybridMultilevel"/>
    <w:tmpl w:val="AF34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311C"/>
    <w:multiLevelType w:val="hybridMultilevel"/>
    <w:tmpl w:val="78D4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3D88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34D22A3F"/>
    <w:multiLevelType w:val="multilevel"/>
    <w:tmpl w:val="1E1EB83C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ascii="Arial" w:eastAsiaTheme="minorHAnsi" w:hAnsi="Arial" w:cs="Arial"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LDStandard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LDStandard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LDStandard6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Roman"/>
      <w:pStyle w:val="LDStandard7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EEB652D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3D4AC9"/>
    <w:multiLevelType w:val="multilevel"/>
    <w:tmpl w:val="6B1A1D8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39B383F"/>
    <w:multiLevelType w:val="hybridMultilevel"/>
    <w:tmpl w:val="EF9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E7E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5F187010"/>
    <w:multiLevelType w:val="hybridMultilevel"/>
    <w:tmpl w:val="6026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52DB4"/>
    <w:multiLevelType w:val="multilevel"/>
    <w:tmpl w:val="40B6E19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num w:numId="1" w16cid:durableId="2034107997">
    <w:abstractNumId w:val="7"/>
  </w:num>
  <w:num w:numId="2" w16cid:durableId="1304039595">
    <w:abstractNumId w:val="0"/>
  </w:num>
  <w:num w:numId="3" w16cid:durableId="1068264738">
    <w:abstractNumId w:val="11"/>
  </w:num>
  <w:num w:numId="4" w16cid:durableId="1768036681">
    <w:abstractNumId w:val="3"/>
  </w:num>
  <w:num w:numId="5" w16cid:durableId="780733367">
    <w:abstractNumId w:val="4"/>
  </w:num>
  <w:num w:numId="6" w16cid:durableId="1053237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06386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4776823">
    <w:abstractNumId w:val="9"/>
  </w:num>
  <w:num w:numId="9" w16cid:durableId="1774469461">
    <w:abstractNumId w:val="1"/>
  </w:num>
  <w:num w:numId="10" w16cid:durableId="368334192">
    <w:abstractNumId w:val="8"/>
  </w:num>
  <w:num w:numId="11" w16cid:durableId="330838029">
    <w:abstractNumId w:val="10"/>
  </w:num>
  <w:num w:numId="12" w16cid:durableId="1906260512">
    <w:abstractNumId w:val="2"/>
  </w:num>
  <w:num w:numId="13" w16cid:durableId="288323274">
    <w:abstractNumId w:val="5"/>
  </w:num>
  <w:num w:numId="14" w16cid:durableId="1209685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7962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E"/>
    <w:rsid w:val="0000388D"/>
    <w:rsid w:val="00014335"/>
    <w:rsid w:val="000230E2"/>
    <w:rsid w:val="000532C9"/>
    <w:rsid w:val="000813F4"/>
    <w:rsid w:val="0008693F"/>
    <w:rsid w:val="00117CD2"/>
    <w:rsid w:val="001252B8"/>
    <w:rsid w:val="00127B7A"/>
    <w:rsid w:val="00174192"/>
    <w:rsid w:val="00177FA7"/>
    <w:rsid w:val="001A671C"/>
    <w:rsid w:val="001C1724"/>
    <w:rsid w:val="001C779D"/>
    <w:rsid w:val="001D591F"/>
    <w:rsid w:val="00202188"/>
    <w:rsid w:val="00312069"/>
    <w:rsid w:val="00313604"/>
    <w:rsid w:val="0035527B"/>
    <w:rsid w:val="003B0304"/>
    <w:rsid w:val="003B4C07"/>
    <w:rsid w:val="00404852"/>
    <w:rsid w:val="004052A2"/>
    <w:rsid w:val="0044329C"/>
    <w:rsid w:val="00464D4D"/>
    <w:rsid w:val="00465CA5"/>
    <w:rsid w:val="005D1DE9"/>
    <w:rsid w:val="005E33F3"/>
    <w:rsid w:val="005F114A"/>
    <w:rsid w:val="00614446"/>
    <w:rsid w:val="00686C0A"/>
    <w:rsid w:val="006A3599"/>
    <w:rsid w:val="006D6E78"/>
    <w:rsid w:val="006E602E"/>
    <w:rsid w:val="006F51EF"/>
    <w:rsid w:val="006F7F97"/>
    <w:rsid w:val="007145AE"/>
    <w:rsid w:val="0073607E"/>
    <w:rsid w:val="0074559B"/>
    <w:rsid w:val="00775086"/>
    <w:rsid w:val="00780877"/>
    <w:rsid w:val="007B17FF"/>
    <w:rsid w:val="007D4DEC"/>
    <w:rsid w:val="007E6995"/>
    <w:rsid w:val="00816921"/>
    <w:rsid w:val="0083725E"/>
    <w:rsid w:val="008D5665"/>
    <w:rsid w:val="00930C1D"/>
    <w:rsid w:val="009408FF"/>
    <w:rsid w:val="00966F17"/>
    <w:rsid w:val="0098715D"/>
    <w:rsid w:val="00992C94"/>
    <w:rsid w:val="009933D2"/>
    <w:rsid w:val="009C17F5"/>
    <w:rsid w:val="009E3813"/>
    <w:rsid w:val="00A30928"/>
    <w:rsid w:val="00A3245D"/>
    <w:rsid w:val="00A419AA"/>
    <w:rsid w:val="00A60B96"/>
    <w:rsid w:val="00A73300"/>
    <w:rsid w:val="00AC42CE"/>
    <w:rsid w:val="00B40719"/>
    <w:rsid w:val="00B43D4C"/>
    <w:rsid w:val="00B92D03"/>
    <w:rsid w:val="00BB07F4"/>
    <w:rsid w:val="00C13481"/>
    <w:rsid w:val="00C364CF"/>
    <w:rsid w:val="00C65BE7"/>
    <w:rsid w:val="00C84D2E"/>
    <w:rsid w:val="00CC7655"/>
    <w:rsid w:val="00CD69E9"/>
    <w:rsid w:val="00CF250F"/>
    <w:rsid w:val="00D32990"/>
    <w:rsid w:val="00DC63C6"/>
    <w:rsid w:val="00E213D5"/>
    <w:rsid w:val="00E32A43"/>
    <w:rsid w:val="00E62D19"/>
    <w:rsid w:val="00EB03FB"/>
    <w:rsid w:val="00EB724A"/>
    <w:rsid w:val="00F069C1"/>
    <w:rsid w:val="00F7445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0515"/>
  <w15:chartTrackingRefBased/>
  <w15:docId w15:val="{C2991A47-0E94-46B5-A005-CD39C96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7E"/>
    <w:pPr>
      <w:spacing w:before="10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next w:val="Normal"/>
    <w:link w:val="Heading1Char"/>
    <w:uiPriority w:val="3"/>
    <w:qFormat/>
    <w:rsid w:val="0073607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3"/>
    <w:qFormat/>
    <w:rsid w:val="0073607E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3607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E"/>
  </w:style>
  <w:style w:type="paragraph" w:styleId="Footer">
    <w:name w:val="footer"/>
    <w:basedOn w:val="Normal"/>
    <w:link w:val="FooterChar"/>
    <w:uiPriority w:val="24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C84D2E"/>
  </w:style>
  <w:style w:type="character" w:customStyle="1" w:styleId="Heading1Char">
    <w:name w:val="Heading 1 Char"/>
    <w:basedOn w:val="DefaultParagraphFont"/>
    <w:link w:val="Heading1"/>
    <w:rsid w:val="0073607E"/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lang w:eastAsia="en-AU"/>
    </w:rPr>
  </w:style>
  <w:style w:type="character" w:styleId="Hyperlink">
    <w:name w:val="Hyperlink"/>
    <w:basedOn w:val="DefaultParagraphFont"/>
    <w:uiPriority w:val="99"/>
    <w:rsid w:val="0073607E"/>
    <w:rPr>
      <w:color w:val="0563C1" w:themeColor="hyperlink"/>
      <w:u w:val="none"/>
    </w:rPr>
  </w:style>
  <w:style w:type="paragraph" w:customStyle="1" w:styleId="Bullet1">
    <w:name w:val="Bullet 1"/>
    <w:uiPriority w:val="1"/>
    <w:qFormat/>
    <w:rsid w:val="0073607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73607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73607E"/>
    <w:pPr>
      <w:numPr>
        <w:ilvl w:val="2"/>
      </w:numPr>
    </w:pPr>
  </w:style>
  <w:style w:type="paragraph" w:customStyle="1" w:styleId="Bulletindent2">
    <w:name w:val="Bullet indent 2"/>
    <w:basedOn w:val="Normal"/>
    <w:uiPriority w:val="9"/>
    <w:qFormat/>
    <w:rsid w:val="0073607E"/>
    <w:pPr>
      <w:numPr>
        <w:ilvl w:val="3"/>
        <w:numId w:val="1"/>
      </w:numPr>
      <w:contextualSpacing/>
    </w:pPr>
  </w:style>
  <w:style w:type="character" w:styleId="PageNumber">
    <w:name w:val="page number"/>
    <w:uiPriority w:val="49"/>
    <w:semiHidden/>
    <w:rsid w:val="0073607E"/>
    <w:rPr>
      <w:b w:val="0"/>
      <w:color w:val="000000" w:themeColor="text1"/>
    </w:rPr>
  </w:style>
  <w:style w:type="paragraph" w:styleId="ListParagraph">
    <w:name w:val="List Paragraph"/>
    <w:basedOn w:val="Normal"/>
    <w:uiPriority w:val="34"/>
    <w:qFormat/>
    <w:rsid w:val="007360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3607E"/>
    <w:pPr>
      <w:spacing w:before="0" w:after="6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07E"/>
    <w:rPr>
      <w:rFonts w:eastAsiaTheme="minorEastAsia"/>
      <w:spacing w:val="2"/>
      <w:sz w:val="17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73607E"/>
    <w:rPr>
      <w:vertAlign w:val="superscript"/>
    </w:rPr>
  </w:style>
  <w:style w:type="table" w:styleId="LightList">
    <w:name w:val="Light List"/>
    <w:basedOn w:val="TableNormal"/>
    <w:uiPriority w:val="61"/>
    <w:rsid w:val="0073607E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25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0F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0F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0F"/>
    <w:rPr>
      <w:rFonts w:eastAsiaTheme="minorEastAsia"/>
      <w:b/>
      <w:bCs/>
      <w:spacing w:val="2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202188"/>
    <w:rPr>
      <w:b/>
      <w:bCs/>
      <w:i w:val="0"/>
      <w:iCs w:val="0"/>
    </w:rPr>
  </w:style>
  <w:style w:type="paragraph" w:styleId="NoSpacing">
    <w:name w:val="No Spacing"/>
    <w:uiPriority w:val="1"/>
    <w:qFormat/>
    <w:rsid w:val="00312069"/>
    <w:pPr>
      <w:spacing w:after="0" w:line="240" w:lineRule="auto"/>
    </w:pPr>
  </w:style>
  <w:style w:type="paragraph" w:customStyle="1" w:styleId="LDIndent1">
    <w:name w:val="LD_Indent1"/>
    <w:basedOn w:val="Normal"/>
    <w:uiPriority w:val="1"/>
    <w:rsid w:val="00312069"/>
    <w:pPr>
      <w:spacing w:before="0" w:after="240" w:line="240" w:lineRule="auto"/>
      <w:ind w:left="851"/>
    </w:pPr>
    <w:rPr>
      <w:rFonts w:ascii="Arial" w:eastAsia="Times New Roman" w:hAnsi="Arial" w:cs="Times New Roman"/>
      <w:spacing w:val="0"/>
      <w:kern w:val="22"/>
      <w:sz w:val="22"/>
      <w:szCs w:val="24"/>
      <w:lang w:eastAsia="en-US"/>
    </w:rPr>
  </w:style>
  <w:style w:type="paragraph" w:customStyle="1" w:styleId="LDStandard1">
    <w:name w:val="LD_Standard1"/>
    <w:basedOn w:val="Normal"/>
    <w:next w:val="Normal"/>
    <w:uiPriority w:val="7"/>
    <w:qFormat/>
    <w:rsid w:val="00312069"/>
    <w:pPr>
      <w:keepNext/>
      <w:keepLines/>
      <w:numPr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2">
    <w:name w:val="LD_Standard2"/>
    <w:basedOn w:val="Normal"/>
    <w:uiPriority w:val="7"/>
    <w:qFormat/>
    <w:rsid w:val="00312069"/>
    <w:pPr>
      <w:keepNext/>
      <w:numPr>
        <w:ilvl w:val="1"/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3">
    <w:name w:val="LD_Standard3"/>
    <w:basedOn w:val="LDStandard2"/>
    <w:uiPriority w:val="7"/>
    <w:qFormat/>
    <w:rsid w:val="00312069"/>
    <w:pPr>
      <w:numPr>
        <w:ilvl w:val="2"/>
      </w:numPr>
    </w:pPr>
  </w:style>
  <w:style w:type="paragraph" w:customStyle="1" w:styleId="LDStandard4">
    <w:name w:val="LD_Standard4"/>
    <w:basedOn w:val="LDStandard3"/>
    <w:uiPriority w:val="7"/>
    <w:qFormat/>
    <w:rsid w:val="00312069"/>
    <w:pPr>
      <w:keepNext w:val="0"/>
      <w:numPr>
        <w:ilvl w:val="3"/>
      </w:numPr>
    </w:pPr>
    <w:rPr>
      <w:b w:val="0"/>
      <w:sz w:val="22"/>
    </w:rPr>
  </w:style>
  <w:style w:type="paragraph" w:customStyle="1" w:styleId="LDStandard5">
    <w:name w:val="LD_Standard5"/>
    <w:basedOn w:val="LDStandard4"/>
    <w:uiPriority w:val="7"/>
    <w:qFormat/>
    <w:rsid w:val="00312069"/>
    <w:pPr>
      <w:numPr>
        <w:ilvl w:val="4"/>
      </w:numPr>
    </w:pPr>
  </w:style>
  <w:style w:type="paragraph" w:customStyle="1" w:styleId="LDStandard6">
    <w:name w:val="LD_Standard6"/>
    <w:basedOn w:val="LDStandard5"/>
    <w:uiPriority w:val="7"/>
    <w:qFormat/>
    <w:rsid w:val="00312069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312069"/>
    <w:pPr>
      <w:numPr>
        <w:ilvl w:val="6"/>
      </w:numPr>
    </w:pPr>
  </w:style>
  <w:style w:type="table" w:customStyle="1" w:styleId="DTFtexttable">
    <w:name w:val="DTF text table"/>
    <w:basedOn w:val="TableGrid"/>
    <w:uiPriority w:val="99"/>
    <w:rsid w:val="0000388D"/>
    <w:pPr>
      <w:spacing w:before="30" w:after="30" w:line="264" w:lineRule="auto"/>
    </w:pPr>
    <w:rPr>
      <w:spacing w:val="2"/>
      <w:sz w:val="17"/>
      <w:szCs w:val="21"/>
      <w:lang w:eastAsia="en-AU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12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74AA50"/>
        <w:vAlign w:val="bottom"/>
      </w:tcPr>
    </w:tblStylePr>
    <w:tblStylePr w:type="lastRow">
      <w:rPr>
        <w:b/>
      </w:rPr>
      <w:tblPr/>
      <w:tcPr>
        <w:tcBorders>
          <w:top w:val="single" w:sz="6" w:space="0" w:color="4472C4" w:themeColor="accent1"/>
          <w:left w:val="nil"/>
          <w:bottom w:val="single" w:sz="12" w:space="0" w:color="4472C4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DEDED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DEEAF6" w:themeFill="accent5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Tablechartdiagramheading">
    <w:name w:val="Table/chart/diagram heading"/>
    <w:uiPriority w:val="4"/>
    <w:qFormat/>
    <w:rsid w:val="0000388D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spacing w:val="2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63C6"/>
    <w:rPr>
      <w:color w:val="605E5C"/>
      <w:shd w:val="clear" w:color="auto" w:fill="E1DFDD"/>
    </w:rPr>
  </w:style>
  <w:style w:type="paragraph" w:customStyle="1" w:styleId="TableHeader">
    <w:name w:val="Table Header"/>
    <w:basedOn w:val="Normal"/>
    <w:uiPriority w:val="15"/>
    <w:qFormat/>
    <w:rsid w:val="00C65BE7"/>
    <w:pPr>
      <w:keepNext/>
      <w:spacing w:before="40" w:after="40" w:line="240" w:lineRule="auto"/>
    </w:pPr>
    <w:rPr>
      <w:rFonts w:eastAsia="Times New Roman" w:cs="Calibri"/>
      <w:color w:val="44546A" w:themeColor="text2"/>
      <w:spacing w:val="0"/>
      <w:sz w:val="22"/>
      <w:szCs w:val="22"/>
    </w:rPr>
  </w:style>
  <w:style w:type="paragraph" w:customStyle="1" w:styleId="TableText">
    <w:name w:val="Table Text"/>
    <w:basedOn w:val="Normal"/>
    <w:uiPriority w:val="15"/>
    <w:qFormat/>
    <w:rsid w:val="00C65BE7"/>
    <w:pPr>
      <w:spacing w:before="60" w:after="60" w:line="240" w:lineRule="auto"/>
    </w:pPr>
    <w:rPr>
      <w:rFonts w:ascii="Calibri" w:eastAsia="Times New Roman" w:hAnsi="Calibri" w:cs="Calibr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uyingfor.vic.gov.au/social-procurement-framework-requirements-and-expectations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uyingfor.vic.gov.au/social-procurement-framework-requirements-and-expect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yingfor.vic.gov.au/understanding-social-procure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uyingfor.vic.gov.au/social-procurement-framework-objectives-outcomes-and-key-focus-areas" TargetMode="External"/><Relationship Id="rId10" Type="http://schemas.openxmlformats.org/officeDocument/2006/relationships/hyperlink" Target="https://www.buyingfor.vic.gov.au/social-procurement-framework-requirements-and-expectation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buyingfor.vic.gov.au/understanding-social-procurement" TargetMode="External"/><Relationship Id="rId14" Type="http://schemas.openxmlformats.org/officeDocument/2006/relationships/hyperlink" Target="https://www.buyingfor.vic.gov.au/social-procurement-framework-requirements-and-expect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FAF7C90-42C8-4B67-B98F-F992EBA6E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E6B0D-4806-41A5-9E9B-4DE8C0BCDF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Vanessa Coles (DGS)</cp:lastModifiedBy>
  <cp:revision>5</cp:revision>
  <dcterms:created xsi:type="dcterms:W3CDTF">2020-09-28T02:12:00Z</dcterms:created>
  <dcterms:modified xsi:type="dcterms:W3CDTF">2025-04-02T01:54:00Z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2019-07-20T08:28:29.2443402Z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