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CEBD" w14:textId="2A6EF1FE" w:rsidR="005D79BE" w:rsidRPr="00874B30" w:rsidRDefault="005D79BE" w:rsidP="004B7836">
      <w:pPr>
        <w:pStyle w:val="Heading1"/>
        <w:rPr>
          <w:color w:val="381F6A"/>
        </w:rPr>
      </w:pPr>
      <w:r w:rsidRPr="00874B30">
        <w:rPr>
          <w:color w:val="381F6A"/>
        </w:rPr>
        <w:t>Goods and services procurement</w:t>
      </w:r>
      <w:r w:rsidR="00EE63AB" w:rsidRPr="00874B30">
        <w:rPr>
          <w:color w:val="381F6A"/>
        </w:rPr>
        <w:t>-</w:t>
      </w:r>
      <w:r w:rsidRPr="00874B30">
        <w:rPr>
          <w:color w:val="381F6A"/>
        </w:rPr>
        <w:t>related p</w:t>
      </w:r>
      <w:r w:rsidR="0013422E" w:rsidRPr="00874B30">
        <w:rPr>
          <w:color w:val="381F6A"/>
        </w:rPr>
        <w:t>olicies</w:t>
      </w:r>
      <w:r w:rsidR="00EC2767">
        <w:rPr>
          <w:color w:val="381F6A"/>
        </w:rPr>
        <w:t>: F</w:t>
      </w:r>
      <w:r w:rsidRPr="00874B30">
        <w:rPr>
          <w:color w:val="381F6A"/>
        </w:rPr>
        <w:t xml:space="preserve">act sheet </w:t>
      </w:r>
    </w:p>
    <w:p w14:paraId="268B3BB3" w14:textId="181DEFF2" w:rsidR="005D79BE" w:rsidRDefault="005D79BE" w:rsidP="005D79BE">
      <w:r w:rsidRPr="005D79BE">
        <w:t>T</w:t>
      </w:r>
      <w:r w:rsidR="0013422E">
        <w:t xml:space="preserve">his fact sheet helps buyers determine which procurement-related policies apply to goods and services procurement activity. </w:t>
      </w:r>
      <w:r>
        <w:t>Multiple policies may apply to the same procurement activity.</w:t>
      </w:r>
    </w:p>
    <w:p w14:paraId="7F43A386" w14:textId="5D105902" w:rsidR="0013422E" w:rsidRDefault="0013422E">
      <w:r>
        <w:t>It is intended as a guide and does not represent an exhaustive list of all procurement</w:t>
      </w:r>
      <w:r w:rsidR="00EE63AB">
        <w:t>-</w:t>
      </w:r>
      <w:r>
        <w:t>related polic</w:t>
      </w:r>
      <w:r w:rsidR="005D79BE">
        <w:t xml:space="preserve">y </w:t>
      </w:r>
      <w:r>
        <w:t>requirements.</w:t>
      </w:r>
      <w:r w:rsidR="00A615A7">
        <w:t xml:space="preserve"> </w:t>
      </w:r>
    </w:p>
    <w:p w14:paraId="2F2B20B0" w14:textId="316DD194" w:rsidR="004F6237" w:rsidRPr="00874B30" w:rsidRDefault="0013422E" w:rsidP="0092057D">
      <w:pPr>
        <w:pStyle w:val="Heading2"/>
        <w:rPr>
          <w:color w:val="381F6A"/>
        </w:rPr>
      </w:pPr>
      <w:r w:rsidRPr="00874B30">
        <w:rPr>
          <w:color w:val="381F6A"/>
        </w:rPr>
        <w:t>Goods and services procurement</w:t>
      </w:r>
      <w:r w:rsidR="00EE63AB" w:rsidRPr="00874B30">
        <w:rPr>
          <w:color w:val="381F6A"/>
        </w:rPr>
        <w:t>-</w:t>
      </w:r>
      <w:r w:rsidRPr="00874B30">
        <w:rPr>
          <w:color w:val="381F6A"/>
        </w:rPr>
        <w:t>related policies</w:t>
      </w:r>
    </w:p>
    <w:p w14:paraId="2491DDAD" w14:textId="3B069979" w:rsidR="004F4904" w:rsidRPr="005D5CB0" w:rsidRDefault="004F4904" w:rsidP="0092057D"/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596"/>
        <w:gridCol w:w="2618"/>
        <w:gridCol w:w="2460"/>
        <w:gridCol w:w="2573"/>
        <w:gridCol w:w="3699"/>
      </w:tblGrid>
      <w:tr w:rsidR="006406F2" w:rsidRPr="00765BE2" w14:paraId="4711EA5A" w14:textId="77777777" w:rsidTr="00B50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BCDE3" w:themeFill="accent4" w:themeFillTint="66"/>
          </w:tcPr>
          <w:p w14:paraId="0AF1F23E" w14:textId="77777777" w:rsidR="0013422E" w:rsidRPr="007067F6" w:rsidRDefault="0013422E" w:rsidP="00CC4AEC">
            <w:pPr>
              <w:pStyle w:val="TableHeader"/>
              <w:keepNext w:val="0"/>
              <w:widowControl w:val="0"/>
              <w:rPr>
                <w:rFonts w:cstheme="minorHAnsi"/>
                <w:b w:val="0"/>
                <w:noProof/>
                <w:color w:val="000000" w:themeColor="text1"/>
              </w:rPr>
            </w:pPr>
            <w:bookmarkStart w:id="0" w:name="_Hlk158976513"/>
            <w:r w:rsidRPr="007067F6">
              <w:rPr>
                <w:rFonts w:cstheme="minorHAnsi"/>
                <w:noProof/>
                <w:color w:val="000000" w:themeColor="text1"/>
              </w:rPr>
              <w:t>Policy</w:t>
            </w:r>
          </w:p>
        </w:tc>
        <w:tc>
          <w:tcPr>
            <w:tcW w:w="0" w:type="pct"/>
            <w:shd w:val="clear" w:color="auto" w:fill="DBCDE3" w:themeFill="accent4" w:themeFillTint="66"/>
          </w:tcPr>
          <w:p w14:paraId="7EE6F76E" w14:textId="6D76FC61" w:rsidR="0013422E" w:rsidRPr="007067F6" w:rsidRDefault="1AF54EE5" w:rsidP="00CC4AEC">
            <w:pPr>
              <w:pStyle w:val="TableHeader"/>
              <w:keepNext w:val="0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000000" w:themeColor="text1"/>
              </w:rPr>
            </w:pPr>
            <w:r w:rsidRPr="007067F6">
              <w:rPr>
                <w:rFonts w:cstheme="minorHAnsi"/>
                <w:noProof/>
                <w:color w:val="000000" w:themeColor="text1"/>
              </w:rPr>
              <w:t xml:space="preserve">Applicable </w:t>
            </w:r>
            <w:r w:rsidR="00A615A7">
              <w:rPr>
                <w:rFonts w:cstheme="minorHAnsi"/>
                <w:noProof/>
                <w:color w:val="000000" w:themeColor="text1"/>
              </w:rPr>
              <w:t>entities</w:t>
            </w:r>
            <w:r w:rsidR="00A615A7" w:rsidRPr="007067F6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  <w:tc>
          <w:tcPr>
            <w:tcW w:w="0" w:type="pct"/>
            <w:shd w:val="clear" w:color="auto" w:fill="DBCDE3" w:themeFill="accent4" w:themeFillTint="66"/>
          </w:tcPr>
          <w:p w14:paraId="47672A8D" w14:textId="56C410F8" w:rsidR="008226AC" w:rsidRPr="001D0BD7" w:rsidRDefault="00632420" w:rsidP="00CC4AEC">
            <w:pPr>
              <w:pStyle w:val="TableHeader"/>
              <w:keepNext w:val="0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67F6">
              <w:rPr>
                <w:rFonts w:cstheme="minorHAnsi"/>
                <w:bCs w:val="0"/>
                <w:noProof/>
                <w:color w:val="000000" w:themeColor="text1"/>
              </w:rPr>
              <w:t>C</w:t>
            </w:r>
            <w:r w:rsidR="0013422E" w:rsidRPr="007067F6">
              <w:rPr>
                <w:rFonts w:cstheme="minorHAnsi"/>
                <w:bCs w:val="0"/>
                <w:noProof/>
                <w:color w:val="000000" w:themeColor="text1"/>
              </w:rPr>
              <w:t>ate</w:t>
            </w:r>
            <w:r w:rsidR="005B5341" w:rsidRPr="007067F6">
              <w:rPr>
                <w:rFonts w:cstheme="minorHAnsi"/>
                <w:bCs w:val="0"/>
                <w:noProof/>
                <w:color w:val="000000" w:themeColor="text1"/>
              </w:rPr>
              <w:t>gory</w:t>
            </w:r>
          </w:p>
        </w:tc>
        <w:tc>
          <w:tcPr>
            <w:tcW w:w="0" w:type="pct"/>
            <w:shd w:val="clear" w:color="auto" w:fill="DBCDE3" w:themeFill="accent4" w:themeFillTint="66"/>
          </w:tcPr>
          <w:p w14:paraId="58DF28B0" w14:textId="69EE92BA" w:rsidR="0013422E" w:rsidRPr="007067F6" w:rsidRDefault="0013422E" w:rsidP="00CC4AEC">
            <w:pPr>
              <w:pStyle w:val="TableHeader"/>
              <w:keepNext w:val="0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noProof/>
                <w:color w:val="000000" w:themeColor="text1"/>
              </w:rPr>
            </w:pPr>
            <w:r w:rsidRPr="007067F6">
              <w:rPr>
                <w:rFonts w:cstheme="minorHAnsi"/>
                <w:bCs w:val="0"/>
                <w:noProof/>
                <w:color w:val="000000" w:themeColor="text1"/>
              </w:rPr>
              <w:t>Financial threshold</w:t>
            </w:r>
          </w:p>
        </w:tc>
        <w:tc>
          <w:tcPr>
            <w:tcW w:w="0" w:type="pct"/>
            <w:shd w:val="clear" w:color="auto" w:fill="DBCDE3" w:themeFill="accent4" w:themeFillTint="66"/>
          </w:tcPr>
          <w:p w14:paraId="7DAF3F07" w14:textId="5FF353DD" w:rsidR="0013422E" w:rsidRPr="007067F6" w:rsidRDefault="61B5CC31" w:rsidP="00CC4AEC">
            <w:pPr>
              <w:pStyle w:val="TableHeader"/>
              <w:keepNext w:val="0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000000" w:themeColor="text1"/>
              </w:rPr>
            </w:pPr>
            <w:r w:rsidRPr="007067F6">
              <w:rPr>
                <w:rFonts w:cstheme="minorHAnsi"/>
                <w:noProof/>
                <w:color w:val="000000" w:themeColor="text1"/>
              </w:rPr>
              <w:t>Implementation and evaluation in procurement</w:t>
            </w:r>
            <w:r w:rsidR="00A15833" w:rsidRPr="007067F6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  <w:tr w:rsidR="00CC4AEC" w:rsidRPr="00765BE2" w14:paraId="237CEE53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4A2D955" w14:textId="77777777" w:rsidR="00183879" w:rsidRPr="007067F6" w:rsidRDefault="00183879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Administrative Guidelines on Engaging Labour Hire in the Victorian Public Service</w:t>
              </w:r>
            </w:hyperlink>
          </w:p>
        </w:tc>
        <w:tc>
          <w:tcPr>
            <w:tcW w:w="0" w:type="pct"/>
          </w:tcPr>
          <w:p w14:paraId="16785CBC" w14:textId="76A0709C" w:rsidR="00183879" w:rsidRPr="007067F6" w:rsidRDefault="00181510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service bodies and public entities under the Public Administration Act 2004 (unless exempted in the Guidelines)</w:t>
            </w:r>
          </w:p>
        </w:tc>
        <w:tc>
          <w:tcPr>
            <w:tcW w:w="0" w:type="pct"/>
          </w:tcPr>
          <w:p w14:paraId="5A4F5C41" w14:textId="77777777" w:rsidR="00183879" w:rsidRDefault="00183879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 xml:space="preserve">Labour hire </w:t>
            </w:r>
          </w:p>
          <w:p w14:paraId="228A5D62" w14:textId="040CF53B" w:rsidR="008226AC" w:rsidRPr="001D0BD7" w:rsidRDefault="008226AC" w:rsidP="001D0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2FB86DA4" w14:textId="77777777" w:rsidR="00183879" w:rsidRPr="007067F6" w:rsidRDefault="00183879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5153061E" w14:textId="77777777" w:rsidR="00183879" w:rsidRPr="007067F6" w:rsidRDefault="00183879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Pre-approval requirements when procuring labour hire. </w:t>
            </w:r>
          </w:p>
          <w:p w14:paraId="791E890F" w14:textId="2D334AD6" w:rsidR="00183879" w:rsidRPr="007067F6" w:rsidRDefault="00183879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13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Staffing services contract</w:t>
              </w:r>
            </w:hyperlink>
            <w:r w:rsidRPr="007067F6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</w:tr>
      <w:tr w:rsidR="00CC4AEC" w:rsidRPr="00765BE2" w14:paraId="065E965D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E287015" w14:textId="4EEB62B8" w:rsidR="00786A28" w:rsidRPr="007067F6" w:rsidRDefault="00786A28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14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Administrative Guidelines on Engaging Professional Services in the Victorian Public Service</w:t>
              </w:r>
            </w:hyperlink>
            <w:r w:rsidRPr="007067F6"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</w:p>
        </w:tc>
        <w:tc>
          <w:tcPr>
            <w:tcW w:w="0" w:type="pct"/>
          </w:tcPr>
          <w:p w14:paraId="3060A9ED" w14:textId="45051665" w:rsidR="00786A28" w:rsidRPr="007067F6" w:rsidRDefault="00181510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Public service bodies and public entities under the Public Administration Act 2004 (unless exempted in the Guidelines)</w:t>
            </w:r>
            <w:r w:rsidR="00786A28" w:rsidRPr="007067F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pct"/>
          </w:tcPr>
          <w:p w14:paraId="220FF8CA" w14:textId="77777777" w:rsidR="00786A28" w:rsidRDefault="00786A28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 xml:space="preserve">Professional services </w:t>
            </w:r>
          </w:p>
          <w:p w14:paraId="0763A9D7" w14:textId="6F390697" w:rsidR="008226AC" w:rsidRPr="001D0BD7" w:rsidRDefault="008226AC" w:rsidP="001D0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5774E30" w14:textId="77F9384D" w:rsidR="00786A28" w:rsidRPr="007067F6" w:rsidRDefault="00786A28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237793D4" w14:textId="28484221" w:rsidR="00786A28" w:rsidRPr="007067F6" w:rsidRDefault="00786A28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Pre-approval requirements when </w:t>
            </w:r>
            <w:r w:rsidR="00A615A7">
              <w:rPr>
                <w:rFonts w:asciiTheme="minorHAnsi" w:hAnsiTheme="minorHAnsi" w:cstheme="minorHAnsi"/>
                <w:color w:val="000000" w:themeColor="text1"/>
              </w:rPr>
              <w:t>procuring</w:t>
            </w:r>
            <w:r w:rsidR="00A615A7"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professional services</w:t>
            </w:r>
            <w:r w:rsidR="00987F10" w:rsidRPr="007067F6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D6EF166" w14:textId="02437EAA" w:rsidR="00786A28" w:rsidRPr="007067F6" w:rsidRDefault="00086231" w:rsidP="00CC4AEC">
            <w:pPr>
              <w:pStyle w:val="ListParagraph"/>
              <w:widowControl w:val="0"/>
              <w:numPr>
                <w:ilvl w:val="0"/>
                <w:numId w:val="36"/>
              </w:numPr>
              <w:spacing w:before="160" w:after="100" w:line="276" w:lineRule="auto"/>
              <w:ind w:left="3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State purchase contracts and registers</w:t>
            </w:r>
            <w:r w:rsidR="00786A28" w:rsidRPr="007067F6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642FB789" w14:textId="31A923CD" w:rsidR="00786A28" w:rsidRPr="007067F6" w:rsidRDefault="00786A28" w:rsidP="001D0BD7">
            <w:pPr>
              <w:pStyle w:val="ListParagraph"/>
              <w:widowControl w:val="0"/>
              <w:numPr>
                <w:ilvl w:val="0"/>
                <w:numId w:val="43"/>
              </w:numPr>
              <w:spacing w:before="16" w:after="16" w:line="240" w:lineRule="auto"/>
              <w:ind w:left="80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15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 xml:space="preserve">Professional advisory services </w:t>
              </w:r>
            </w:hyperlink>
            <w:r w:rsidR="006F61EA">
              <w:rPr>
                <w:rStyle w:val="Hyperlink"/>
                <w:rFonts w:asciiTheme="minorHAnsi" w:hAnsiTheme="minorHAnsi" w:cstheme="minorHAnsi"/>
              </w:rPr>
              <w:t>contract</w:t>
            </w:r>
          </w:p>
          <w:p w14:paraId="15A0E8AD" w14:textId="53BB2062" w:rsidR="00786A28" w:rsidRPr="007067F6" w:rsidRDefault="00786A28" w:rsidP="001D0BD7">
            <w:pPr>
              <w:pStyle w:val="ListParagraph"/>
              <w:widowControl w:val="0"/>
              <w:numPr>
                <w:ilvl w:val="0"/>
                <w:numId w:val="43"/>
              </w:numPr>
              <w:spacing w:before="16" w:after="16" w:line="240" w:lineRule="auto"/>
              <w:ind w:left="80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16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Legal services</w:t>
              </w:r>
            </w:hyperlink>
            <w:r w:rsidR="006F61EA">
              <w:rPr>
                <w:rStyle w:val="Hyperlink"/>
                <w:rFonts w:asciiTheme="minorHAnsi" w:hAnsiTheme="minorHAnsi" w:cstheme="minorHAnsi"/>
              </w:rPr>
              <w:t xml:space="preserve"> panel contract</w:t>
            </w:r>
          </w:p>
          <w:p w14:paraId="5F411E8F" w14:textId="5D91D5E9" w:rsidR="00086231" w:rsidRPr="007067F6" w:rsidRDefault="00786A28" w:rsidP="001D0BD7">
            <w:pPr>
              <w:pStyle w:val="ListParagraph"/>
              <w:widowControl w:val="0"/>
              <w:numPr>
                <w:ilvl w:val="0"/>
                <w:numId w:val="43"/>
              </w:numPr>
              <w:spacing w:before="16" w:after="16" w:line="240" w:lineRule="auto"/>
              <w:ind w:left="80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</w:pPr>
            <w:hyperlink r:id="rId17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eServices</w:t>
              </w:r>
            </w:hyperlink>
            <w:r w:rsidR="006F61EA">
              <w:rPr>
                <w:rStyle w:val="Hyperlink"/>
                <w:rFonts w:asciiTheme="minorHAnsi" w:hAnsiTheme="minorHAnsi" w:cstheme="minorHAnsi"/>
              </w:rPr>
              <w:t xml:space="preserve"> register</w:t>
            </w:r>
          </w:p>
          <w:p w14:paraId="1CFF39F1" w14:textId="77219AEB" w:rsidR="00786A28" w:rsidRPr="007067F6" w:rsidRDefault="00786A28" w:rsidP="001D0BD7">
            <w:pPr>
              <w:pStyle w:val="ListParagraph"/>
              <w:widowControl w:val="0"/>
              <w:numPr>
                <w:ilvl w:val="0"/>
                <w:numId w:val="43"/>
              </w:numPr>
              <w:spacing w:before="16" w:after="16" w:line="240" w:lineRule="auto"/>
              <w:ind w:left="80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18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Marketing services register</w:t>
              </w:r>
            </w:hyperlink>
          </w:p>
        </w:tc>
      </w:tr>
      <w:tr w:rsidR="00CC4AEC" w:rsidRPr="00765BE2" w14:paraId="677F2056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D429F69" w14:textId="2636101B" w:rsidR="002F2925" w:rsidRPr="007067F6" w:rsidRDefault="002F2925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19" w:history="1">
              <w:r w:rsidRPr="007067F6">
                <w:rPr>
                  <w:rStyle w:val="Hyperlink"/>
                  <w:rFonts w:asciiTheme="minorHAnsi" w:hAnsiTheme="minorHAnsi" w:cstheme="minorHAnsi"/>
                  <w:bCs w:val="0"/>
                  <w:sz w:val="22"/>
                </w:rPr>
                <w:t>Victorian Government Call Centre Code</w:t>
              </w:r>
            </w:hyperlink>
          </w:p>
        </w:tc>
        <w:tc>
          <w:tcPr>
            <w:tcW w:w="0" w:type="pct"/>
          </w:tcPr>
          <w:p w14:paraId="0FEA6832" w14:textId="771DB0D8" w:rsidR="002F2925" w:rsidRPr="007067F6" w:rsidRDefault="00514C8C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14C8C">
              <w:t xml:space="preserve">Public service bodies and public </w:t>
            </w:r>
            <w:proofErr w:type="spellStart"/>
            <w:r w:rsidRPr="00514C8C">
              <w:t>entites</w:t>
            </w:r>
            <w:proofErr w:type="spellEnd"/>
            <w:r w:rsidRPr="00514C8C">
              <w:t xml:space="preserve"> under the Public Administration Act 2004</w:t>
            </w:r>
          </w:p>
        </w:tc>
        <w:tc>
          <w:tcPr>
            <w:tcW w:w="0" w:type="pct"/>
          </w:tcPr>
          <w:p w14:paraId="2EAC12F8" w14:textId="4BDFDA9B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>Call centre services</w:t>
            </w:r>
          </w:p>
        </w:tc>
        <w:tc>
          <w:tcPr>
            <w:tcW w:w="0" w:type="pct"/>
          </w:tcPr>
          <w:p w14:paraId="1A606E8A" w14:textId="50BA12E2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0D733AC0" w14:textId="77777777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Supplier compliance checklist required.</w:t>
            </w:r>
          </w:p>
          <w:p w14:paraId="007D71B0" w14:textId="18A198A4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Model contract and tender clauses.</w:t>
            </w:r>
          </w:p>
        </w:tc>
      </w:tr>
      <w:tr w:rsidR="00CC4AEC" w:rsidRPr="005B5341" w14:paraId="075D4A3E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205B7C4" w14:textId="77777777" w:rsidR="002F2925" w:rsidRPr="007067F6" w:rsidRDefault="002F2925" w:rsidP="00CC4AEC">
            <w:pPr>
              <w:pStyle w:val="TableText"/>
              <w:pageBreakBefore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20" w:history="1">
              <w:proofErr w:type="spellStart"/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DataVic</w:t>
              </w:r>
              <w:proofErr w:type="spellEnd"/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 Access Policy</w:t>
              </w:r>
            </w:hyperlink>
          </w:p>
        </w:tc>
        <w:tc>
          <w:tcPr>
            <w:tcW w:w="0" w:type="pct"/>
          </w:tcPr>
          <w:p w14:paraId="30677E8B" w14:textId="7B5C6163" w:rsidR="002F2925" w:rsidRPr="007067F6" w:rsidRDefault="002F2925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1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 xml:space="preserve">Departments and </w:t>
              </w:r>
              <w:r w:rsidR="00723DC0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723DC0">
                <w:rPr>
                  <w:rStyle w:val="Hyperlink"/>
                </w:rPr>
                <w:t>ublic bodies under the Financial Management Act 1994</w:t>
              </w:r>
            </w:hyperlink>
          </w:p>
        </w:tc>
        <w:tc>
          <w:tcPr>
            <w:tcW w:w="0" w:type="pct"/>
          </w:tcPr>
          <w:p w14:paraId="0D6E7803" w14:textId="77777777" w:rsidR="002F2925" w:rsidRPr="007067F6" w:rsidRDefault="002F2925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Procurement involving datasets or databases (excluding software)</w:t>
            </w:r>
          </w:p>
        </w:tc>
        <w:tc>
          <w:tcPr>
            <w:tcW w:w="0" w:type="pct"/>
          </w:tcPr>
          <w:p w14:paraId="06881F57" w14:textId="77777777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2F2707A6" w14:textId="77777777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Procurement processes and contracts must reflect the requirements in the </w:t>
            </w:r>
            <w:proofErr w:type="spellStart"/>
            <w:r w:rsidRPr="007067F6">
              <w:rPr>
                <w:rFonts w:asciiTheme="minorHAnsi" w:hAnsiTheme="minorHAnsi" w:cstheme="minorHAnsi"/>
                <w:color w:val="000000" w:themeColor="text1"/>
              </w:rPr>
              <w:t>DataVic</w:t>
            </w:r>
            <w:proofErr w:type="spellEnd"/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Access Policy when </w:t>
            </w:r>
            <w:hyperlink r:id="rId22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developing and procuring datasets and databases</w:t>
              </w:r>
            </w:hyperlink>
            <w:r w:rsidRPr="007067F6">
              <w:rPr>
                <w:rStyle w:val="Hyperlink"/>
                <w:rFonts w:asciiTheme="minorHAnsi" w:hAnsiTheme="minorHAnsi" w:cstheme="minorHAnsi"/>
              </w:rPr>
              <w:t>.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CC4AEC" w:rsidRPr="00765BE2" w14:paraId="185685FB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9352685" w14:textId="1E43DEF0" w:rsidR="002F2925" w:rsidRPr="007067F6" w:rsidRDefault="002F2925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23" w:history="1">
              <w:r w:rsidRPr="007067F6">
                <w:rPr>
                  <w:rStyle w:val="Hyperlink"/>
                  <w:rFonts w:asciiTheme="minorHAnsi" w:hAnsiTheme="minorHAnsi" w:cstheme="minorHAnsi"/>
                  <w:bCs w:val="0"/>
                  <w:sz w:val="22"/>
                </w:rPr>
                <w:t>Fair Jobs Code (FJC)</w:t>
              </w:r>
            </w:hyperlink>
          </w:p>
        </w:tc>
        <w:tc>
          <w:tcPr>
            <w:tcW w:w="0" w:type="pct"/>
          </w:tcPr>
          <w:p w14:paraId="771380B9" w14:textId="23BFBA31" w:rsidR="002F2925" w:rsidRPr="007067F6" w:rsidRDefault="004B677E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A3008">
              <w:rPr>
                <w:rFonts w:asciiTheme="minorHAnsi" w:hAnsiTheme="minorHAnsi" w:cstheme="minorHAnsi"/>
              </w:rPr>
              <w:t xml:space="preserve">Departments and </w:t>
            </w:r>
            <w:r w:rsidR="000A3008" w:rsidRPr="000A3008">
              <w:rPr>
                <w:rFonts w:asciiTheme="minorHAnsi" w:hAnsiTheme="minorHAnsi" w:cstheme="minorHAnsi"/>
              </w:rPr>
              <w:t>public bodies under the Financial Management Act 199</w:t>
            </w:r>
            <w:r w:rsidR="000A300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pct"/>
          </w:tcPr>
          <w:p w14:paraId="423E3331" w14:textId="127154AA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>All goods and services</w:t>
            </w:r>
          </w:p>
        </w:tc>
        <w:tc>
          <w:tcPr>
            <w:tcW w:w="0" w:type="pct"/>
          </w:tcPr>
          <w:p w14:paraId="44EE905A" w14:textId="13EE024F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procurement activities valued $3 million or more.</w:t>
            </w:r>
          </w:p>
          <w:p w14:paraId="6A94D063" w14:textId="423388EF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Requirements vary based on financial thresholds.</w:t>
            </w:r>
          </w:p>
        </w:tc>
        <w:tc>
          <w:tcPr>
            <w:tcW w:w="0" w:type="pct"/>
          </w:tcPr>
          <w:p w14:paraId="62909730" w14:textId="40C778C4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lang w:eastAsia="en-US"/>
              </w:rPr>
              <w:t>Applies from 1 December 2022</w:t>
            </w:r>
          </w:p>
          <w:p w14:paraId="76E5A867" w14:textId="77777777" w:rsidR="007067F6" w:rsidRPr="007067F6" w:rsidRDefault="00605382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Model contract and tender clauses.</w:t>
            </w:r>
          </w:p>
          <w:p w14:paraId="0334778B" w14:textId="77777777" w:rsidR="007067F6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</w:rPr>
              <w:t xml:space="preserve">Requirements for buyers, suppliers and </w:t>
            </w:r>
            <w:r w:rsidRPr="007067F6">
              <w:rPr>
                <w:rFonts w:asciiTheme="minorHAnsi" w:hAnsiTheme="minorHAnsi" w:cstheme="minorHAnsi"/>
                <w:lang w:eastAsia="en-US"/>
              </w:rPr>
              <w:t>subcontractors</w:t>
            </w:r>
            <w:r w:rsidR="00605382" w:rsidRPr="007067F6">
              <w:rPr>
                <w:rFonts w:asciiTheme="minorHAnsi" w:hAnsiTheme="minorHAnsi" w:cstheme="minorHAnsi"/>
                <w:lang w:eastAsia="en-US"/>
              </w:rPr>
              <w:t xml:space="preserve">: </w:t>
            </w:r>
          </w:p>
          <w:p w14:paraId="1CD8AF16" w14:textId="77777777" w:rsidR="007067F6" w:rsidRPr="007067F6" w:rsidRDefault="00605382" w:rsidP="001D0BD7">
            <w:pPr>
              <w:pStyle w:val="ListParagraph"/>
              <w:widowControl w:val="0"/>
              <w:numPr>
                <w:ilvl w:val="1"/>
                <w:numId w:val="36"/>
              </w:numPr>
              <w:spacing w:before="16" w:after="16" w:line="240" w:lineRule="auto"/>
              <w:ind w:left="80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lang w:eastAsia="en-US"/>
              </w:rPr>
              <w:t>Pre-Assessment Certificate for suppliers (&gt;$3 million) and for significant subcontractors (&gt;$10 million)</w:t>
            </w:r>
          </w:p>
          <w:p w14:paraId="7F8400B6" w14:textId="14E5396D" w:rsidR="002F2925" w:rsidRPr="007067F6" w:rsidRDefault="00605382" w:rsidP="001D0BD7">
            <w:pPr>
              <w:pStyle w:val="ListParagraph"/>
              <w:widowControl w:val="0"/>
              <w:numPr>
                <w:ilvl w:val="1"/>
                <w:numId w:val="36"/>
              </w:numPr>
              <w:spacing w:before="16" w:after="16" w:line="240" w:lineRule="auto"/>
              <w:ind w:left="80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lang w:eastAsia="en-US"/>
              </w:rPr>
              <w:t>FJC Plan (&gt;$20 million)</w:t>
            </w:r>
          </w:p>
          <w:p w14:paraId="5E7E186A" w14:textId="6E4EC56A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Monitoring and reporting requirements.</w:t>
            </w:r>
          </w:p>
          <w:p w14:paraId="51B498CB" w14:textId="4F7ADEE4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Compliance will be monitored.</w:t>
            </w:r>
          </w:p>
        </w:tc>
      </w:tr>
      <w:tr w:rsidR="00CC4AEC" w:rsidRPr="00765BE2" w14:paraId="72F19593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FBF11FF" w14:textId="4EE77580" w:rsidR="003366D5" w:rsidRPr="001F12A4" w:rsidRDefault="003366D5" w:rsidP="00CC4AEC">
            <w:pPr>
              <w:pStyle w:val="TableText"/>
              <w:widowControl w:val="0"/>
              <w:rPr>
                <w:rFonts w:asciiTheme="minorHAnsi" w:hAnsiTheme="minorHAnsi" w:cstheme="minorHAnsi"/>
                <w:color w:val="53565A"/>
                <w:sz w:val="22"/>
              </w:rPr>
            </w:pPr>
            <w:hyperlink r:id="rId24" w:anchor=":~:text=Fair%20payments%20clause,-A%20standard%20clause&amp;text=1.1%20%5BThe%20Agency%5D%20will%2C,Rates%20Act%201983%20(Vic)." w:history="1">
              <w:r w:rsidRPr="001F12A4">
                <w:rPr>
                  <w:rStyle w:val="Hyperlink"/>
                  <w:rFonts w:asciiTheme="minorHAnsi" w:hAnsiTheme="minorHAnsi" w:cstheme="minorHAnsi"/>
                  <w:bCs w:val="0"/>
                  <w:color w:val="53565A"/>
                  <w:sz w:val="22"/>
                </w:rPr>
                <w:t>Fair Payments Policy</w:t>
              </w:r>
            </w:hyperlink>
          </w:p>
        </w:tc>
        <w:tc>
          <w:tcPr>
            <w:tcW w:w="0" w:type="pct"/>
          </w:tcPr>
          <w:p w14:paraId="40223B87" w14:textId="044DE1BD" w:rsidR="003366D5" w:rsidRPr="007067F6" w:rsidRDefault="00CA7404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</w:rPr>
              <w:t>Departments and agencies listed</w:t>
            </w:r>
            <w:r w:rsidR="007067F6">
              <w:rPr>
                <w:rFonts w:asciiTheme="minorHAnsi" w:hAnsiTheme="minorHAnsi" w:cstheme="minorHAnsi"/>
              </w:rPr>
              <w:t xml:space="preserve"> in Appendix A to the policy</w:t>
            </w:r>
          </w:p>
        </w:tc>
        <w:tc>
          <w:tcPr>
            <w:tcW w:w="0" w:type="pct"/>
          </w:tcPr>
          <w:p w14:paraId="7C52865A" w14:textId="775FDC2C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>All goods and services</w:t>
            </w:r>
          </w:p>
        </w:tc>
        <w:tc>
          <w:tcPr>
            <w:tcW w:w="0" w:type="pct"/>
          </w:tcPr>
          <w:p w14:paraId="04F92282" w14:textId="72238DF6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</w:rPr>
              <w:t>Contracts valued up to $3 million.</w:t>
            </w:r>
          </w:p>
        </w:tc>
        <w:tc>
          <w:tcPr>
            <w:tcW w:w="0" w:type="pct"/>
          </w:tcPr>
          <w:p w14:paraId="23454079" w14:textId="65FBD326" w:rsidR="006F43FB" w:rsidRPr="007067F6" w:rsidRDefault="006F43FB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Payment within 10 business days</w:t>
            </w:r>
            <w:r w:rsidR="001C2EF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4AD99C9" w14:textId="5D677378" w:rsidR="003366D5" w:rsidRPr="007067F6" w:rsidRDefault="006F43FB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Penalty interest </w:t>
            </w:r>
            <w:r w:rsidR="001C2EFA">
              <w:rPr>
                <w:rFonts w:asciiTheme="minorHAnsi" w:hAnsiTheme="minorHAnsi" w:cstheme="minorHAnsi"/>
                <w:color w:val="000000" w:themeColor="text1"/>
              </w:rPr>
              <w:t xml:space="preserve">may apply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for late payments</w:t>
            </w:r>
            <w:r w:rsidR="001C2EF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CC4AEC" w:rsidRPr="00765BE2" w14:paraId="1D11812D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A391F4B" w14:textId="011B6ACA" w:rsidR="003366D5" w:rsidRPr="007067F6" w:rsidRDefault="00441551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25" w:history="1">
              <w:r w:rsidR="003366D5" w:rsidRPr="00441551">
                <w:rPr>
                  <w:rStyle w:val="Hyperlink"/>
                  <w:rFonts w:asciiTheme="minorHAnsi" w:hAnsiTheme="minorHAnsi" w:cstheme="minorHAnsi"/>
                  <w:bCs w:val="0"/>
                  <w:sz w:val="22"/>
                </w:rPr>
                <w:t>Intellectual Property Policy</w:t>
              </w:r>
            </w:hyperlink>
          </w:p>
        </w:tc>
        <w:tc>
          <w:tcPr>
            <w:tcW w:w="0" w:type="pct"/>
          </w:tcPr>
          <w:p w14:paraId="7C727282" w14:textId="51BE4A79" w:rsidR="003366D5" w:rsidRPr="007067F6" w:rsidRDefault="003366D5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3565A" w:themeColor="text2"/>
              </w:rPr>
            </w:pPr>
            <w:r w:rsidRPr="00DF3A25">
              <w:rPr>
                <w:rFonts w:asciiTheme="minorHAnsi" w:hAnsiTheme="minorHAnsi" w:cstheme="minorHAnsi"/>
              </w:rPr>
              <w:t xml:space="preserve">Departments and </w:t>
            </w:r>
            <w:r w:rsidR="00DF3A25" w:rsidRPr="00DF3A25">
              <w:rPr>
                <w:rFonts w:asciiTheme="minorHAnsi" w:hAnsiTheme="minorHAnsi" w:cstheme="minorHAnsi"/>
              </w:rPr>
              <w:t xml:space="preserve">public bodies </w:t>
            </w:r>
            <w:r w:rsidR="000A3008">
              <w:rPr>
                <w:rFonts w:asciiTheme="minorHAnsi" w:hAnsiTheme="minorHAnsi" w:cstheme="minorHAnsi"/>
              </w:rPr>
              <w:t>u</w:t>
            </w:r>
            <w:r w:rsidR="000A3008">
              <w:t xml:space="preserve">nder </w:t>
            </w:r>
            <w:r w:rsidR="00DF3A25" w:rsidRPr="00DF3A25">
              <w:rPr>
                <w:rFonts w:asciiTheme="minorHAnsi" w:hAnsiTheme="minorHAnsi" w:cstheme="minorHAnsi"/>
              </w:rPr>
              <w:t>the Financial Management Act 1994</w:t>
            </w:r>
          </w:p>
        </w:tc>
        <w:tc>
          <w:tcPr>
            <w:tcW w:w="0" w:type="pct"/>
          </w:tcPr>
          <w:p w14:paraId="4D9FE594" w14:textId="77777777" w:rsidR="003366D5" w:rsidRPr="007067F6" w:rsidRDefault="003366D5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lang w:eastAsia="en-US"/>
              </w:rPr>
              <w:t>All goods and services</w:t>
            </w:r>
            <w:r w:rsidRPr="007067F6" w:rsidDel="00A1583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0" w:type="pct"/>
          </w:tcPr>
          <w:p w14:paraId="046399E6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7C13B10B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Contracts must address Intellectual Property (IP) rights consistently with the IP Policy, notably Principle 9 (procurement).</w:t>
            </w:r>
          </w:p>
          <w:p w14:paraId="1A7BDE72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</w:rPr>
              <w:t>Impacts the ownership and licensing of project and background IP.</w:t>
            </w:r>
          </w:p>
        </w:tc>
      </w:tr>
      <w:tr w:rsidR="00CC4AEC" w:rsidRPr="00765BE2" w14:paraId="7E6C6C28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0408239" w14:textId="77777777" w:rsidR="003366D5" w:rsidRPr="007067F6" w:rsidRDefault="003366D5" w:rsidP="00CC4AEC">
            <w:pPr>
              <w:pStyle w:val="TableText"/>
              <w:widowControl w:val="0"/>
              <w:rPr>
                <w:rFonts w:asciiTheme="minorHAnsi" w:hAnsiTheme="minorHAnsi" w:cstheme="minorHAnsi"/>
                <w:noProof/>
                <w:sz w:val="22"/>
              </w:rPr>
            </w:pPr>
            <w:hyperlink r:id="rId26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Internal Shared Service Provider</w:t>
              </w:r>
            </w:hyperlink>
          </w:p>
        </w:tc>
        <w:tc>
          <w:tcPr>
            <w:tcW w:w="0" w:type="pct"/>
          </w:tcPr>
          <w:p w14:paraId="15D079FC" w14:textId="100A5CEC" w:rsidR="003366D5" w:rsidRPr="007067F6" w:rsidRDefault="003366D5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Follow</w:t>
            </w:r>
            <w:r w:rsidR="001D0B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95792">
              <w:rPr>
                <w:rFonts w:asciiTheme="minorHAnsi" w:hAnsiTheme="minorHAnsi" w:cstheme="minorHAnsi"/>
                <w:color w:val="000000" w:themeColor="text1"/>
              </w:rPr>
              <w:t>department and a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gency </w:t>
            </w:r>
            <w:r w:rsidR="00D95792">
              <w:rPr>
                <w:rFonts w:asciiTheme="minorHAnsi" w:hAnsiTheme="minorHAnsi" w:cstheme="minorHAnsi"/>
                <w:color w:val="000000" w:themeColor="text1"/>
              </w:rPr>
              <w:t xml:space="preserve">internal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process to determine which service providers must be used</w:t>
            </w:r>
          </w:p>
        </w:tc>
        <w:tc>
          <w:tcPr>
            <w:tcW w:w="0" w:type="pct"/>
          </w:tcPr>
          <w:p w14:paraId="79E471A4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hyperlink r:id="rId27" w:history="1">
              <w:r w:rsidRPr="007067F6">
                <w:rPr>
                  <w:rStyle w:val="Hyperlink"/>
                  <w:rFonts w:asciiTheme="minorHAnsi" w:hAnsiTheme="minorHAnsi" w:cstheme="minorHAnsi"/>
                  <w:noProof/>
                  <w:sz w:val="22"/>
                </w:rPr>
                <w:t>Shared service provider categories</w:t>
              </w:r>
            </w:hyperlink>
            <w:r w:rsidRPr="007067F6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0" w:type="pct"/>
          </w:tcPr>
          <w:p w14:paraId="3308D176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745866CB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Where such arrangements are in place, they should be used, and an open market engagement process is not required.</w:t>
            </w:r>
            <w:r w:rsidRPr="007067F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CC4AEC" w:rsidRPr="00765BE2" w14:paraId="3BF80D3E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6F67953" w14:textId="77777777" w:rsidR="003366D5" w:rsidRPr="007067F6" w:rsidRDefault="003366D5" w:rsidP="00CC4AEC">
            <w:pPr>
              <w:pStyle w:val="TableText"/>
              <w:pageBreakBefore/>
              <w:widowControl w:val="0"/>
              <w:rPr>
                <w:rStyle w:val="Hyperlink"/>
                <w:rFonts w:asciiTheme="minorHAnsi" w:hAnsiTheme="minorHAnsi" w:cstheme="minorHAnsi"/>
                <w:bCs w:val="0"/>
                <w:sz w:val="22"/>
              </w:rPr>
            </w:pPr>
            <w:hyperlink r:id="rId28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International Agreements</w:t>
              </w:r>
            </w:hyperlink>
          </w:p>
          <w:p w14:paraId="28994417" w14:textId="77777777" w:rsidR="003366D5" w:rsidRPr="007067F6" w:rsidRDefault="003366D5" w:rsidP="00CC4AEC">
            <w:pPr>
              <w:pStyle w:val="TableText"/>
              <w:widowControl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0" w:type="pct"/>
          </w:tcPr>
          <w:p w14:paraId="1AD5DF27" w14:textId="659E3E11" w:rsidR="003366D5" w:rsidRPr="007067F6" w:rsidRDefault="00D95792" w:rsidP="001D0BD7">
            <w:pPr>
              <w:widowControl w:val="0"/>
              <w:spacing w:before="16" w:after="16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sz w:val="20"/>
              </w:rPr>
            </w:pPr>
            <w:r>
              <w:t>Departments and a</w:t>
            </w:r>
            <w:hyperlink r:id="rId29" w:history="1"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>gencies listed as being subject to international agreements</w:t>
              </w:r>
            </w:hyperlink>
          </w:p>
          <w:p w14:paraId="19DEA8DF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0" w:type="pct"/>
          </w:tcPr>
          <w:p w14:paraId="0E01345A" w14:textId="77777777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0"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406F2">
              <w:rPr>
                <w:rFonts w:asciiTheme="minorHAnsi" w:hAnsiTheme="minorHAnsi" w:cstheme="minorHAnsi"/>
                <w:sz w:val="22"/>
                <w:lang w:eastAsia="en-US"/>
              </w:rPr>
              <w:t xml:space="preserve">All goods and services </w:t>
            </w:r>
          </w:p>
        </w:tc>
        <w:tc>
          <w:tcPr>
            <w:tcW w:w="0" w:type="pct"/>
          </w:tcPr>
          <w:p w14:paraId="5F422328" w14:textId="77777777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 w:rsidRPr="006406F2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International Agreements:</w:t>
            </w:r>
          </w:p>
          <w:p w14:paraId="074B93CB" w14:textId="02BFF41C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1D0BD7">
              <w:rPr>
                <w:rFonts w:asciiTheme="minorHAnsi" w:hAnsiTheme="minorHAnsi" w:cstheme="minorHAnsi"/>
                <w:noProof/>
                <w:sz w:val="22"/>
              </w:rPr>
              <w:t>&gt; $</w:t>
            </w:r>
            <w:r w:rsidR="001C2EFA" w:rsidRPr="001D0BD7">
              <w:rPr>
                <w:rFonts w:asciiTheme="minorHAnsi" w:hAnsiTheme="minorHAnsi" w:cstheme="minorHAnsi"/>
                <w:noProof/>
                <w:sz w:val="22"/>
              </w:rPr>
              <w:t>693</w:t>
            </w:r>
            <w:r w:rsidRPr="001D0BD7">
              <w:rPr>
                <w:rFonts w:asciiTheme="minorHAnsi" w:hAnsiTheme="minorHAnsi" w:cstheme="minorHAnsi"/>
                <w:noProof/>
                <w:sz w:val="22"/>
              </w:rPr>
              <w:t>,000 (inclusive of GST)</w:t>
            </w:r>
          </w:p>
          <w:p w14:paraId="7971998D" w14:textId="77777777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 w:rsidRPr="006406F2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Australia New Zealand Government Procurement Agreement:</w:t>
            </w:r>
          </w:p>
          <w:p w14:paraId="648CBC6B" w14:textId="77777777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 w:hanging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406F2">
              <w:rPr>
                <w:rFonts w:asciiTheme="minorHAnsi" w:hAnsiTheme="minorHAnsi" w:cstheme="minorHAnsi"/>
                <w:noProof/>
                <w:sz w:val="22"/>
              </w:rPr>
              <w:t>Applies to procurement activities of any value.</w:t>
            </w:r>
          </w:p>
        </w:tc>
        <w:tc>
          <w:tcPr>
            <w:tcW w:w="0" w:type="pct"/>
          </w:tcPr>
          <w:p w14:paraId="06253708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Provide a level playing field between domestic and international tenderers.</w:t>
            </w:r>
          </w:p>
          <w:p w14:paraId="5CBCDF6F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Dispute resolution clause in tender documentation.</w:t>
            </w:r>
          </w:p>
          <w:p w14:paraId="54D481A3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Notice requirements.</w:t>
            </w:r>
          </w:p>
          <w:p w14:paraId="777E1BA9" w14:textId="77777777" w:rsidR="003366D5" w:rsidRPr="007067F6" w:rsidRDefault="003366D5" w:rsidP="001D0BD7">
            <w:pPr>
              <w:widowControl w:val="0"/>
              <w:spacing w:before="16" w:after="1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C4AEC" w:rsidRPr="00765BE2" w14:paraId="0A84622C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ADD46BB" w14:textId="0BD6EB51" w:rsidR="003366D5" w:rsidRPr="007067F6" w:rsidRDefault="003366D5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30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Labour Hire Licensing Scheme</w:t>
              </w:r>
            </w:hyperlink>
          </w:p>
        </w:tc>
        <w:tc>
          <w:tcPr>
            <w:tcW w:w="0" w:type="pct"/>
          </w:tcPr>
          <w:p w14:paraId="55EF3D4A" w14:textId="12A99B31" w:rsidR="003366D5" w:rsidRPr="007067F6" w:rsidRDefault="00D95792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Departments and a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 xml:space="preserve">gencies that </w:t>
            </w:r>
            <w:r w:rsidR="00D21C81">
              <w:rPr>
                <w:rFonts w:asciiTheme="minorHAnsi" w:hAnsiTheme="minorHAnsi" w:cstheme="minorHAnsi"/>
                <w:color w:val="000000" w:themeColor="text1"/>
              </w:rPr>
              <w:t xml:space="preserve">engage </w:t>
            </w:r>
            <w:r w:rsidR="00350D32">
              <w:rPr>
                <w:rFonts w:asciiTheme="minorHAnsi" w:hAnsiTheme="minorHAnsi" w:cstheme="minorHAnsi"/>
                <w:color w:val="000000" w:themeColor="text1"/>
              </w:rPr>
              <w:t xml:space="preserve">workers through a 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labour hire provider</w:t>
            </w:r>
          </w:p>
        </w:tc>
        <w:tc>
          <w:tcPr>
            <w:tcW w:w="0" w:type="pct"/>
          </w:tcPr>
          <w:p w14:paraId="560F130D" w14:textId="277EC04A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firstLine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>Labour hire</w:t>
            </w:r>
          </w:p>
        </w:tc>
        <w:tc>
          <w:tcPr>
            <w:tcW w:w="0" w:type="pct"/>
          </w:tcPr>
          <w:p w14:paraId="1B5ACB64" w14:textId="529CED43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03D54CF5" w14:textId="6D8FD37D" w:rsidR="00CA567B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Ensure that suppliers that are labour hire providers are licensed by the Labour Hire Authority</w:t>
            </w:r>
          </w:p>
          <w:p w14:paraId="5327A443" w14:textId="41B161CA" w:rsidR="003366D5" w:rsidRPr="007067F6" w:rsidRDefault="00CA567B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enalties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for not engaging licensed labour hire providers for labour hire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223BE2C" w14:textId="77777777" w:rsidR="003366D5" w:rsidRPr="00350D32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Tool: </w:t>
            </w:r>
            <w:hyperlink r:id="rId31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Register of Licensed Labour Hire Providers</w:t>
              </w:r>
            </w:hyperlink>
            <w:r w:rsidRPr="007067F6">
              <w:rPr>
                <w:rStyle w:val="Hyperlink"/>
                <w:rFonts w:asciiTheme="minorHAnsi" w:hAnsiTheme="minorHAnsi" w:cstheme="minorHAnsi"/>
              </w:rPr>
              <w:t>.</w:t>
            </w:r>
          </w:p>
          <w:p w14:paraId="053983DD" w14:textId="0E4A8971" w:rsidR="00350D32" w:rsidRPr="007067F6" w:rsidRDefault="00350D32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Agencies subject to the VGPB supply policies must use the Staffing Services SPC (unless exempted) for labour hire</w:t>
            </w:r>
          </w:p>
        </w:tc>
      </w:tr>
      <w:tr w:rsidR="00CC4AEC" w:rsidRPr="00765BE2" w14:paraId="1FF12BD6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168592A" w14:textId="314ACE07" w:rsidR="003366D5" w:rsidRPr="007067F6" w:rsidRDefault="003366D5" w:rsidP="00CC4AEC">
            <w:pPr>
              <w:pStyle w:val="TableText"/>
              <w:widowControl w:val="0"/>
              <w:rPr>
                <w:rFonts w:asciiTheme="minorHAnsi" w:hAnsiTheme="minorHAnsi" w:cstheme="minorHAnsi"/>
                <w:noProof/>
                <w:sz w:val="22"/>
              </w:rPr>
            </w:pPr>
            <w:hyperlink r:id="rId32" w:history="1">
              <w:r w:rsidRPr="007067F6">
                <w:rPr>
                  <w:rStyle w:val="Hyperlink"/>
                  <w:rFonts w:asciiTheme="minorHAnsi" w:hAnsiTheme="minorHAnsi" w:cstheme="minorHAnsi"/>
                  <w:bCs w:val="0"/>
                  <w:sz w:val="22"/>
                </w:rPr>
                <w:t>Local Jobs First</w:t>
              </w:r>
            </w:hyperlink>
            <w:r w:rsidR="0012676F">
              <w:rPr>
                <w:rStyle w:val="Hyperlink"/>
                <w:rFonts w:asciiTheme="minorHAnsi" w:hAnsiTheme="minorHAnsi" w:cstheme="minorHAnsi"/>
                <w:sz w:val="22"/>
              </w:rPr>
              <w:t xml:space="preserve"> Policy</w:t>
            </w:r>
          </w:p>
        </w:tc>
        <w:tc>
          <w:tcPr>
            <w:tcW w:w="0" w:type="pct"/>
          </w:tcPr>
          <w:p w14:paraId="5B318329" w14:textId="47055659" w:rsidR="003366D5" w:rsidRPr="007067F6" w:rsidRDefault="003366D5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53565A" w:themeColor="text2"/>
              </w:rPr>
            </w:pPr>
            <w:hyperlink r:id="rId33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 xml:space="preserve">Departments and </w:t>
              </w:r>
              <w:r w:rsidR="00514C8C">
                <w:rPr>
                  <w:rStyle w:val="Hyperlink"/>
                  <w:rFonts w:asciiTheme="minorHAnsi" w:hAnsiTheme="minorHAnsi" w:cstheme="minorHAnsi"/>
                </w:rPr>
                <w:t>public bodies under the Financial Management Act 1994</w:t>
              </w:r>
            </w:hyperlink>
            <w:r w:rsidRPr="007067F6" w:rsidDel="001C1D2D">
              <w:rPr>
                <w:rFonts w:asciiTheme="minorHAnsi" w:hAnsiTheme="minorHAnsi" w:cstheme="minorHAnsi"/>
                <w:color w:val="53565A" w:themeColor="text2"/>
              </w:rPr>
              <w:t xml:space="preserve"> </w:t>
            </w:r>
          </w:p>
        </w:tc>
        <w:tc>
          <w:tcPr>
            <w:tcW w:w="0" w:type="pct"/>
          </w:tcPr>
          <w:p w14:paraId="1581B31C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 xml:space="preserve">All goods and services </w:t>
            </w:r>
          </w:p>
        </w:tc>
        <w:tc>
          <w:tcPr>
            <w:tcW w:w="0" w:type="pct"/>
          </w:tcPr>
          <w:p w14:paraId="2BC0EC46" w14:textId="77777777" w:rsidR="003366D5" w:rsidRPr="007067F6" w:rsidRDefault="003366D5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Applies to procurement activities valued:</w:t>
            </w:r>
          </w:p>
          <w:p w14:paraId="23350EA0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75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$1 million or more </w:t>
            </w:r>
            <w:r w:rsidRPr="007067F6" w:rsidDel="00D17339">
              <w:rPr>
                <w:rFonts w:asciiTheme="minorHAnsi" w:hAnsiTheme="minorHAnsi" w:cstheme="minorHAnsi"/>
                <w:color w:val="000000" w:themeColor="text1"/>
              </w:rPr>
              <w:t>(regional)</w:t>
            </w:r>
          </w:p>
          <w:p w14:paraId="457ED7C2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75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$3 million or more (metro or state-wide)</w:t>
            </w:r>
          </w:p>
        </w:tc>
        <w:tc>
          <w:tcPr>
            <w:tcW w:w="0" w:type="pct"/>
          </w:tcPr>
          <w:p w14:paraId="2E27F9D4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Local content requirements. </w:t>
            </w:r>
          </w:p>
          <w:p w14:paraId="4EA81760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Model contract and tender clauses. </w:t>
            </w:r>
          </w:p>
          <w:p w14:paraId="2195A428" w14:textId="51676D22" w:rsidR="003366D5" w:rsidRPr="007067F6" w:rsidRDefault="004E58A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Mandated 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tender evaluation weighting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of 20%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4C743B0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Local Industry Development Plan. </w:t>
            </w:r>
          </w:p>
          <w:p w14:paraId="6B7C7068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Monitoring and reporting requirements.</w:t>
            </w:r>
          </w:p>
        </w:tc>
      </w:tr>
      <w:tr w:rsidR="00CC4AEC" w:rsidRPr="00765BE2" w14:paraId="1FB4397B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auto"/>
          </w:tcPr>
          <w:p w14:paraId="03D514C0" w14:textId="57520E30" w:rsidR="003366D5" w:rsidRPr="007067F6" w:rsidRDefault="003366D5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34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Portable Long Service Benefits Scheme</w:t>
              </w:r>
            </w:hyperlink>
          </w:p>
        </w:tc>
        <w:tc>
          <w:tcPr>
            <w:tcW w:w="0" w:type="pct"/>
            <w:shd w:val="clear" w:color="auto" w:fill="auto"/>
          </w:tcPr>
          <w:p w14:paraId="2089BE21" w14:textId="76C14C67" w:rsidR="003366D5" w:rsidRPr="007067F6" w:rsidRDefault="00D95792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</w:rPr>
              <w:t>Departments and a</w:t>
            </w:r>
            <w:r w:rsidR="003366D5" w:rsidRPr="007067F6">
              <w:rPr>
                <w:rFonts w:asciiTheme="minorHAnsi" w:hAnsiTheme="minorHAnsi" w:cstheme="minorHAnsi"/>
                <w:color w:val="000000"/>
              </w:rPr>
              <w:t xml:space="preserve">gencies that use suppliers with </w:t>
            </w:r>
            <w:r w:rsidR="00A07A64">
              <w:rPr>
                <w:rFonts w:asciiTheme="minorHAnsi" w:hAnsiTheme="minorHAnsi" w:cstheme="minorHAnsi"/>
                <w:color w:val="000000"/>
              </w:rPr>
              <w:t xml:space="preserve">suppliers </w:t>
            </w:r>
            <w:r w:rsidR="003366D5" w:rsidRPr="007067F6">
              <w:rPr>
                <w:rFonts w:asciiTheme="minorHAnsi" w:hAnsiTheme="minorHAnsi" w:cstheme="minorHAnsi"/>
                <w:color w:val="000000"/>
              </w:rPr>
              <w:t xml:space="preserve">in </w:t>
            </w:r>
            <w:r w:rsidR="001350F9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3366D5" w:rsidRPr="007067F6">
              <w:rPr>
                <w:rFonts w:asciiTheme="minorHAnsi" w:hAnsiTheme="minorHAnsi" w:cstheme="minorHAnsi"/>
                <w:color w:val="000000"/>
              </w:rPr>
              <w:t>community services, contract cleaning</w:t>
            </w:r>
            <w:r w:rsidR="001350F9">
              <w:rPr>
                <w:rFonts w:asciiTheme="minorHAnsi" w:hAnsiTheme="minorHAnsi" w:cstheme="minorHAnsi"/>
                <w:color w:val="000000"/>
              </w:rPr>
              <w:t>,</w:t>
            </w:r>
            <w:r w:rsidR="003366D5" w:rsidRPr="007067F6">
              <w:rPr>
                <w:rFonts w:asciiTheme="minorHAnsi" w:hAnsiTheme="minorHAnsi" w:cstheme="minorHAnsi"/>
                <w:color w:val="000000"/>
              </w:rPr>
              <w:t xml:space="preserve"> and security</w:t>
            </w:r>
            <w:r w:rsidR="00A07A64">
              <w:rPr>
                <w:rFonts w:asciiTheme="minorHAnsi" w:hAnsiTheme="minorHAnsi" w:cstheme="minorHAnsi"/>
                <w:color w:val="000000"/>
              </w:rPr>
              <w:t xml:space="preserve"> industries</w:t>
            </w:r>
          </w:p>
        </w:tc>
        <w:tc>
          <w:tcPr>
            <w:tcW w:w="0" w:type="pct"/>
            <w:shd w:val="clear" w:color="auto" w:fill="auto"/>
          </w:tcPr>
          <w:p w14:paraId="5F4FAA30" w14:textId="59B5F0F1" w:rsidR="003366D5" w:rsidRPr="007067F6" w:rsidRDefault="003366D5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Community services, cleaning, security services</w:t>
            </w:r>
          </w:p>
        </w:tc>
        <w:tc>
          <w:tcPr>
            <w:tcW w:w="0" w:type="pct"/>
            <w:shd w:val="clear" w:color="auto" w:fill="auto"/>
          </w:tcPr>
          <w:p w14:paraId="0E40E81B" w14:textId="0459168A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  <w:shd w:val="clear" w:color="auto" w:fill="auto"/>
          </w:tcPr>
          <w:p w14:paraId="2D5F9687" w14:textId="3155EA1C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Ensure that suppliers with workers in the </w:t>
            </w:r>
            <w:r w:rsidR="00350D32">
              <w:rPr>
                <w:rFonts w:asciiTheme="minorHAnsi" w:hAnsiTheme="minorHAnsi" w:cstheme="minorHAnsi"/>
                <w:color w:val="000000" w:themeColor="text1"/>
              </w:rPr>
              <w:t>relevant industries</w:t>
            </w:r>
            <w:r w:rsidR="00350D32"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are registered with the Portable Long Service Authority.</w:t>
            </w:r>
          </w:p>
          <w:p w14:paraId="6B15002A" w14:textId="5288A314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Tool: </w:t>
            </w:r>
            <w:hyperlink r:id="rId35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Register of Portable Long Service Authority</w:t>
              </w:r>
            </w:hyperlink>
            <w:r w:rsidRPr="007067F6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</w:tr>
      <w:tr w:rsidR="00CC4AEC" w:rsidRPr="00765BE2" w14:paraId="4134A9A3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auto"/>
          </w:tcPr>
          <w:p w14:paraId="29051569" w14:textId="07B25B33" w:rsidR="003366D5" w:rsidRPr="007067F6" w:rsidRDefault="00B50F29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36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Single-Use Plastics Policy</w:t>
              </w:r>
            </w:hyperlink>
          </w:p>
        </w:tc>
        <w:tc>
          <w:tcPr>
            <w:tcW w:w="0" w:type="pct"/>
            <w:shd w:val="clear" w:color="auto" w:fill="auto"/>
          </w:tcPr>
          <w:p w14:paraId="431321B4" w14:textId="3CFF529C" w:rsidR="003366D5" w:rsidRPr="007067F6" w:rsidRDefault="00D95792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Departments and a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gencies listed as being subject to the policy</w:t>
            </w:r>
          </w:p>
        </w:tc>
        <w:tc>
          <w:tcPr>
            <w:tcW w:w="0" w:type="pct"/>
            <w:shd w:val="clear" w:color="auto" w:fill="auto"/>
          </w:tcPr>
          <w:p w14:paraId="5000D7F2" w14:textId="03F24885" w:rsidR="003366D5" w:rsidRPr="007067F6" w:rsidRDefault="003366D5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Catering and station</w:t>
            </w:r>
            <w:r w:rsidR="001D0BD7">
              <w:rPr>
                <w:rFonts w:asciiTheme="minorHAnsi" w:hAnsiTheme="minorHAnsi" w:cstheme="minorHAnsi"/>
                <w:color w:val="000000"/>
              </w:rPr>
              <w:t>e</w:t>
            </w:r>
            <w:r w:rsidRPr="007067F6">
              <w:rPr>
                <w:rFonts w:asciiTheme="minorHAnsi" w:hAnsiTheme="minorHAnsi" w:cstheme="minorHAnsi"/>
                <w:color w:val="000000"/>
              </w:rPr>
              <w:t xml:space="preserve">ry </w:t>
            </w:r>
          </w:p>
        </w:tc>
        <w:tc>
          <w:tcPr>
            <w:tcW w:w="0" w:type="pct"/>
            <w:shd w:val="clear" w:color="auto" w:fill="auto"/>
          </w:tcPr>
          <w:p w14:paraId="4B694BC9" w14:textId="091D9856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  <w:shd w:val="clear" w:color="auto" w:fill="auto"/>
          </w:tcPr>
          <w:p w14:paraId="4AD05CAC" w14:textId="1F22242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Ensure banned single-use plastics are not supplied during the procurement activity.</w:t>
            </w:r>
          </w:p>
          <w:p w14:paraId="218D34F0" w14:textId="709CF72A" w:rsidR="003366D5" w:rsidRPr="001D0BD7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State-wide ban </w:t>
            </w:r>
            <w:r w:rsidR="00A07A64">
              <w:rPr>
                <w:rFonts w:asciiTheme="minorHAnsi" w:hAnsiTheme="minorHAnsi" w:cstheme="minorHAnsi"/>
                <w:color w:val="000000" w:themeColor="text1"/>
              </w:rPr>
              <w:t xml:space="preserve">came into effect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Feb 2023.</w:t>
            </w:r>
          </w:p>
        </w:tc>
      </w:tr>
      <w:tr w:rsidR="00CC4AEC" w:rsidRPr="00765BE2" w14:paraId="39D175BE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7F9BF17" w14:textId="77777777" w:rsidR="003366D5" w:rsidRPr="00B50F29" w:rsidRDefault="003366D5" w:rsidP="00B50F29">
            <w:hyperlink r:id="rId37" w:history="1">
              <w:r w:rsidRPr="00B50F29">
                <w:rPr>
                  <w:rStyle w:val="Hyperlink"/>
                </w:rPr>
                <w:t>Social Procurement Framework</w:t>
              </w:r>
            </w:hyperlink>
          </w:p>
        </w:tc>
        <w:tc>
          <w:tcPr>
            <w:tcW w:w="0" w:type="pct"/>
          </w:tcPr>
          <w:p w14:paraId="0324B066" w14:textId="37720F16" w:rsidR="003366D5" w:rsidRPr="007067F6" w:rsidRDefault="003366D5" w:rsidP="001D0BD7">
            <w:pPr>
              <w:widowControl w:val="0"/>
              <w:spacing w:before="16" w:after="1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53565A" w:themeColor="text2"/>
              </w:rPr>
            </w:pPr>
            <w:hyperlink r:id="rId38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 xml:space="preserve">Departments and </w:t>
              </w:r>
              <w:r w:rsidR="00D95792">
                <w:rPr>
                  <w:rStyle w:val="Hyperlink"/>
                  <w:rFonts w:asciiTheme="minorHAnsi" w:hAnsiTheme="minorHAnsi" w:cstheme="minorHAnsi"/>
                </w:rPr>
                <w:t>a</w:t>
              </w:r>
              <w:r w:rsidRPr="007067F6">
                <w:rPr>
                  <w:rStyle w:val="Hyperlink"/>
                  <w:rFonts w:asciiTheme="minorHAnsi" w:hAnsiTheme="minorHAnsi" w:cstheme="minorHAnsi"/>
                </w:rPr>
                <w:t>gencies subject to Standing Directions 2018</w:t>
              </w:r>
            </w:hyperlink>
          </w:p>
        </w:tc>
        <w:tc>
          <w:tcPr>
            <w:tcW w:w="0" w:type="pct"/>
          </w:tcPr>
          <w:p w14:paraId="318FE0C5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 xml:space="preserve">All goods and services </w:t>
            </w:r>
          </w:p>
        </w:tc>
        <w:tc>
          <w:tcPr>
            <w:tcW w:w="0" w:type="pct"/>
          </w:tcPr>
          <w:p w14:paraId="77AEA362" w14:textId="772DDD41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Requirements and minimum expectations vary based on financial thresholds</w:t>
            </w:r>
            <w:r w:rsidR="005051FC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</w:p>
        </w:tc>
        <w:tc>
          <w:tcPr>
            <w:tcW w:w="0" w:type="pct"/>
          </w:tcPr>
          <w:p w14:paraId="01BED1D4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Social and sustainable objectives and outcomes.</w:t>
            </w:r>
          </w:p>
          <w:p w14:paraId="108462CC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Model contract and tender clauses.</w:t>
            </w:r>
          </w:p>
          <w:p w14:paraId="2F0507F3" w14:textId="343DFC72" w:rsidR="00C0126F" w:rsidRPr="007067F6" w:rsidRDefault="00CA7404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4E1F21" w:rsidRPr="007067F6">
              <w:rPr>
                <w:rFonts w:asciiTheme="minorHAnsi" w:hAnsiTheme="minorHAnsi" w:cstheme="minorHAnsi"/>
                <w:color w:val="000000" w:themeColor="text1"/>
              </w:rPr>
              <w:t>valuation weighting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determined by nature of activity</w:t>
            </w:r>
            <w:r w:rsidR="004E1F21" w:rsidRPr="007067F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41CEE91B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Monitoring and reporting requirements. </w:t>
            </w:r>
          </w:p>
        </w:tc>
      </w:tr>
      <w:tr w:rsidR="00CC4AEC" w:rsidRPr="00765BE2" w14:paraId="5EE76C99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auto"/>
          </w:tcPr>
          <w:p w14:paraId="339ED80F" w14:textId="77777777" w:rsidR="003366D5" w:rsidRPr="007067F6" w:rsidRDefault="003366D5" w:rsidP="00CC4AEC">
            <w:pPr>
              <w:pStyle w:val="TableText"/>
              <w:widowControl w:val="0"/>
              <w:rPr>
                <w:rFonts w:asciiTheme="minorHAnsi" w:hAnsiTheme="minorHAnsi" w:cstheme="minorHAnsi"/>
                <w:noProof/>
                <w:sz w:val="22"/>
              </w:rPr>
            </w:pPr>
            <w:hyperlink r:id="rId39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Supplier Code of Conduct</w:t>
              </w:r>
            </w:hyperlink>
          </w:p>
        </w:tc>
        <w:tc>
          <w:tcPr>
            <w:tcW w:w="0" w:type="pct"/>
            <w:shd w:val="clear" w:color="auto" w:fill="auto"/>
          </w:tcPr>
          <w:p w14:paraId="6FD38FB6" w14:textId="2DB982CE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53565A" w:themeColor="text2"/>
                <w:sz w:val="22"/>
              </w:rPr>
            </w:pPr>
            <w:hyperlink r:id="rId40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Departments and </w:t>
              </w:r>
              <w:r w:rsidR="00D95792">
                <w:rPr>
                  <w:rStyle w:val="Hyperlink"/>
                  <w:rFonts w:asciiTheme="minorHAnsi" w:hAnsiTheme="minorHAnsi" w:cstheme="minorHAnsi"/>
                  <w:sz w:val="22"/>
                </w:rPr>
                <w:t>a</w:t>
              </w:r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gencies subject to Standing Directions 2018</w:t>
              </w:r>
            </w:hyperlink>
          </w:p>
        </w:tc>
        <w:tc>
          <w:tcPr>
            <w:tcW w:w="0" w:type="pct"/>
            <w:shd w:val="clear" w:color="auto" w:fill="auto"/>
          </w:tcPr>
          <w:p w14:paraId="223D3846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 xml:space="preserve">All goods and services </w:t>
            </w:r>
          </w:p>
        </w:tc>
        <w:tc>
          <w:tcPr>
            <w:tcW w:w="0" w:type="pct"/>
            <w:shd w:val="clear" w:color="auto" w:fill="auto"/>
          </w:tcPr>
          <w:p w14:paraId="418F2DA9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procurement activities of any value.</w:t>
            </w:r>
          </w:p>
        </w:tc>
        <w:tc>
          <w:tcPr>
            <w:tcW w:w="0" w:type="pct"/>
            <w:shd w:val="clear" w:color="auto" w:fill="auto"/>
          </w:tcPr>
          <w:p w14:paraId="2CD77141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Minimum standards of conduct by suppliers.</w:t>
            </w:r>
          </w:p>
          <w:p w14:paraId="6020A1AE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41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Monitoring and enforcement requirements for non-compliance with the Supplier Code of Conduct</w:t>
              </w:r>
            </w:hyperlink>
            <w:r w:rsidRPr="007067F6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</w:tr>
      <w:tr w:rsidR="00CC4AEC" w:rsidRPr="00765BE2" w14:paraId="748D2EDB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5CC9A650" w14:textId="77777777" w:rsidR="003366D5" w:rsidRPr="007067F6" w:rsidRDefault="003366D5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42" w:history="1">
              <w:r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Uniforms and Personal Protective Equipment</w:t>
              </w:r>
            </w:hyperlink>
          </w:p>
        </w:tc>
        <w:tc>
          <w:tcPr>
            <w:tcW w:w="0" w:type="pct"/>
            <w:shd w:val="clear" w:color="auto" w:fill="FFFFFF" w:themeFill="background1"/>
          </w:tcPr>
          <w:p w14:paraId="3EFE21E8" w14:textId="641E8425" w:rsidR="003366D5" w:rsidRPr="007067F6" w:rsidRDefault="003366D5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43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 xml:space="preserve">Departments and </w:t>
              </w:r>
              <w:r w:rsidR="00D95792">
                <w:rPr>
                  <w:rStyle w:val="Hyperlink"/>
                  <w:rFonts w:asciiTheme="minorHAnsi" w:hAnsiTheme="minorHAnsi" w:cstheme="minorHAnsi"/>
                </w:rPr>
                <w:t>a</w:t>
              </w:r>
              <w:r w:rsidRPr="007067F6">
                <w:rPr>
                  <w:rStyle w:val="Hyperlink"/>
                  <w:rFonts w:asciiTheme="minorHAnsi" w:hAnsiTheme="minorHAnsi" w:cstheme="minorHAnsi"/>
                </w:rPr>
                <w:t>gencies subject to Standing Directions 2018</w:t>
              </w:r>
            </w:hyperlink>
          </w:p>
        </w:tc>
        <w:tc>
          <w:tcPr>
            <w:tcW w:w="0" w:type="pct"/>
            <w:shd w:val="clear" w:color="auto" w:fill="FFFFFF" w:themeFill="background1"/>
          </w:tcPr>
          <w:p w14:paraId="366788C4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>Clothing, footwear, and personal protective equipment</w:t>
            </w:r>
          </w:p>
        </w:tc>
        <w:tc>
          <w:tcPr>
            <w:tcW w:w="0" w:type="pct"/>
            <w:shd w:val="clear" w:color="auto" w:fill="FFFFFF" w:themeFill="background1"/>
          </w:tcPr>
          <w:p w14:paraId="5870E400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  <w:shd w:val="clear" w:color="auto" w:fill="FFFFFF" w:themeFill="background1"/>
          </w:tcPr>
          <w:p w14:paraId="7DE7B986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</w:rPr>
              <w:t>Proc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urement requirements: </w:t>
            </w:r>
          </w:p>
          <w:p w14:paraId="3DC54E9A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41"/>
              </w:numPr>
              <w:spacing w:before="16" w:after="16" w:line="240" w:lineRule="auto"/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Locally manufactured uniforms and PPE</w:t>
            </w:r>
          </w:p>
          <w:p w14:paraId="55654CC6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41"/>
              </w:numPr>
              <w:spacing w:before="16" w:after="16" w:line="240" w:lineRule="auto"/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Registered suppliers on the </w:t>
            </w:r>
            <w:hyperlink r:id="rId44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Ethical Supplier Register</w:t>
              </w:r>
            </w:hyperlink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A3F382D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Model contract and tender clauses.</w:t>
            </w:r>
          </w:p>
          <w:p w14:paraId="565ACD92" w14:textId="33D2F17D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Contact the </w:t>
            </w:r>
            <w:hyperlink r:id="rId45" w:history="1">
              <w:r w:rsidR="00181395" w:rsidRPr="00181395">
                <w:rPr>
                  <w:rStyle w:val="Hyperlink"/>
                  <w:rFonts w:asciiTheme="minorHAnsi" w:hAnsiTheme="minorHAnsi" w:cstheme="minorHAnsi"/>
                </w:rPr>
                <w:t>Department of Government Services</w:t>
              </w:r>
            </w:hyperlink>
            <w:r w:rsidR="0018139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before issuing an invitation to supply. </w:t>
            </w:r>
          </w:p>
        </w:tc>
      </w:tr>
      <w:bookmarkStart w:id="1" w:name="_Hlk158888588"/>
      <w:tr w:rsidR="00CC4AEC" w:rsidRPr="00987F10" w14:paraId="7522D25A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74B7913" w14:textId="728548C3" w:rsidR="003366D5" w:rsidRPr="007067F6" w:rsidRDefault="00CC4AEC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lastRenderedPageBreak/>
              <w:fldChar w:fldCharType="begin"/>
            </w:r>
            <w:r>
              <w:rPr>
                <w:sz w:val="22"/>
              </w:rPr>
              <w:instrText>HYPERLINK "https://www.buyingfor.vic.gov.au/vehicle-policy"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F61EA" w:rsidRPr="00CC4AEC">
              <w:rPr>
                <w:rStyle w:val="Hyperlink"/>
                <w:bCs w:val="0"/>
                <w:sz w:val="22"/>
              </w:rPr>
              <w:t xml:space="preserve">Standard Motor </w:t>
            </w:r>
            <w:r w:rsidR="003366D5" w:rsidRPr="00CC4AEC">
              <w:rPr>
                <w:rStyle w:val="Hyperlink"/>
                <w:rFonts w:asciiTheme="minorHAnsi" w:hAnsiTheme="minorHAnsi" w:cstheme="minorHAnsi"/>
                <w:bCs w:val="0"/>
                <w:sz w:val="22"/>
              </w:rPr>
              <w:t>Vehicle Policy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0" w:type="pct"/>
          </w:tcPr>
          <w:p w14:paraId="5570AEEF" w14:textId="62679557" w:rsidR="003366D5" w:rsidRPr="007067F6" w:rsidRDefault="006F61EA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46" w:history="1">
              <w:r w:rsidRPr="00D21C81">
                <w:rPr>
                  <w:rStyle w:val="Hyperlink"/>
                </w:rPr>
                <w:t>General government departments and agencies</w:t>
              </w:r>
            </w:hyperlink>
          </w:p>
        </w:tc>
        <w:tc>
          <w:tcPr>
            <w:tcW w:w="0" w:type="pct"/>
          </w:tcPr>
          <w:p w14:paraId="5EF3E947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>Motor vehicles</w:t>
            </w:r>
          </w:p>
        </w:tc>
        <w:tc>
          <w:tcPr>
            <w:tcW w:w="0" w:type="pct"/>
          </w:tcPr>
          <w:p w14:paraId="6AA505C6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57DB763D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Option to use the Finance Lease Facility</w:t>
            </w:r>
          </w:p>
          <w:p w14:paraId="1953DEED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Only passenger and light commercial. vehicles on the Approved Vehicle List can be procured.</w:t>
            </w:r>
          </w:p>
          <w:p w14:paraId="419BD8A1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State purchase contracts:</w:t>
            </w:r>
          </w:p>
          <w:p w14:paraId="12D26A9D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42"/>
              </w:numPr>
              <w:spacing w:before="16" w:after="16" w:line="240" w:lineRule="auto"/>
              <w:ind w:left="80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hyperlink r:id="rId47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 xml:space="preserve">Motor vehicles </w:t>
              </w:r>
            </w:hyperlink>
          </w:p>
          <w:p w14:paraId="2D50BF82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42"/>
              </w:numPr>
              <w:spacing w:before="16" w:after="16" w:line="240" w:lineRule="auto"/>
              <w:ind w:left="80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  <w:hyperlink r:id="rId48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Fleet disposals</w:t>
              </w:r>
            </w:hyperlink>
          </w:p>
          <w:p w14:paraId="0DCFBA18" w14:textId="14920902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42"/>
              </w:numPr>
              <w:spacing w:before="16" w:after="16" w:line="240" w:lineRule="auto"/>
              <w:ind w:left="80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3565A" w:themeColor="text2"/>
                <w:u w:val="single"/>
              </w:rPr>
            </w:pPr>
            <w:r w:rsidRPr="001D0BD7">
              <w:rPr>
                <w:rFonts w:asciiTheme="minorHAnsi" w:hAnsiTheme="minorHAnsi" w:cstheme="minorHAnsi"/>
              </w:rPr>
              <w:t xml:space="preserve">Card fuel and associated products </w:t>
            </w:r>
          </w:p>
        </w:tc>
      </w:tr>
      <w:bookmarkEnd w:id="0"/>
      <w:bookmarkEnd w:id="1"/>
    </w:tbl>
    <w:p w14:paraId="3C5C2738" w14:textId="49C1D061" w:rsidR="00EB0A46" w:rsidRPr="00784B52" w:rsidRDefault="00EB0A46" w:rsidP="00B50F29">
      <w:pPr>
        <w:spacing w:before="0" w:after="0" w:line="240" w:lineRule="auto"/>
        <w:rPr>
          <w:b/>
          <w:color w:val="7030A0"/>
          <w:sz w:val="28"/>
          <w:lang w:eastAsia="en-US"/>
        </w:rPr>
      </w:pPr>
    </w:p>
    <w:sectPr w:rsidR="00EB0A46" w:rsidRPr="00784B52" w:rsidSect="003477D4">
      <w:headerReference w:type="default" r:id="rId49"/>
      <w:footerReference w:type="default" r:id="rId50"/>
      <w:headerReference w:type="first" r:id="rId51"/>
      <w:footerReference w:type="first" r:id="rId52"/>
      <w:pgSz w:w="16840" w:h="11901" w:orient="landscape" w:code="9"/>
      <w:pgMar w:top="1152" w:right="1555" w:bottom="1152" w:left="1555" w:header="432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15FF" w14:textId="77777777" w:rsidR="002C3EFD" w:rsidRDefault="002C3EFD" w:rsidP="0092057D">
      <w:r>
        <w:separator/>
      </w:r>
    </w:p>
    <w:p w14:paraId="068DE4F5" w14:textId="77777777" w:rsidR="002C3EFD" w:rsidRDefault="002C3EFD" w:rsidP="0092057D"/>
  </w:endnote>
  <w:endnote w:type="continuationSeparator" w:id="0">
    <w:p w14:paraId="521DE24A" w14:textId="77777777" w:rsidR="002C3EFD" w:rsidRDefault="002C3EFD" w:rsidP="0092057D">
      <w:r>
        <w:continuationSeparator/>
      </w:r>
    </w:p>
    <w:p w14:paraId="5F7F1210" w14:textId="77777777" w:rsidR="002C3EFD" w:rsidRDefault="002C3EFD" w:rsidP="0092057D"/>
  </w:endnote>
  <w:endnote w:type="continuationNotice" w:id="1">
    <w:p w14:paraId="6F7A1669" w14:textId="77777777" w:rsidR="002C3EFD" w:rsidRDefault="002C3EF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0605" w14:textId="15A6C198" w:rsidR="00655AEA" w:rsidRDefault="00655AEA" w:rsidP="00E074C6">
    <w:pPr>
      <w:pStyle w:val="Footer"/>
      <w:tabs>
        <w:tab w:val="clear" w:pos="8220"/>
        <w:tab w:val="right" w:pos="9741"/>
      </w:tabs>
      <w:jc w:val="left"/>
    </w:pPr>
    <w:r>
      <w:t>Victorian Government Purchasing Board</w:t>
    </w:r>
  </w:p>
  <w:p w14:paraId="0233B6E0" w14:textId="42DD65AC" w:rsidR="00E074C6" w:rsidRDefault="00000000" w:rsidP="00E074C6">
    <w:pPr>
      <w:pStyle w:val="Footer"/>
      <w:tabs>
        <w:tab w:val="clear" w:pos="8220"/>
        <w:tab w:val="right" w:pos="9741"/>
      </w:tabs>
      <w:jc w:val="left"/>
    </w:pPr>
    <w:sdt>
      <w:sdtPr>
        <w:id w:val="1961605112"/>
        <w:docPartObj>
          <w:docPartGallery w:val="Page Numbers (Bottom of Page)"/>
          <w:docPartUnique/>
        </w:docPartObj>
      </w:sdtPr>
      <w:sdtContent>
        <w:sdt>
          <w:sdtPr>
            <w:id w:val="130982214"/>
            <w:docPartObj>
              <w:docPartGallery w:val="Page Numbers (Top of Page)"/>
              <w:docPartUnique/>
            </w:docPartObj>
          </w:sdtPr>
          <w:sdtContent>
            <w:fldSimple w:instr="STYLEREF  &quot;Heading 1&quot;  \* MERGEFORMAT">
              <w:r w:rsidR="00441551" w:rsidRPr="00441551">
                <w:rPr>
                  <w:b/>
                  <w:bCs/>
                  <w:lang w:val="en-US"/>
                </w:rPr>
                <w:t>Goods and services procurement-related policies: Fact sheet</w:t>
              </w:r>
            </w:fldSimple>
            <w:r w:rsidR="00E074C6">
              <w:br/>
            </w:r>
            <w:r w:rsidR="00A44FB4">
              <w:t xml:space="preserve">February </w:t>
            </w:r>
            <w:r w:rsidR="004B7836">
              <w:t>202</w:t>
            </w:r>
            <w:r w:rsidR="00A44FB4">
              <w:t>4</w:t>
            </w:r>
            <w:r w:rsidR="00E074C6">
              <w:tab/>
              <w:t xml:space="preserve">Page </w:t>
            </w:r>
            <w:r w:rsidR="00E074C6" w:rsidRPr="00C551C4">
              <w:rPr>
                <w:bCs/>
                <w:sz w:val="24"/>
                <w:szCs w:val="24"/>
              </w:rPr>
              <w:fldChar w:fldCharType="begin"/>
            </w:r>
            <w:r w:rsidR="00E074C6" w:rsidRPr="00C551C4">
              <w:rPr>
                <w:bCs/>
              </w:rPr>
              <w:instrText xml:space="preserve"> PAGE </w:instrText>
            </w:r>
            <w:r w:rsidR="00E074C6" w:rsidRPr="00C551C4">
              <w:rPr>
                <w:bCs/>
                <w:sz w:val="24"/>
                <w:szCs w:val="24"/>
              </w:rPr>
              <w:fldChar w:fldCharType="separate"/>
            </w:r>
            <w:r w:rsidR="00E074C6" w:rsidRPr="00C551C4">
              <w:rPr>
                <w:bCs/>
              </w:rPr>
              <w:t>2</w:t>
            </w:r>
            <w:r w:rsidR="00E074C6" w:rsidRPr="00C551C4">
              <w:rPr>
                <w:bCs/>
                <w:sz w:val="24"/>
                <w:szCs w:val="24"/>
              </w:rPr>
              <w:fldChar w:fldCharType="end"/>
            </w:r>
            <w:r w:rsidR="00E074C6" w:rsidRPr="00C551C4">
              <w:t xml:space="preserve"> of </w:t>
            </w:r>
            <w:r w:rsidR="00E074C6" w:rsidRPr="00C551C4">
              <w:rPr>
                <w:bCs/>
                <w:sz w:val="24"/>
                <w:szCs w:val="24"/>
              </w:rPr>
              <w:fldChar w:fldCharType="begin"/>
            </w:r>
            <w:r w:rsidR="00E074C6" w:rsidRPr="00C551C4">
              <w:rPr>
                <w:bCs/>
              </w:rPr>
              <w:instrText xml:space="preserve"> NUMPAGES  </w:instrText>
            </w:r>
            <w:r w:rsidR="00E074C6" w:rsidRPr="00C551C4">
              <w:rPr>
                <w:bCs/>
                <w:sz w:val="24"/>
                <w:szCs w:val="24"/>
              </w:rPr>
              <w:fldChar w:fldCharType="separate"/>
            </w:r>
            <w:r w:rsidR="00E074C6" w:rsidRPr="00C551C4">
              <w:rPr>
                <w:bCs/>
              </w:rPr>
              <w:t>2</w:t>
            </w:r>
            <w:r w:rsidR="00E074C6" w:rsidRPr="00C551C4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EC80" w14:textId="15FACBCE" w:rsidR="00EA2773" w:rsidRDefault="00000000" w:rsidP="003C0F49">
    <w:pPr>
      <w:pStyle w:val="Footer"/>
    </w:pPr>
    <w:r>
      <w:pict w14:anchorId="70C6CEDC">
        <v:shapetype id="_x0000_t202" coordsize="21600,21600" o:spt="202" path="m,l,21600r21600,l21600,xe">
          <v:stroke joinstyle="miter"/>
          <v:path gradientshapeok="t" o:connecttype="rect"/>
        </v:shapetype>
        <v:shape id="MSIPCM258a407eb5ac21ca90ba2999" o:spid="_x0000_s1025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05pt;height:21pt;z-index:251658243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" o:allowincell="f" filled="f" stroked="f" strokeweight=".5pt">
          <v:textbox style="mso-next-textbox:#MSIPCM258a407eb5ac21ca90ba2999" inset="20pt,0,,0">
            <w:txbxContent>
              <w:p w14:paraId="73BFE5E2" w14:textId="77777777" w:rsidR="003A7B94" w:rsidRPr="003A7B94" w:rsidRDefault="003A7B94" w:rsidP="0092057D">
                <w:r w:rsidRPr="003A7B94">
                  <w:t>OFFICIAL</w:t>
                </w:r>
              </w:p>
            </w:txbxContent>
          </v:textbox>
          <w10:wrap anchorx="page" anchory="page"/>
        </v:shape>
      </w:pict>
    </w:r>
    <w:r w:rsidR="00EA2773">
      <w:drawing>
        <wp:anchor distT="0" distB="0" distL="114300" distR="114300" simplePos="0" relativeHeight="251656192" behindDoc="0" locked="0" layoutInCell="1" allowOverlap="1" wp14:anchorId="41A41C95" wp14:editId="4FE94570">
          <wp:simplePos x="0" y="0"/>
          <wp:positionH relativeFrom="column">
            <wp:posOffset>5861050</wp:posOffset>
          </wp:positionH>
          <wp:positionV relativeFrom="page">
            <wp:posOffset>10049510</wp:posOffset>
          </wp:positionV>
          <wp:extent cx="758952" cy="438912"/>
          <wp:effectExtent l="0" t="0" r="3175" b="0"/>
          <wp:wrapNone/>
          <wp:docPr id="13" name="Picture 13" descr="State Gov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e Gov_Blu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3377" w14:textId="77777777" w:rsidR="002C3EFD" w:rsidRDefault="002C3EFD" w:rsidP="0092057D">
      <w:r>
        <w:separator/>
      </w:r>
    </w:p>
    <w:p w14:paraId="0D502F08" w14:textId="77777777" w:rsidR="002C3EFD" w:rsidRDefault="002C3EFD" w:rsidP="0092057D"/>
  </w:footnote>
  <w:footnote w:type="continuationSeparator" w:id="0">
    <w:p w14:paraId="354D6949" w14:textId="77777777" w:rsidR="002C3EFD" w:rsidRDefault="002C3EFD" w:rsidP="0092057D">
      <w:r>
        <w:continuationSeparator/>
      </w:r>
    </w:p>
    <w:p w14:paraId="75CCE6E4" w14:textId="77777777" w:rsidR="002C3EFD" w:rsidRDefault="002C3EFD" w:rsidP="0092057D"/>
  </w:footnote>
  <w:footnote w:type="continuationNotice" w:id="1">
    <w:p w14:paraId="5502AA8A" w14:textId="77777777" w:rsidR="002C3EFD" w:rsidRDefault="002C3EF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3D9E" w14:textId="098F9D21" w:rsidR="00EA2773" w:rsidRPr="007067F6" w:rsidRDefault="00EA2773" w:rsidP="001D0BD7">
    <w:pPr>
      <w:pStyle w:val="Header"/>
      <w:tabs>
        <w:tab w:val="clear" w:pos="10350"/>
        <w:tab w:val="right" w:pos="9781"/>
      </w:tabs>
      <w:spacing w:before="60" w:after="60"/>
      <w:ind w:right="-40"/>
      <w:jc w:val="left"/>
      <w:rPr>
        <w:b/>
        <w:bCs/>
        <w:color w:val="FF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B047" w14:textId="77777777" w:rsidR="00EA2773" w:rsidRPr="007602D7" w:rsidRDefault="00EA2773" w:rsidP="0092057D">
    <w:pPr>
      <w:pStyle w:val="Header"/>
    </w:pPr>
    <w:r w:rsidRPr="000E286D">
      <w:drawing>
        <wp:anchor distT="0" distB="0" distL="114300" distR="114300" simplePos="0" relativeHeight="251659264" behindDoc="1" locked="0" layoutInCell="1" allowOverlap="1" wp14:anchorId="5FBD5EBD" wp14:editId="7EE85DCF">
          <wp:simplePos x="0" y="0"/>
          <wp:positionH relativeFrom="column">
            <wp:posOffset>-731520</wp:posOffset>
          </wp:positionH>
          <wp:positionV relativeFrom="paragraph">
            <wp:posOffset>-200133</wp:posOffset>
          </wp:positionV>
          <wp:extent cx="560717" cy="10717356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flipV="1">
                    <a:off x="0" y="0"/>
                    <a:ext cx="567559" cy="10848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3363D6A5" wp14:editId="182E48F1">
          <wp:extent cx="2162175" cy="133350"/>
          <wp:effectExtent l="0" t="0" r="0" b="0"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B0E4EF7"/>
    <w:multiLevelType w:val="hybridMultilevel"/>
    <w:tmpl w:val="532421DA"/>
    <w:lvl w:ilvl="0" w:tplc="0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1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2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3" w15:restartNumberingAfterBreak="0">
    <w:nsid w:val="1BC57EE6"/>
    <w:multiLevelType w:val="hybridMultilevel"/>
    <w:tmpl w:val="2A6E30D8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1DB13529"/>
    <w:multiLevelType w:val="hybridMultilevel"/>
    <w:tmpl w:val="18D2B7DA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F984FDC"/>
    <w:multiLevelType w:val="hybridMultilevel"/>
    <w:tmpl w:val="EA4C28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7" w15:restartNumberingAfterBreak="0">
    <w:nsid w:val="209FAB77"/>
    <w:multiLevelType w:val="hybridMultilevel"/>
    <w:tmpl w:val="8C32E8B0"/>
    <w:lvl w:ilvl="0" w:tplc="57FE3B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0264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A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A2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68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C7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3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2A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9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716965"/>
    <w:multiLevelType w:val="hybridMultilevel"/>
    <w:tmpl w:val="42A4F786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3BEE680F"/>
    <w:multiLevelType w:val="hybridMultilevel"/>
    <w:tmpl w:val="34364C2C"/>
    <w:lvl w:ilvl="0" w:tplc="9F920F0A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3E2A2480"/>
    <w:multiLevelType w:val="hybridMultilevel"/>
    <w:tmpl w:val="F1DA03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25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C13E4"/>
    <w:multiLevelType w:val="hybridMultilevel"/>
    <w:tmpl w:val="D7547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8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9" w15:restartNumberingAfterBreak="0">
    <w:nsid w:val="49D24F95"/>
    <w:multiLevelType w:val="hybridMultilevel"/>
    <w:tmpl w:val="A8F2F132"/>
    <w:lvl w:ilvl="0" w:tplc="0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31" w15:restartNumberingAfterBreak="0">
    <w:nsid w:val="4CCF5518"/>
    <w:multiLevelType w:val="hybridMultilevel"/>
    <w:tmpl w:val="94AAA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1975FC4"/>
    <w:multiLevelType w:val="hybridMultilevel"/>
    <w:tmpl w:val="45707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11F43"/>
    <w:multiLevelType w:val="multilevel"/>
    <w:tmpl w:val="FE40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6" w15:restartNumberingAfterBreak="0">
    <w:nsid w:val="56E43DAB"/>
    <w:multiLevelType w:val="hybridMultilevel"/>
    <w:tmpl w:val="1C94B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9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40" w15:restartNumberingAfterBreak="0">
    <w:nsid w:val="5D3160AC"/>
    <w:multiLevelType w:val="hybridMultilevel"/>
    <w:tmpl w:val="C9D8D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71092"/>
    <w:multiLevelType w:val="hybridMultilevel"/>
    <w:tmpl w:val="57F61150"/>
    <w:lvl w:ilvl="0" w:tplc="9D88FBC2">
      <w:start w:val="1"/>
      <w:numFmt w:val="bullet"/>
      <w:pStyle w:val="NoteNormalshad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43" w15:restartNumberingAfterBreak="0">
    <w:nsid w:val="643756C8"/>
    <w:multiLevelType w:val="multilevel"/>
    <w:tmpl w:val="DEF0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45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46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48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9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0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51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2" w15:restartNumberingAfterBreak="0">
    <w:nsid w:val="784A12EF"/>
    <w:multiLevelType w:val="hybridMultilevel"/>
    <w:tmpl w:val="40B6D356"/>
    <w:lvl w:ilvl="0" w:tplc="0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54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5" w15:restartNumberingAfterBreak="0">
    <w:nsid w:val="7FA64C76"/>
    <w:multiLevelType w:val="hybridMultilevel"/>
    <w:tmpl w:val="2E46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768">
    <w:abstractNumId w:val="3"/>
  </w:num>
  <w:num w:numId="2" w16cid:durableId="729576728">
    <w:abstractNumId w:val="0"/>
  </w:num>
  <w:num w:numId="3" w16cid:durableId="305621631">
    <w:abstractNumId w:val="42"/>
  </w:num>
  <w:num w:numId="4" w16cid:durableId="1739018449">
    <w:abstractNumId w:val="27"/>
  </w:num>
  <w:num w:numId="5" w16cid:durableId="1907259894">
    <w:abstractNumId w:val="6"/>
  </w:num>
  <w:num w:numId="6" w16cid:durableId="1716464983">
    <w:abstractNumId w:val="5"/>
  </w:num>
  <w:num w:numId="7" w16cid:durableId="1614705603">
    <w:abstractNumId w:val="4"/>
  </w:num>
  <w:num w:numId="8" w16cid:durableId="112595654">
    <w:abstractNumId w:val="48"/>
  </w:num>
  <w:num w:numId="9" w16cid:durableId="2144539929">
    <w:abstractNumId w:val="30"/>
  </w:num>
  <w:num w:numId="10" w16cid:durableId="537857777">
    <w:abstractNumId w:val="12"/>
  </w:num>
  <w:num w:numId="11" w16cid:durableId="756054934">
    <w:abstractNumId w:val="18"/>
  </w:num>
  <w:num w:numId="12" w16cid:durableId="1668560891">
    <w:abstractNumId w:val="47"/>
  </w:num>
  <w:num w:numId="13" w16cid:durableId="1645424793">
    <w:abstractNumId w:val="19"/>
  </w:num>
  <w:num w:numId="14" w16cid:durableId="126168123">
    <w:abstractNumId w:val="37"/>
  </w:num>
  <w:num w:numId="15" w16cid:durableId="589391984">
    <w:abstractNumId w:val="32"/>
  </w:num>
  <w:num w:numId="16" w16cid:durableId="8450230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9608679">
    <w:abstractNumId w:val="44"/>
  </w:num>
  <w:num w:numId="18" w16cid:durableId="109783652">
    <w:abstractNumId w:val="16"/>
  </w:num>
  <w:num w:numId="19" w16cid:durableId="436213566">
    <w:abstractNumId w:val="2"/>
  </w:num>
  <w:num w:numId="20" w16cid:durableId="1247765297">
    <w:abstractNumId w:val="1"/>
  </w:num>
  <w:num w:numId="21" w16cid:durableId="16128599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860122">
    <w:abstractNumId w:val="38"/>
  </w:num>
  <w:num w:numId="23" w16cid:durableId="647368174">
    <w:abstractNumId w:val="38"/>
    <w:lvlOverride w:ilvl="0">
      <w:startOverride w:val="1"/>
    </w:lvlOverride>
  </w:num>
  <w:num w:numId="24" w16cid:durableId="2036690407">
    <w:abstractNumId w:val="38"/>
    <w:lvlOverride w:ilvl="0">
      <w:startOverride w:val="1"/>
    </w:lvlOverride>
  </w:num>
  <w:num w:numId="25" w16cid:durableId="156264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41429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549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180106">
    <w:abstractNumId w:val="9"/>
  </w:num>
  <w:num w:numId="29" w16cid:durableId="892038116">
    <w:abstractNumId w:val="41"/>
  </w:num>
  <w:num w:numId="30" w16cid:durableId="598609701">
    <w:abstractNumId w:val="23"/>
  </w:num>
  <w:num w:numId="31" w16cid:durableId="1379277368">
    <w:abstractNumId w:val="34"/>
  </w:num>
  <w:num w:numId="32" w16cid:durableId="1706640905">
    <w:abstractNumId w:val="44"/>
  </w:num>
  <w:num w:numId="33" w16cid:durableId="123278150">
    <w:abstractNumId w:val="26"/>
  </w:num>
  <w:num w:numId="34" w16cid:durableId="1424106084">
    <w:abstractNumId w:val="55"/>
  </w:num>
  <w:num w:numId="35" w16cid:durableId="1473867479">
    <w:abstractNumId w:val="36"/>
  </w:num>
  <w:num w:numId="36" w16cid:durableId="1894386731">
    <w:abstractNumId w:val="14"/>
  </w:num>
  <w:num w:numId="37" w16cid:durableId="289287673">
    <w:abstractNumId w:val="31"/>
  </w:num>
  <w:num w:numId="38" w16cid:durableId="31080505">
    <w:abstractNumId w:val="20"/>
  </w:num>
  <w:num w:numId="39" w16cid:durableId="1743412214">
    <w:abstractNumId w:val="40"/>
  </w:num>
  <w:num w:numId="40" w16cid:durableId="598029590">
    <w:abstractNumId w:val="44"/>
  </w:num>
  <w:num w:numId="41" w16cid:durableId="204409847">
    <w:abstractNumId w:val="17"/>
  </w:num>
  <w:num w:numId="42" w16cid:durableId="891962454">
    <w:abstractNumId w:val="52"/>
  </w:num>
  <w:num w:numId="43" w16cid:durableId="1357579206">
    <w:abstractNumId w:val="29"/>
  </w:num>
  <w:num w:numId="44" w16cid:durableId="1213925715">
    <w:abstractNumId w:val="21"/>
  </w:num>
  <w:num w:numId="45" w16cid:durableId="361327249">
    <w:abstractNumId w:val="8"/>
  </w:num>
  <w:num w:numId="46" w16cid:durableId="883445609">
    <w:abstractNumId w:val="15"/>
  </w:num>
  <w:num w:numId="47" w16cid:durableId="1216311033">
    <w:abstractNumId w:val="13"/>
  </w:num>
  <w:num w:numId="48" w16cid:durableId="1962106445">
    <w:abstractNumId w:val="43"/>
  </w:num>
  <w:num w:numId="49" w16cid:durableId="1369717361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ru v:ext="edit" colors="#039,#4d4d4d,maroon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7AF"/>
    <w:rsid w:val="00005E34"/>
    <w:rsid w:val="00006544"/>
    <w:rsid w:val="00010BD3"/>
    <w:rsid w:val="0001144C"/>
    <w:rsid w:val="00016492"/>
    <w:rsid w:val="00025ED7"/>
    <w:rsid w:val="00026C82"/>
    <w:rsid w:val="000316FC"/>
    <w:rsid w:val="0004698A"/>
    <w:rsid w:val="0005065D"/>
    <w:rsid w:val="00055951"/>
    <w:rsid w:val="00061834"/>
    <w:rsid w:val="00063BFD"/>
    <w:rsid w:val="00073ADF"/>
    <w:rsid w:val="00086231"/>
    <w:rsid w:val="00086691"/>
    <w:rsid w:val="000949CB"/>
    <w:rsid w:val="000A12C1"/>
    <w:rsid w:val="000A1E3C"/>
    <w:rsid w:val="000A3008"/>
    <w:rsid w:val="000A6D71"/>
    <w:rsid w:val="000C00C9"/>
    <w:rsid w:val="000C141A"/>
    <w:rsid w:val="000C1C01"/>
    <w:rsid w:val="000C306C"/>
    <w:rsid w:val="000C3368"/>
    <w:rsid w:val="000C3814"/>
    <w:rsid w:val="000D0E2E"/>
    <w:rsid w:val="000D3DE3"/>
    <w:rsid w:val="000D593C"/>
    <w:rsid w:val="000E4881"/>
    <w:rsid w:val="000E5B4E"/>
    <w:rsid w:val="000F048A"/>
    <w:rsid w:val="000F1AC8"/>
    <w:rsid w:val="000F4169"/>
    <w:rsid w:val="000F54E7"/>
    <w:rsid w:val="001039FE"/>
    <w:rsid w:val="00104077"/>
    <w:rsid w:val="001044AD"/>
    <w:rsid w:val="00115857"/>
    <w:rsid w:val="0011789C"/>
    <w:rsid w:val="001213BE"/>
    <w:rsid w:val="001251C4"/>
    <w:rsid w:val="0012676F"/>
    <w:rsid w:val="00126C86"/>
    <w:rsid w:val="00131480"/>
    <w:rsid w:val="0013422E"/>
    <w:rsid w:val="001350F9"/>
    <w:rsid w:val="00135230"/>
    <w:rsid w:val="00137EA8"/>
    <w:rsid w:val="001409B0"/>
    <w:rsid w:val="00143A23"/>
    <w:rsid w:val="00150E6F"/>
    <w:rsid w:val="00157448"/>
    <w:rsid w:val="00164424"/>
    <w:rsid w:val="001678C0"/>
    <w:rsid w:val="0017779F"/>
    <w:rsid w:val="00181395"/>
    <w:rsid w:val="00181510"/>
    <w:rsid w:val="00181844"/>
    <w:rsid w:val="00183879"/>
    <w:rsid w:val="00184E1A"/>
    <w:rsid w:val="0018749C"/>
    <w:rsid w:val="001924CE"/>
    <w:rsid w:val="001A1E3B"/>
    <w:rsid w:val="001A7B19"/>
    <w:rsid w:val="001B0B3F"/>
    <w:rsid w:val="001B1FC2"/>
    <w:rsid w:val="001C0319"/>
    <w:rsid w:val="001C26F5"/>
    <w:rsid w:val="001C2EFA"/>
    <w:rsid w:val="001C351D"/>
    <w:rsid w:val="001C6970"/>
    <w:rsid w:val="001D0547"/>
    <w:rsid w:val="001D0BD7"/>
    <w:rsid w:val="001D60E6"/>
    <w:rsid w:val="001E0A43"/>
    <w:rsid w:val="001E67A9"/>
    <w:rsid w:val="001F12A4"/>
    <w:rsid w:val="001F79B7"/>
    <w:rsid w:val="00200AD4"/>
    <w:rsid w:val="00204FBF"/>
    <w:rsid w:val="00205B35"/>
    <w:rsid w:val="002063AC"/>
    <w:rsid w:val="00207D00"/>
    <w:rsid w:val="002123EC"/>
    <w:rsid w:val="00225175"/>
    <w:rsid w:val="00230BF1"/>
    <w:rsid w:val="002344F7"/>
    <w:rsid w:val="00240DCA"/>
    <w:rsid w:val="00245E52"/>
    <w:rsid w:val="00252D94"/>
    <w:rsid w:val="00252F44"/>
    <w:rsid w:val="002578C1"/>
    <w:rsid w:val="00260106"/>
    <w:rsid w:val="002618D6"/>
    <w:rsid w:val="0026355F"/>
    <w:rsid w:val="00267317"/>
    <w:rsid w:val="00267638"/>
    <w:rsid w:val="0027302C"/>
    <w:rsid w:val="00283A24"/>
    <w:rsid w:val="0029737D"/>
    <w:rsid w:val="002A18C2"/>
    <w:rsid w:val="002A4C3E"/>
    <w:rsid w:val="002A6EE4"/>
    <w:rsid w:val="002C11BD"/>
    <w:rsid w:val="002C23A0"/>
    <w:rsid w:val="002C3EFD"/>
    <w:rsid w:val="002C4EC9"/>
    <w:rsid w:val="002C6424"/>
    <w:rsid w:val="002E50D9"/>
    <w:rsid w:val="002E7EFC"/>
    <w:rsid w:val="002F2549"/>
    <w:rsid w:val="002F2925"/>
    <w:rsid w:val="002F29B5"/>
    <w:rsid w:val="002F64DF"/>
    <w:rsid w:val="002F759B"/>
    <w:rsid w:val="002F7AEB"/>
    <w:rsid w:val="00307CC0"/>
    <w:rsid w:val="0032084B"/>
    <w:rsid w:val="00322500"/>
    <w:rsid w:val="003366D5"/>
    <w:rsid w:val="00337BFD"/>
    <w:rsid w:val="003477D4"/>
    <w:rsid w:val="00350D32"/>
    <w:rsid w:val="00351035"/>
    <w:rsid w:val="0035331C"/>
    <w:rsid w:val="003565F9"/>
    <w:rsid w:val="00356750"/>
    <w:rsid w:val="00365045"/>
    <w:rsid w:val="00366405"/>
    <w:rsid w:val="00370B3C"/>
    <w:rsid w:val="00372C0A"/>
    <w:rsid w:val="003738EE"/>
    <w:rsid w:val="00386859"/>
    <w:rsid w:val="00391977"/>
    <w:rsid w:val="00392E0C"/>
    <w:rsid w:val="00394D1C"/>
    <w:rsid w:val="00394EA9"/>
    <w:rsid w:val="003969A2"/>
    <w:rsid w:val="003A32E0"/>
    <w:rsid w:val="003A4A87"/>
    <w:rsid w:val="003A7B94"/>
    <w:rsid w:val="003B0731"/>
    <w:rsid w:val="003B5700"/>
    <w:rsid w:val="003B5EDB"/>
    <w:rsid w:val="003B6A2C"/>
    <w:rsid w:val="003B6F6C"/>
    <w:rsid w:val="003C0F49"/>
    <w:rsid w:val="003C3799"/>
    <w:rsid w:val="003C3ED0"/>
    <w:rsid w:val="003C5583"/>
    <w:rsid w:val="003D01BD"/>
    <w:rsid w:val="003D0921"/>
    <w:rsid w:val="003E230C"/>
    <w:rsid w:val="003E66B9"/>
    <w:rsid w:val="003F016E"/>
    <w:rsid w:val="003F1F53"/>
    <w:rsid w:val="003F45D9"/>
    <w:rsid w:val="003F4E27"/>
    <w:rsid w:val="003F516F"/>
    <w:rsid w:val="004113E1"/>
    <w:rsid w:val="004205D6"/>
    <w:rsid w:val="00422FAB"/>
    <w:rsid w:val="00427659"/>
    <w:rsid w:val="00430A03"/>
    <w:rsid w:val="00436091"/>
    <w:rsid w:val="00441551"/>
    <w:rsid w:val="004455A7"/>
    <w:rsid w:val="00446379"/>
    <w:rsid w:val="004471E6"/>
    <w:rsid w:val="00451758"/>
    <w:rsid w:val="00462DB3"/>
    <w:rsid w:val="00463EE2"/>
    <w:rsid w:val="00466D77"/>
    <w:rsid w:val="00467979"/>
    <w:rsid w:val="00475FC8"/>
    <w:rsid w:val="00480708"/>
    <w:rsid w:val="004907E5"/>
    <w:rsid w:val="0049402F"/>
    <w:rsid w:val="004978FC"/>
    <w:rsid w:val="004A2DD7"/>
    <w:rsid w:val="004A460D"/>
    <w:rsid w:val="004B0978"/>
    <w:rsid w:val="004B189B"/>
    <w:rsid w:val="004B534D"/>
    <w:rsid w:val="004B677E"/>
    <w:rsid w:val="004B7836"/>
    <w:rsid w:val="004C7E27"/>
    <w:rsid w:val="004D218D"/>
    <w:rsid w:val="004D7D40"/>
    <w:rsid w:val="004D7D4F"/>
    <w:rsid w:val="004E1F21"/>
    <w:rsid w:val="004E58A5"/>
    <w:rsid w:val="004E5EB6"/>
    <w:rsid w:val="004F1A9B"/>
    <w:rsid w:val="004F4904"/>
    <w:rsid w:val="004F6237"/>
    <w:rsid w:val="005013B3"/>
    <w:rsid w:val="005051FC"/>
    <w:rsid w:val="00505FD8"/>
    <w:rsid w:val="00506E38"/>
    <w:rsid w:val="00510293"/>
    <w:rsid w:val="0051295C"/>
    <w:rsid w:val="005146CE"/>
    <w:rsid w:val="00514C8C"/>
    <w:rsid w:val="005155EC"/>
    <w:rsid w:val="00517919"/>
    <w:rsid w:val="00535B0C"/>
    <w:rsid w:val="00536699"/>
    <w:rsid w:val="005372E0"/>
    <w:rsid w:val="0054032A"/>
    <w:rsid w:val="00542A7C"/>
    <w:rsid w:val="005530CD"/>
    <w:rsid w:val="00562809"/>
    <w:rsid w:val="005637F1"/>
    <w:rsid w:val="00564D54"/>
    <w:rsid w:val="005733B2"/>
    <w:rsid w:val="00573DFF"/>
    <w:rsid w:val="00574189"/>
    <w:rsid w:val="00576A56"/>
    <w:rsid w:val="00577C5A"/>
    <w:rsid w:val="00581B69"/>
    <w:rsid w:val="005828E5"/>
    <w:rsid w:val="00582AB8"/>
    <w:rsid w:val="00583851"/>
    <w:rsid w:val="00583F79"/>
    <w:rsid w:val="005867F0"/>
    <w:rsid w:val="005A2294"/>
    <w:rsid w:val="005A51DC"/>
    <w:rsid w:val="005B39F7"/>
    <w:rsid w:val="005B4291"/>
    <w:rsid w:val="005B5341"/>
    <w:rsid w:val="005B7317"/>
    <w:rsid w:val="005C60BE"/>
    <w:rsid w:val="005C69CC"/>
    <w:rsid w:val="005C754B"/>
    <w:rsid w:val="005D33BD"/>
    <w:rsid w:val="005D3801"/>
    <w:rsid w:val="005D4796"/>
    <w:rsid w:val="005D502E"/>
    <w:rsid w:val="005D5CB0"/>
    <w:rsid w:val="005D79BE"/>
    <w:rsid w:val="005E006C"/>
    <w:rsid w:val="005E2EC3"/>
    <w:rsid w:val="005E32AE"/>
    <w:rsid w:val="005E35C1"/>
    <w:rsid w:val="005E548D"/>
    <w:rsid w:val="005F0BBF"/>
    <w:rsid w:val="005F0BE7"/>
    <w:rsid w:val="005F229F"/>
    <w:rsid w:val="005F6958"/>
    <w:rsid w:val="0060373E"/>
    <w:rsid w:val="006044E8"/>
    <w:rsid w:val="00605382"/>
    <w:rsid w:val="00610AFF"/>
    <w:rsid w:val="0061436C"/>
    <w:rsid w:val="00620C13"/>
    <w:rsid w:val="006213B5"/>
    <w:rsid w:val="00621843"/>
    <w:rsid w:val="006247AA"/>
    <w:rsid w:val="0062775C"/>
    <w:rsid w:val="00630FE7"/>
    <w:rsid w:val="006315EA"/>
    <w:rsid w:val="00632420"/>
    <w:rsid w:val="00632C74"/>
    <w:rsid w:val="00636C1E"/>
    <w:rsid w:val="00640462"/>
    <w:rsid w:val="006406F2"/>
    <w:rsid w:val="006438F6"/>
    <w:rsid w:val="00645ADA"/>
    <w:rsid w:val="00647E27"/>
    <w:rsid w:val="00655AEA"/>
    <w:rsid w:val="00660A96"/>
    <w:rsid w:val="00662658"/>
    <w:rsid w:val="00662F3F"/>
    <w:rsid w:val="006665D2"/>
    <w:rsid w:val="006666E4"/>
    <w:rsid w:val="0066682B"/>
    <w:rsid w:val="00667D06"/>
    <w:rsid w:val="00670B66"/>
    <w:rsid w:val="00677AD1"/>
    <w:rsid w:val="00680341"/>
    <w:rsid w:val="0068495A"/>
    <w:rsid w:val="006866A7"/>
    <w:rsid w:val="006913E2"/>
    <w:rsid w:val="00692CFF"/>
    <w:rsid w:val="00694E47"/>
    <w:rsid w:val="00696B11"/>
    <w:rsid w:val="006A627F"/>
    <w:rsid w:val="006A7D93"/>
    <w:rsid w:val="006A7ED6"/>
    <w:rsid w:val="006B074A"/>
    <w:rsid w:val="006B11CE"/>
    <w:rsid w:val="006B7B88"/>
    <w:rsid w:val="006C23AC"/>
    <w:rsid w:val="006C49BA"/>
    <w:rsid w:val="006D1FC6"/>
    <w:rsid w:val="006D53EF"/>
    <w:rsid w:val="006D5BDC"/>
    <w:rsid w:val="006E376A"/>
    <w:rsid w:val="006E6398"/>
    <w:rsid w:val="006E6C70"/>
    <w:rsid w:val="006F00E7"/>
    <w:rsid w:val="006F26D4"/>
    <w:rsid w:val="006F43FB"/>
    <w:rsid w:val="006F61EA"/>
    <w:rsid w:val="007003BC"/>
    <w:rsid w:val="00704015"/>
    <w:rsid w:val="0070452F"/>
    <w:rsid w:val="007067F6"/>
    <w:rsid w:val="00706BFC"/>
    <w:rsid w:val="00714DD1"/>
    <w:rsid w:val="00715221"/>
    <w:rsid w:val="0071554E"/>
    <w:rsid w:val="00721AE2"/>
    <w:rsid w:val="007236B8"/>
    <w:rsid w:val="00723DC0"/>
    <w:rsid w:val="00724338"/>
    <w:rsid w:val="0072437E"/>
    <w:rsid w:val="00724EA7"/>
    <w:rsid w:val="007254AC"/>
    <w:rsid w:val="00725E14"/>
    <w:rsid w:val="00731D56"/>
    <w:rsid w:val="007375FB"/>
    <w:rsid w:val="0073778D"/>
    <w:rsid w:val="0074546E"/>
    <w:rsid w:val="00745F07"/>
    <w:rsid w:val="00747EAA"/>
    <w:rsid w:val="00750B16"/>
    <w:rsid w:val="00752AD5"/>
    <w:rsid w:val="00753A37"/>
    <w:rsid w:val="0075637D"/>
    <w:rsid w:val="007602D7"/>
    <w:rsid w:val="0076056E"/>
    <w:rsid w:val="00765BE2"/>
    <w:rsid w:val="00771EC3"/>
    <w:rsid w:val="0077373E"/>
    <w:rsid w:val="00773ACE"/>
    <w:rsid w:val="0077512D"/>
    <w:rsid w:val="007809B7"/>
    <w:rsid w:val="00782E8F"/>
    <w:rsid w:val="00782F61"/>
    <w:rsid w:val="00784401"/>
    <w:rsid w:val="0078460A"/>
    <w:rsid w:val="00784B52"/>
    <w:rsid w:val="00785F89"/>
    <w:rsid w:val="00786A28"/>
    <w:rsid w:val="0078774E"/>
    <w:rsid w:val="00790E3E"/>
    <w:rsid w:val="00792698"/>
    <w:rsid w:val="007A6388"/>
    <w:rsid w:val="007A6576"/>
    <w:rsid w:val="007B0E7B"/>
    <w:rsid w:val="007B4F5D"/>
    <w:rsid w:val="007B511D"/>
    <w:rsid w:val="007B546A"/>
    <w:rsid w:val="007C0F87"/>
    <w:rsid w:val="007C35C1"/>
    <w:rsid w:val="007C3B80"/>
    <w:rsid w:val="007C7C80"/>
    <w:rsid w:val="007D6194"/>
    <w:rsid w:val="007F160D"/>
    <w:rsid w:val="007F1BA7"/>
    <w:rsid w:val="00801190"/>
    <w:rsid w:val="00803B4C"/>
    <w:rsid w:val="00803E95"/>
    <w:rsid w:val="00810AB4"/>
    <w:rsid w:val="00813444"/>
    <w:rsid w:val="00813D23"/>
    <w:rsid w:val="00820D82"/>
    <w:rsid w:val="00821B10"/>
    <w:rsid w:val="008226AC"/>
    <w:rsid w:val="00822C62"/>
    <w:rsid w:val="0082311D"/>
    <w:rsid w:val="00840293"/>
    <w:rsid w:val="008410D5"/>
    <w:rsid w:val="0084164E"/>
    <w:rsid w:val="008433CF"/>
    <w:rsid w:val="00846677"/>
    <w:rsid w:val="00850E55"/>
    <w:rsid w:val="008645CD"/>
    <w:rsid w:val="0086474A"/>
    <w:rsid w:val="00870531"/>
    <w:rsid w:val="0087108A"/>
    <w:rsid w:val="00872CD7"/>
    <w:rsid w:val="00874A1F"/>
    <w:rsid w:val="00874B30"/>
    <w:rsid w:val="00886A1C"/>
    <w:rsid w:val="008948E3"/>
    <w:rsid w:val="008A0907"/>
    <w:rsid w:val="008A3BC9"/>
    <w:rsid w:val="008A3BE3"/>
    <w:rsid w:val="008B00A2"/>
    <w:rsid w:val="008B7C35"/>
    <w:rsid w:val="008C5DD9"/>
    <w:rsid w:val="008D2825"/>
    <w:rsid w:val="008D74B1"/>
    <w:rsid w:val="008E5070"/>
    <w:rsid w:val="008E7403"/>
    <w:rsid w:val="008F1C0C"/>
    <w:rsid w:val="00900A09"/>
    <w:rsid w:val="009047F0"/>
    <w:rsid w:val="009074D9"/>
    <w:rsid w:val="00913EF4"/>
    <w:rsid w:val="00915450"/>
    <w:rsid w:val="0091711E"/>
    <w:rsid w:val="0092057D"/>
    <w:rsid w:val="00925CAA"/>
    <w:rsid w:val="00933996"/>
    <w:rsid w:val="009342B3"/>
    <w:rsid w:val="00951F3D"/>
    <w:rsid w:val="00953C15"/>
    <w:rsid w:val="00956416"/>
    <w:rsid w:val="009572B6"/>
    <w:rsid w:val="0096064E"/>
    <w:rsid w:val="009647C8"/>
    <w:rsid w:val="00967F9A"/>
    <w:rsid w:val="0097681F"/>
    <w:rsid w:val="0098017E"/>
    <w:rsid w:val="0098787E"/>
    <w:rsid w:val="009878A9"/>
    <w:rsid w:val="00987F10"/>
    <w:rsid w:val="009900DA"/>
    <w:rsid w:val="00992321"/>
    <w:rsid w:val="00993D1E"/>
    <w:rsid w:val="009A1D94"/>
    <w:rsid w:val="009A419F"/>
    <w:rsid w:val="009A488C"/>
    <w:rsid w:val="009A6A13"/>
    <w:rsid w:val="009C0DA7"/>
    <w:rsid w:val="009C2652"/>
    <w:rsid w:val="009C2923"/>
    <w:rsid w:val="009C3719"/>
    <w:rsid w:val="009C51C5"/>
    <w:rsid w:val="009C759C"/>
    <w:rsid w:val="009D19FA"/>
    <w:rsid w:val="009D34EB"/>
    <w:rsid w:val="009E5467"/>
    <w:rsid w:val="009E5F72"/>
    <w:rsid w:val="009F3794"/>
    <w:rsid w:val="009F5D82"/>
    <w:rsid w:val="00A011B7"/>
    <w:rsid w:val="00A07A64"/>
    <w:rsid w:val="00A12F25"/>
    <w:rsid w:val="00A135CF"/>
    <w:rsid w:val="00A13A1B"/>
    <w:rsid w:val="00A15833"/>
    <w:rsid w:val="00A20012"/>
    <w:rsid w:val="00A20D1F"/>
    <w:rsid w:val="00A21A89"/>
    <w:rsid w:val="00A23384"/>
    <w:rsid w:val="00A26015"/>
    <w:rsid w:val="00A32A7A"/>
    <w:rsid w:val="00A37A4F"/>
    <w:rsid w:val="00A40F98"/>
    <w:rsid w:val="00A420C6"/>
    <w:rsid w:val="00A42A0D"/>
    <w:rsid w:val="00A44FB4"/>
    <w:rsid w:val="00A4641E"/>
    <w:rsid w:val="00A46D28"/>
    <w:rsid w:val="00A47826"/>
    <w:rsid w:val="00A5202A"/>
    <w:rsid w:val="00A52822"/>
    <w:rsid w:val="00A54594"/>
    <w:rsid w:val="00A615A7"/>
    <w:rsid w:val="00A62523"/>
    <w:rsid w:val="00A6456E"/>
    <w:rsid w:val="00A67EEB"/>
    <w:rsid w:val="00A77845"/>
    <w:rsid w:val="00A8571E"/>
    <w:rsid w:val="00A874BB"/>
    <w:rsid w:val="00A87845"/>
    <w:rsid w:val="00A9084A"/>
    <w:rsid w:val="00A90F14"/>
    <w:rsid w:val="00AB4E24"/>
    <w:rsid w:val="00AC27DA"/>
    <w:rsid w:val="00AC476E"/>
    <w:rsid w:val="00AC748E"/>
    <w:rsid w:val="00AD2349"/>
    <w:rsid w:val="00AE6C2E"/>
    <w:rsid w:val="00AE7BC6"/>
    <w:rsid w:val="00AF07AF"/>
    <w:rsid w:val="00AF1067"/>
    <w:rsid w:val="00AF137F"/>
    <w:rsid w:val="00AF3197"/>
    <w:rsid w:val="00AF63CF"/>
    <w:rsid w:val="00AF7E39"/>
    <w:rsid w:val="00B10361"/>
    <w:rsid w:val="00B116DF"/>
    <w:rsid w:val="00B12BD8"/>
    <w:rsid w:val="00B20C70"/>
    <w:rsid w:val="00B217D9"/>
    <w:rsid w:val="00B2223C"/>
    <w:rsid w:val="00B329C5"/>
    <w:rsid w:val="00B3351E"/>
    <w:rsid w:val="00B432BB"/>
    <w:rsid w:val="00B44C41"/>
    <w:rsid w:val="00B4552D"/>
    <w:rsid w:val="00B50F29"/>
    <w:rsid w:val="00B54579"/>
    <w:rsid w:val="00B54F88"/>
    <w:rsid w:val="00B5641B"/>
    <w:rsid w:val="00B578E5"/>
    <w:rsid w:val="00B57C72"/>
    <w:rsid w:val="00B60925"/>
    <w:rsid w:val="00B62207"/>
    <w:rsid w:val="00B67336"/>
    <w:rsid w:val="00B766F6"/>
    <w:rsid w:val="00B81491"/>
    <w:rsid w:val="00B82136"/>
    <w:rsid w:val="00B8370F"/>
    <w:rsid w:val="00B87C80"/>
    <w:rsid w:val="00B96F20"/>
    <w:rsid w:val="00BA0077"/>
    <w:rsid w:val="00BA06BB"/>
    <w:rsid w:val="00BA277B"/>
    <w:rsid w:val="00BA7010"/>
    <w:rsid w:val="00BA7830"/>
    <w:rsid w:val="00BB13B7"/>
    <w:rsid w:val="00BC0072"/>
    <w:rsid w:val="00BC0888"/>
    <w:rsid w:val="00BC60A9"/>
    <w:rsid w:val="00BD157D"/>
    <w:rsid w:val="00BD2CC3"/>
    <w:rsid w:val="00BD45AA"/>
    <w:rsid w:val="00BD58B2"/>
    <w:rsid w:val="00BE09D0"/>
    <w:rsid w:val="00BE1393"/>
    <w:rsid w:val="00BE47AF"/>
    <w:rsid w:val="00BF45C5"/>
    <w:rsid w:val="00BF4CEA"/>
    <w:rsid w:val="00BF737A"/>
    <w:rsid w:val="00BF7E4D"/>
    <w:rsid w:val="00C0126F"/>
    <w:rsid w:val="00C01977"/>
    <w:rsid w:val="00C07802"/>
    <w:rsid w:val="00C16FF3"/>
    <w:rsid w:val="00C252AE"/>
    <w:rsid w:val="00C270A1"/>
    <w:rsid w:val="00C3191D"/>
    <w:rsid w:val="00C374EB"/>
    <w:rsid w:val="00C41C46"/>
    <w:rsid w:val="00C47D31"/>
    <w:rsid w:val="00C51296"/>
    <w:rsid w:val="00C54459"/>
    <w:rsid w:val="00C551C4"/>
    <w:rsid w:val="00C71D9D"/>
    <w:rsid w:val="00C753D3"/>
    <w:rsid w:val="00C76683"/>
    <w:rsid w:val="00C81316"/>
    <w:rsid w:val="00C850E0"/>
    <w:rsid w:val="00CA4310"/>
    <w:rsid w:val="00CA567B"/>
    <w:rsid w:val="00CA7404"/>
    <w:rsid w:val="00CB72F7"/>
    <w:rsid w:val="00CB793A"/>
    <w:rsid w:val="00CC4AEC"/>
    <w:rsid w:val="00CC53FE"/>
    <w:rsid w:val="00CE2166"/>
    <w:rsid w:val="00CE3DDF"/>
    <w:rsid w:val="00CF1608"/>
    <w:rsid w:val="00D000C1"/>
    <w:rsid w:val="00D031FF"/>
    <w:rsid w:val="00D0370E"/>
    <w:rsid w:val="00D06C25"/>
    <w:rsid w:val="00D21C81"/>
    <w:rsid w:val="00D25125"/>
    <w:rsid w:val="00D30EFD"/>
    <w:rsid w:val="00D31E02"/>
    <w:rsid w:val="00D32372"/>
    <w:rsid w:val="00D355EE"/>
    <w:rsid w:val="00D40B9E"/>
    <w:rsid w:val="00D456E5"/>
    <w:rsid w:val="00D51249"/>
    <w:rsid w:val="00D57AA5"/>
    <w:rsid w:val="00D74C3E"/>
    <w:rsid w:val="00D75112"/>
    <w:rsid w:val="00D75501"/>
    <w:rsid w:val="00D80565"/>
    <w:rsid w:val="00D80AEE"/>
    <w:rsid w:val="00D90B1F"/>
    <w:rsid w:val="00D93172"/>
    <w:rsid w:val="00D9495D"/>
    <w:rsid w:val="00D9558C"/>
    <w:rsid w:val="00D95792"/>
    <w:rsid w:val="00DA3E4F"/>
    <w:rsid w:val="00DA4453"/>
    <w:rsid w:val="00DA659B"/>
    <w:rsid w:val="00DA79BD"/>
    <w:rsid w:val="00DB464D"/>
    <w:rsid w:val="00DB4C5B"/>
    <w:rsid w:val="00DB5A6E"/>
    <w:rsid w:val="00DB74A7"/>
    <w:rsid w:val="00DC3EAB"/>
    <w:rsid w:val="00DC4436"/>
    <w:rsid w:val="00DD2C1F"/>
    <w:rsid w:val="00DD4AC6"/>
    <w:rsid w:val="00DD6206"/>
    <w:rsid w:val="00DE2996"/>
    <w:rsid w:val="00DE3260"/>
    <w:rsid w:val="00DE6A16"/>
    <w:rsid w:val="00DE6D90"/>
    <w:rsid w:val="00DE7990"/>
    <w:rsid w:val="00DF234E"/>
    <w:rsid w:val="00DF3A25"/>
    <w:rsid w:val="00DF7C3C"/>
    <w:rsid w:val="00E03C3C"/>
    <w:rsid w:val="00E05F22"/>
    <w:rsid w:val="00E074C6"/>
    <w:rsid w:val="00E12836"/>
    <w:rsid w:val="00E14C9A"/>
    <w:rsid w:val="00E20BB5"/>
    <w:rsid w:val="00E23EC0"/>
    <w:rsid w:val="00E2611C"/>
    <w:rsid w:val="00E307C9"/>
    <w:rsid w:val="00E32254"/>
    <w:rsid w:val="00E350B0"/>
    <w:rsid w:val="00E35100"/>
    <w:rsid w:val="00E3726E"/>
    <w:rsid w:val="00E43026"/>
    <w:rsid w:val="00E44420"/>
    <w:rsid w:val="00E44F2C"/>
    <w:rsid w:val="00E46801"/>
    <w:rsid w:val="00E500D1"/>
    <w:rsid w:val="00E5224A"/>
    <w:rsid w:val="00E557E9"/>
    <w:rsid w:val="00E63C1C"/>
    <w:rsid w:val="00E7585E"/>
    <w:rsid w:val="00E765CA"/>
    <w:rsid w:val="00E8092E"/>
    <w:rsid w:val="00E9720E"/>
    <w:rsid w:val="00E97E50"/>
    <w:rsid w:val="00EA07C3"/>
    <w:rsid w:val="00EA24D2"/>
    <w:rsid w:val="00EA2773"/>
    <w:rsid w:val="00EB0A46"/>
    <w:rsid w:val="00EB2189"/>
    <w:rsid w:val="00EB6D05"/>
    <w:rsid w:val="00EC0F51"/>
    <w:rsid w:val="00EC1C00"/>
    <w:rsid w:val="00EC2767"/>
    <w:rsid w:val="00EC4DD1"/>
    <w:rsid w:val="00EC708F"/>
    <w:rsid w:val="00ED03A1"/>
    <w:rsid w:val="00ED22BC"/>
    <w:rsid w:val="00ED26A1"/>
    <w:rsid w:val="00ED45BB"/>
    <w:rsid w:val="00ED5DCC"/>
    <w:rsid w:val="00EE01BF"/>
    <w:rsid w:val="00EE63AB"/>
    <w:rsid w:val="00EE7442"/>
    <w:rsid w:val="00EF03B9"/>
    <w:rsid w:val="00EF17FB"/>
    <w:rsid w:val="00EF637C"/>
    <w:rsid w:val="00F006B6"/>
    <w:rsid w:val="00F00827"/>
    <w:rsid w:val="00F031EB"/>
    <w:rsid w:val="00F15703"/>
    <w:rsid w:val="00F16D70"/>
    <w:rsid w:val="00F23661"/>
    <w:rsid w:val="00F2435D"/>
    <w:rsid w:val="00F2502B"/>
    <w:rsid w:val="00F25823"/>
    <w:rsid w:val="00F26A9B"/>
    <w:rsid w:val="00F26F35"/>
    <w:rsid w:val="00F31235"/>
    <w:rsid w:val="00F33676"/>
    <w:rsid w:val="00F34CF0"/>
    <w:rsid w:val="00F35509"/>
    <w:rsid w:val="00F355BA"/>
    <w:rsid w:val="00F404DB"/>
    <w:rsid w:val="00F42424"/>
    <w:rsid w:val="00F42854"/>
    <w:rsid w:val="00F443BD"/>
    <w:rsid w:val="00F52F0F"/>
    <w:rsid w:val="00F56CE8"/>
    <w:rsid w:val="00F57633"/>
    <w:rsid w:val="00F64DD4"/>
    <w:rsid w:val="00F67E0A"/>
    <w:rsid w:val="00F75426"/>
    <w:rsid w:val="00F83743"/>
    <w:rsid w:val="00F85551"/>
    <w:rsid w:val="00F96234"/>
    <w:rsid w:val="00F96D72"/>
    <w:rsid w:val="00FA0273"/>
    <w:rsid w:val="00FB6B27"/>
    <w:rsid w:val="00FC023A"/>
    <w:rsid w:val="00FD39BF"/>
    <w:rsid w:val="00FD47A2"/>
    <w:rsid w:val="00FE02A5"/>
    <w:rsid w:val="00FF1032"/>
    <w:rsid w:val="00FF4D5E"/>
    <w:rsid w:val="013F4C8D"/>
    <w:rsid w:val="0ACD0676"/>
    <w:rsid w:val="1249334A"/>
    <w:rsid w:val="1AF54EE5"/>
    <w:rsid w:val="42A50373"/>
    <w:rsid w:val="462EF4BA"/>
    <w:rsid w:val="58A7394A"/>
    <w:rsid w:val="5E2101D8"/>
    <w:rsid w:val="61B5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9,#4d4d4d,maroon"/>
    </o:shapedefaults>
    <o:shapelayout v:ext="edit">
      <o:idmap v:ext="edit" data="2"/>
    </o:shapelayout>
  </w:shapeDefaults>
  <w:decimalSymbol w:val="."/>
  <w:listSeparator w:val=","/>
  <w14:docId w14:val="36576BB6"/>
  <w15:docId w15:val="{E846C99D-3627-4097-BFDE-F7D89182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0" w:unhideWhenUsed="1"/>
    <w:lsdException w:name="footnote text" w:semiHidden="1" w:uiPriority="49" w:unhideWhenUsed="1"/>
    <w:lsdException w:name="annotation text" w:semiHidden="1" w:unhideWhenUsed="1"/>
    <w:lsdException w:name="header" w:semiHidden="1" w:uiPriority="24" w:unhideWhenUsed="1"/>
    <w:lsdException w:name="footer" w:semiHidden="1" w:unhideWhenUsed="1"/>
    <w:lsdException w:name="index heading" w:semiHidden="1" w:uiPriority="49" w:unhideWhenUsed="1"/>
    <w:lsdException w:name="caption" w:uiPriority="13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semiHidden="1" w:uiPriority="49" w:unhideWhenUsed="1"/>
    <w:lsdException w:name="List Bullet" w:semiHidden="1" w:unhideWhenUsed="1"/>
    <w:lsdException w:name="List Number" w:semiHidden="1" w:uiPriority="7" w:unhideWhenUsed="1" w:qFormat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49" w:unhideWhenUsed="1"/>
    <w:lsdException w:name="List Number 5" w:semiHidden="1" w:uiPriority="49" w:unhideWhenUsed="1"/>
    <w:lsdException w:name="Title" w:uiPriority="28" w:qFormat="1"/>
    <w:lsdException w:name="Closing" w:semiHidden="1" w:uiPriority="49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8" w:unhideWhenUsed="1" w:qFormat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29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iPriority="49" w:unhideWhenUsed="1"/>
    <w:lsdException w:name="Plain Text" w:semiHidden="1" w:uiPriority="49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7D"/>
    <w:pPr>
      <w:spacing w:before="120" w:after="120" w:line="264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92057D"/>
    <w:pPr>
      <w:keepNext/>
      <w:spacing w:before="200" w:after="240" w:line="240" w:lineRule="auto"/>
      <w:outlineLvl w:val="0"/>
    </w:pPr>
    <w:rPr>
      <w:b/>
      <w:color w:val="7030A0"/>
      <w:sz w:val="36"/>
      <w:szCs w:val="36"/>
      <w:lang w:eastAsia="en-US"/>
    </w:rPr>
  </w:style>
  <w:style w:type="paragraph" w:styleId="Heading2">
    <w:name w:val="heading 2"/>
    <w:basedOn w:val="Normal"/>
    <w:next w:val="Normal"/>
    <w:uiPriority w:val="3"/>
    <w:qFormat/>
    <w:rsid w:val="0092057D"/>
    <w:pPr>
      <w:keepNext/>
      <w:spacing w:before="240" w:line="240" w:lineRule="auto"/>
      <w:outlineLvl w:val="1"/>
    </w:pPr>
    <w:rPr>
      <w:b/>
      <w:color w:val="7030A0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92057D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4F6237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4F6237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4F6237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4F6237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4F623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4F623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F6237"/>
  </w:style>
  <w:style w:type="paragraph" w:customStyle="1" w:styleId="Bullet1">
    <w:name w:val="Bullet 1"/>
    <w:basedOn w:val="Normal"/>
    <w:uiPriority w:val="11"/>
    <w:qFormat/>
    <w:rsid w:val="004F6237"/>
    <w:pPr>
      <w:numPr>
        <w:numId w:val="16"/>
      </w:numPr>
      <w:spacing w:before="0" w:after="0"/>
    </w:pPr>
  </w:style>
  <w:style w:type="character" w:styleId="CommentReference">
    <w:name w:val="annotation reference"/>
    <w:uiPriority w:val="99"/>
    <w:semiHidden/>
    <w:rsid w:val="004F6237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99"/>
    <w:rsid w:val="004F6237"/>
  </w:style>
  <w:style w:type="character" w:styleId="EndnoteReference">
    <w:name w:val="endnote reference"/>
    <w:uiPriority w:val="49"/>
    <w:semiHidden/>
    <w:rsid w:val="004F6237"/>
    <w:rPr>
      <w:vertAlign w:val="superscript"/>
    </w:rPr>
  </w:style>
  <w:style w:type="paragraph" w:styleId="EndnoteText">
    <w:name w:val="endnote text"/>
    <w:basedOn w:val="Normal"/>
    <w:uiPriority w:val="49"/>
    <w:semiHidden/>
    <w:rsid w:val="004F6237"/>
  </w:style>
  <w:style w:type="paragraph" w:styleId="Footer">
    <w:name w:val="footer"/>
    <w:link w:val="FooterChar"/>
    <w:uiPriority w:val="99"/>
    <w:rsid w:val="004F6237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4F6237"/>
    <w:rPr>
      <w:vertAlign w:val="superscript"/>
    </w:rPr>
  </w:style>
  <w:style w:type="paragraph" w:styleId="FootnoteText">
    <w:name w:val="footnote text"/>
    <w:basedOn w:val="Normal"/>
    <w:uiPriority w:val="49"/>
    <w:semiHidden/>
    <w:rsid w:val="004F6237"/>
  </w:style>
  <w:style w:type="character" w:styleId="Hyperlink">
    <w:name w:val="Hyperlink"/>
    <w:uiPriority w:val="99"/>
    <w:rsid w:val="00C551C4"/>
    <w:rPr>
      <w:color w:val="53565A" w:themeColor="text2"/>
      <w:u w:val="single"/>
    </w:rPr>
  </w:style>
  <w:style w:type="character" w:styleId="LineNumber">
    <w:name w:val="line number"/>
    <w:basedOn w:val="DefaultParagraphFont"/>
    <w:uiPriority w:val="49"/>
    <w:semiHidden/>
    <w:rsid w:val="004F6237"/>
  </w:style>
  <w:style w:type="paragraph" w:styleId="MacroText">
    <w:name w:val="macro"/>
    <w:uiPriority w:val="49"/>
    <w:semiHidden/>
    <w:rsid w:val="004F6237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4F6237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4F6237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4F6237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4F6237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4F6237"/>
    <w:pPr>
      <w:spacing w:before="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uiPriority w:val="39"/>
    <w:semiHidden/>
    <w:rsid w:val="004F6237"/>
    <w:pPr>
      <w:tabs>
        <w:tab w:val="right" w:leader="dot" w:pos="9639"/>
      </w:tabs>
      <w:spacing w:line="240" w:lineRule="auto"/>
      <w:ind w:left="792" w:right="734" w:hanging="792"/>
    </w:pPr>
    <w:rPr>
      <w:color w:val="4C4C4C"/>
      <w:sz w:val="24"/>
      <w:szCs w:val="28"/>
      <w:lang w:eastAsia="en-US"/>
    </w:rPr>
  </w:style>
  <w:style w:type="paragraph" w:styleId="TOC2">
    <w:name w:val="toc 2"/>
    <w:next w:val="Normal"/>
    <w:uiPriority w:val="39"/>
    <w:semiHidden/>
    <w:rsid w:val="004F6237"/>
    <w:pPr>
      <w:tabs>
        <w:tab w:val="right" w:leader="dot" w:pos="9639"/>
      </w:tabs>
      <w:spacing w:before="20"/>
      <w:ind w:left="1174" w:right="567" w:hanging="454"/>
      <w:contextualSpacing/>
    </w:pPr>
    <w:rPr>
      <w:rFonts w:ascii="Calibri" w:hAnsi="Calibri" w:cs="Calibri"/>
      <w:color w:val="000000"/>
      <w:szCs w:val="28"/>
      <w:lang w:eastAsia="en-US"/>
    </w:rPr>
  </w:style>
  <w:style w:type="paragraph" w:styleId="TOC3">
    <w:name w:val="toc 3"/>
    <w:next w:val="Normal"/>
    <w:autoRedefine/>
    <w:uiPriority w:val="39"/>
    <w:semiHidden/>
    <w:rsid w:val="004F6237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4F6237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4F6237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4F6237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4F6237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4F6237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4F6237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4F6237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4F6237"/>
    <w:pPr>
      <w:numPr>
        <w:numId w:val="13"/>
      </w:numPr>
    </w:pPr>
  </w:style>
  <w:style w:type="paragraph" w:styleId="BodyText2">
    <w:name w:val="Body Text 2"/>
    <w:basedOn w:val="Normal"/>
    <w:semiHidden/>
    <w:rsid w:val="004F6237"/>
    <w:pPr>
      <w:spacing w:line="480" w:lineRule="auto"/>
    </w:pPr>
  </w:style>
  <w:style w:type="numbering" w:styleId="1ai">
    <w:name w:val="Outline List 1"/>
    <w:basedOn w:val="NoList"/>
    <w:uiPriority w:val="99"/>
    <w:semiHidden/>
    <w:unhideWhenUsed/>
    <w:rsid w:val="004F6237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4F6237"/>
    <w:rPr>
      <w:b/>
    </w:rPr>
  </w:style>
  <w:style w:type="paragraph" w:styleId="BalloonText">
    <w:name w:val="Balloon Text"/>
    <w:basedOn w:val="Normal"/>
    <w:uiPriority w:val="49"/>
    <w:semiHidden/>
    <w:rsid w:val="004F6237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4F6237"/>
    <w:pPr>
      <w:ind w:left="1440" w:right="1440"/>
    </w:pPr>
  </w:style>
  <w:style w:type="paragraph" w:styleId="BodyText3">
    <w:name w:val="Body Text 3"/>
    <w:basedOn w:val="Normal"/>
    <w:semiHidden/>
    <w:rsid w:val="004F6237"/>
    <w:rPr>
      <w:sz w:val="16"/>
      <w:szCs w:val="16"/>
    </w:rPr>
  </w:style>
  <w:style w:type="paragraph" w:styleId="BodyTextFirstIndent">
    <w:name w:val="Body Text First Indent"/>
    <w:basedOn w:val="BodyText"/>
    <w:semiHidden/>
    <w:rsid w:val="004F6237"/>
    <w:pPr>
      <w:ind w:firstLine="210"/>
    </w:pPr>
  </w:style>
  <w:style w:type="paragraph" w:styleId="BodyTextIndent">
    <w:name w:val="Body Text Indent"/>
    <w:basedOn w:val="Normal"/>
    <w:semiHidden/>
    <w:rsid w:val="004F6237"/>
    <w:pPr>
      <w:ind w:left="283"/>
    </w:pPr>
  </w:style>
  <w:style w:type="paragraph" w:styleId="BodyTextFirstIndent2">
    <w:name w:val="Body Text First Indent 2"/>
    <w:basedOn w:val="BodyTextIndent"/>
    <w:semiHidden/>
    <w:rsid w:val="004F6237"/>
    <w:pPr>
      <w:ind w:firstLine="210"/>
    </w:pPr>
  </w:style>
  <w:style w:type="paragraph" w:styleId="BodyTextIndent2">
    <w:name w:val="Body Text Indent 2"/>
    <w:basedOn w:val="Normal"/>
    <w:semiHidden/>
    <w:rsid w:val="004F6237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F6237"/>
    <w:pPr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4F6237"/>
  </w:style>
  <w:style w:type="paragraph" w:styleId="Closing">
    <w:name w:val="Closing"/>
    <w:basedOn w:val="Normal"/>
    <w:uiPriority w:val="49"/>
    <w:semiHidden/>
    <w:rsid w:val="004F6237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4F6237"/>
    <w:rPr>
      <w:b/>
      <w:bCs/>
    </w:rPr>
  </w:style>
  <w:style w:type="paragraph" w:styleId="DocumentMap">
    <w:name w:val="Document Map"/>
    <w:basedOn w:val="Normal"/>
    <w:uiPriority w:val="49"/>
    <w:semiHidden/>
    <w:rsid w:val="004F6237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4F6237"/>
  </w:style>
  <w:style w:type="paragraph" w:styleId="EnvelopeAddress">
    <w:name w:val="envelope address"/>
    <w:basedOn w:val="Normal"/>
    <w:uiPriority w:val="49"/>
    <w:semiHidden/>
    <w:rsid w:val="004F623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4F6237"/>
  </w:style>
  <w:style w:type="paragraph" w:styleId="HTMLAddress">
    <w:name w:val="HTML Address"/>
    <w:basedOn w:val="Normal"/>
    <w:uiPriority w:val="49"/>
    <w:semiHidden/>
    <w:rsid w:val="004F6237"/>
    <w:rPr>
      <w:i/>
      <w:iCs/>
    </w:rPr>
  </w:style>
  <w:style w:type="paragraph" w:styleId="HTMLPreformatted">
    <w:name w:val="HTML Preformatted"/>
    <w:basedOn w:val="Normal"/>
    <w:uiPriority w:val="49"/>
    <w:semiHidden/>
    <w:rsid w:val="004F6237"/>
  </w:style>
  <w:style w:type="paragraph" w:styleId="Index1">
    <w:name w:val="index 1"/>
    <w:basedOn w:val="Normal"/>
    <w:next w:val="Normal"/>
    <w:autoRedefine/>
    <w:uiPriority w:val="49"/>
    <w:semiHidden/>
    <w:rsid w:val="004F6237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4F6237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4F6237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4F6237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4F6237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4F6237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4F6237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4F6237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4F6237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4F6237"/>
    <w:rPr>
      <w:b/>
      <w:bCs/>
    </w:rPr>
  </w:style>
  <w:style w:type="paragraph" w:styleId="List">
    <w:name w:val="List"/>
    <w:basedOn w:val="Normal"/>
    <w:uiPriority w:val="49"/>
    <w:semiHidden/>
    <w:rsid w:val="004F6237"/>
    <w:pPr>
      <w:ind w:left="283" w:hanging="283"/>
    </w:pPr>
  </w:style>
  <w:style w:type="paragraph" w:styleId="List2">
    <w:name w:val="List 2"/>
    <w:basedOn w:val="Normal"/>
    <w:uiPriority w:val="49"/>
    <w:semiHidden/>
    <w:rsid w:val="004F6237"/>
    <w:pPr>
      <w:ind w:left="566" w:hanging="283"/>
    </w:pPr>
  </w:style>
  <w:style w:type="paragraph" w:styleId="List3">
    <w:name w:val="List 3"/>
    <w:basedOn w:val="Normal"/>
    <w:uiPriority w:val="49"/>
    <w:semiHidden/>
    <w:rsid w:val="004F6237"/>
    <w:pPr>
      <w:ind w:left="849" w:hanging="283"/>
    </w:pPr>
  </w:style>
  <w:style w:type="paragraph" w:styleId="List4">
    <w:name w:val="List 4"/>
    <w:basedOn w:val="Normal"/>
    <w:uiPriority w:val="49"/>
    <w:semiHidden/>
    <w:rsid w:val="004F6237"/>
    <w:pPr>
      <w:ind w:left="1132" w:hanging="283"/>
    </w:pPr>
  </w:style>
  <w:style w:type="paragraph" w:styleId="List5">
    <w:name w:val="List 5"/>
    <w:basedOn w:val="Normal"/>
    <w:uiPriority w:val="49"/>
    <w:semiHidden/>
    <w:rsid w:val="004F6237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4F62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4F6237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4F6237"/>
    <w:pPr>
      <w:ind w:left="1132"/>
    </w:pPr>
  </w:style>
  <w:style w:type="paragraph" w:styleId="ListContinue5">
    <w:name w:val="List Continue 5"/>
    <w:basedOn w:val="Normal"/>
    <w:uiPriority w:val="49"/>
    <w:semiHidden/>
    <w:rsid w:val="004F6237"/>
    <w:pPr>
      <w:ind w:left="1415"/>
    </w:pPr>
  </w:style>
  <w:style w:type="paragraph" w:styleId="ListNumber4">
    <w:name w:val="List Number 4"/>
    <w:basedOn w:val="Normal"/>
    <w:uiPriority w:val="49"/>
    <w:semiHidden/>
    <w:rsid w:val="004F62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4F6237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4F62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4F6237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4F6237"/>
  </w:style>
  <w:style w:type="paragraph" w:styleId="Salutation">
    <w:name w:val="Salutation"/>
    <w:basedOn w:val="Normal"/>
    <w:next w:val="Normal"/>
    <w:uiPriority w:val="49"/>
    <w:semiHidden/>
    <w:rsid w:val="004F6237"/>
  </w:style>
  <w:style w:type="paragraph" w:styleId="Signature">
    <w:name w:val="Signature"/>
    <w:basedOn w:val="Normal"/>
    <w:uiPriority w:val="49"/>
    <w:semiHidden/>
    <w:rsid w:val="004F6237"/>
    <w:pPr>
      <w:ind w:left="4252"/>
    </w:pPr>
  </w:style>
  <w:style w:type="paragraph" w:styleId="Subtitle">
    <w:name w:val="Subtitle"/>
    <w:basedOn w:val="Normal"/>
    <w:uiPriority w:val="29"/>
    <w:qFormat/>
    <w:rsid w:val="004F6237"/>
    <w:pPr>
      <w:spacing w:before="0" w:line="240" w:lineRule="auto"/>
    </w:pPr>
    <w:rPr>
      <w:color w:val="4C4C4C"/>
      <w:sz w:val="30"/>
      <w:szCs w:val="24"/>
      <w:lang w:eastAsia="en-US"/>
    </w:rPr>
  </w:style>
  <w:style w:type="paragraph" w:styleId="TOAHeading">
    <w:name w:val="toa heading"/>
    <w:basedOn w:val="Normal"/>
    <w:next w:val="Normal"/>
    <w:uiPriority w:val="39"/>
    <w:semiHidden/>
    <w:rsid w:val="004F6237"/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4F6237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92057D"/>
    <w:pPr>
      <w:numPr>
        <w:numId w:val="17"/>
      </w:numPr>
    </w:pPr>
  </w:style>
  <w:style w:type="paragraph" w:customStyle="1" w:styleId="QuoteName">
    <w:name w:val="Quote Name"/>
    <w:basedOn w:val="Normal"/>
    <w:uiPriority w:val="49"/>
    <w:semiHidden/>
    <w:rsid w:val="004F6237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4F623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4F6237"/>
    <w:pPr>
      <w:keepNext/>
      <w:keepLines/>
      <w:tabs>
        <w:tab w:val="left" w:pos="851"/>
      </w:tabs>
      <w:spacing w:before="24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4F6237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4F6237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4F623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4F6237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4F6237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4F6237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4F6237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F6237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4F6237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4F6237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4F6237"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4F6237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4F6237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92057D"/>
    <w:pPr>
      <w:keepNext/>
      <w:spacing w:before="40" w:after="40"/>
    </w:pPr>
    <w:rPr>
      <w:rFonts w:asciiTheme="minorHAnsi" w:hAnsiTheme="minorHAnsi"/>
      <w:color w:val="53565A" w:themeColor="text2"/>
      <w:sz w:val="22"/>
    </w:rPr>
  </w:style>
  <w:style w:type="paragraph" w:customStyle="1" w:styleId="CaptionTable">
    <w:name w:val="Caption Table"/>
    <w:basedOn w:val="Normal"/>
    <w:uiPriority w:val="14"/>
    <w:semiHidden/>
    <w:rsid w:val="004F6237"/>
    <w:rPr>
      <w:b/>
    </w:rPr>
  </w:style>
  <w:style w:type="paragraph" w:styleId="ListNumber2">
    <w:name w:val="List Number 2"/>
    <w:basedOn w:val="Normal"/>
    <w:uiPriority w:val="7"/>
    <w:semiHidden/>
    <w:rsid w:val="004F6237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4F6237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F623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4F6237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4F6237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4F6237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4F6237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4F6237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F6237"/>
    <w:pPr>
      <w:spacing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4F6237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4F6237"/>
    <w:pPr>
      <w:ind w:left="720"/>
      <w:contextualSpacing/>
    </w:pPr>
  </w:style>
  <w:style w:type="paragraph" w:styleId="NormalIndent">
    <w:name w:val="Normal Indent"/>
    <w:basedOn w:val="Normal"/>
    <w:semiHidden/>
    <w:rsid w:val="004F6237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4F6237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4F6237"/>
    <w:rPr>
      <w:i/>
      <w:iCs/>
    </w:rPr>
  </w:style>
  <w:style w:type="character" w:styleId="FollowedHyperlink">
    <w:name w:val="FollowedHyperlink"/>
    <w:uiPriority w:val="99"/>
    <w:semiHidden/>
    <w:unhideWhenUsed/>
    <w:rsid w:val="004F6237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4F6237"/>
  </w:style>
  <w:style w:type="character" w:styleId="HTMLCite">
    <w:name w:val="HTML Cite"/>
    <w:uiPriority w:val="99"/>
    <w:semiHidden/>
    <w:rsid w:val="004F6237"/>
    <w:rPr>
      <w:i/>
      <w:iCs/>
    </w:rPr>
  </w:style>
  <w:style w:type="character" w:styleId="HTMLCode">
    <w:name w:val="HTML Code"/>
    <w:uiPriority w:val="99"/>
    <w:semiHidden/>
    <w:rsid w:val="004F6237"/>
    <w:rPr>
      <w:sz w:val="20"/>
      <w:szCs w:val="20"/>
    </w:rPr>
  </w:style>
  <w:style w:type="character" w:styleId="HTMLDefinition">
    <w:name w:val="HTML Definition"/>
    <w:uiPriority w:val="99"/>
    <w:semiHidden/>
    <w:rsid w:val="004F6237"/>
    <w:rPr>
      <w:i/>
      <w:iCs/>
    </w:rPr>
  </w:style>
  <w:style w:type="character" w:styleId="HTMLKeyboard">
    <w:name w:val="HTML Keyboard"/>
    <w:uiPriority w:val="99"/>
    <w:semiHidden/>
    <w:rsid w:val="004F6237"/>
    <w:rPr>
      <w:sz w:val="20"/>
      <w:szCs w:val="20"/>
    </w:rPr>
  </w:style>
  <w:style w:type="character" w:styleId="HTMLSample">
    <w:name w:val="HTML Sample"/>
    <w:uiPriority w:val="99"/>
    <w:semiHidden/>
    <w:rsid w:val="004F6237"/>
    <w:rPr>
      <w:sz w:val="24"/>
      <w:szCs w:val="24"/>
    </w:rPr>
  </w:style>
  <w:style w:type="character" w:styleId="HTMLTypewriter">
    <w:name w:val="HTML Typewriter"/>
    <w:uiPriority w:val="99"/>
    <w:semiHidden/>
    <w:rsid w:val="004F6237"/>
    <w:rPr>
      <w:sz w:val="20"/>
      <w:szCs w:val="20"/>
    </w:rPr>
  </w:style>
  <w:style w:type="character" w:styleId="HTMLVariable">
    <w:name w:val="HTML Variable"/>
    <w:uiPriority w:val="99"/>
    <w:semiHidden/>
    <w:rsid w:val="004F6237"/>
    <w:rPr>
      <w:i/>
      <w:iCs/>
    </w:rPr>
  </w:style>
  <w:style w:type="character" w:styleId="PlaceholderText">
    <w:name w:val="Placeholder Text"/>
    <w:uiPriority w:val="99"/>
    <w:semiHidden/>
    <w:rsid w:val="004F6237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4F6237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4F6237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4F6237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4F6237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4F6237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4F6237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4F6237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4F6237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4F6237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4F6237"/>
    <w:pPr>
      <w:numPr>
        <w:ilvl w:val="0"/>
      </w:numPr>
    </w:pPr>
  </w:style>
  <w:style w:type="paragraph" w:customStyle="1" w:styleId="Num1">
    <w:name w:val="Num1"/>
    <w:basedOn w:val="Normal"/>
    <w:rsid w:val="004F6237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F6237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4F6237"/>
    <w:pPr>
      <w:numPr>
        <w:ilvl w:val="1"/>
        <w:numId w:val="28"/>
      </w:numPr>
    </w:pPr>
  </w:style>
  <w:style w:type="paragraph" w:customStyle="1" w:styleId="Num3">
    <w:name w:val="Num3"/>
    <w:basedOn w:val="Normal"/>
    <w:rsid w:val="004F6237"/>
    <w:pPr>
      <w:numPr>
        <w:ilvl w:val="2"/>
        <w:numId w:val="28"/>
      </w:numPr>
    </w:pPr>
  </w:style>
  <w:style w:type="paragraph" w:customStyle="1" w:styleId="NoteNormalshaded">
    <w:name w:val="Note Normal shaded"/>
    <w:basedOn w:val="NoteNormal"/>
    <w:qFormat/>
    <w:rsid w:val="004F6237"/>
    <w:pPr>
      <w:shd w:val="clear" w:color="auto" w:fill="D9D9D9" w:themeFill="background1" w:themeFillShade="D9"/>
    </w:pPr>
    <w:rPr>
      <w:sz w:val="20"/>
    </w:rPr>
  </w:style>
  <w:style w:type="paragraph" w:customStyle="1" w:styleId="NoteNormalshadedbullet">
    <w:name w:val="Note Normal shaded bullet"/>
    <w:basedOn w:val="NoteNormalshaded"/>
    <w:qFormat/>
    <w:rsid w:val="004F6237"/>
    <w:pPr>
      <w:numPr>
        <w:numId w:val="29"/>
      </w:numPr>
      <w:ind w:left="360"/>
    </w:pPr>
  </w:style>
  <w:style w:type="paragraph" w:customStyle="1" w:styleId="TableBulletDash">
    <w:name w:val="Table Bullet Dash"/>
    <w:basedOn w:val="Normal"/>
    <w:uiPriority w:val="10"/>
    <w:semiHidden/>
    <w:rsid w:val="004F6237"/>
    <w:pPr>
      <w:tabs>
        <w:tab w:val="num" w:pos="454"/>
      </w:tabs>
      <w:spacing w:before="0" w:after="0" w:line="240" w:lineRule="auto"/>
      <w:ind w:left="454" w:hanging="227"/>
    </w:pPr>
  </w:style>
  <w:style w:type="character" w:styleId="UnresolvedMention">
    <w:name w:val="Unresolved Mention"/>
    <w:basedOn w:val="DefaultParagraphFont"/>
    <w:uiPriority w:val="99"/>
    <w:semiHidden/>
    <w:unhideWhenUsed/>
    <w:rsid w:val="00CE3DDF"/>
    <w:rPr>
      <w:color w:val="808080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04"/>
    <w:rPr>
      <w:rFonts w:ascii="Calibri" w:hAnsi="Calibri" w:cs="Calibri"/>
      <w:sz w:val="22"/>
      <w:szCs w:val="22"/>
    </w:rPr>
  </w:style>
  <w:style w:type="table" w:styleId="PlainTable2">
    <w:name w:val="Plain Table 2"/>
    <w:basedOn w:val="TableNormal"/>
    <w:uiPriority w:val="42"/>
    <w:rsid w:val="00B329C5"/>
    <w:rPr>
      <w:rFonts w:asciiTheme="minorHAnsi" w:hAnsiTheme="minorHAnsi"/>
    </w:rPr>
    <w:tblPr>
      <w:tblStyleRowBandSize w:val="1"/>
      <w:tblStyleColBandSize w:val="1"/>
      <w:tblBorders>
        <w:top w:val="single" w:sz="4" w:space="0" w:color="87189D" w:themeColor="accent3"/>
        <w:bottom w:val="single" w:sz="4" w:space="0" w:color="87189D" w:themeColor="accent3"/>
        <w:insideH w:val="single" w:sz="4" w:space="0" w:color="87189D" w:themeColor="accent3"/>
      </w:tblBorders>
    </w:tblPr>
    <w:tblStylePr w:type="firstRow">
      <w:rPr>
        <w:b/>
        <w:bCs/>
      </w:rPr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V w:val="single" w:sz="4" w:space="0" w:color="87189D" w:themeColor="accent3"/>
        </w:tcBorders>
      </w:tcPr>
    </w:tblStylePr>
    <w:tblStylePr w:type="band2Horz"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</w:style>
  <w:style w:type="table" w:styleId="PlainTable3">
    <w:name w:val="Plain Table 3"/>
    <w:basedOn w:val="TableNormal"/>
    <w:uiPriority w:val="43"/>
    <w:rsid w:val="009205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1B1FC2"/>
    <w:rPr>
      <w:rFonts w:ascii="Calibr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6F61EA"/>
  </w:style>
  <w:style w:type="character" w:customStyle="1" w:styleId="rpl-text-label">
    <w:name w:val="rpl-text-label"/>
    <w:basedOn w:val="DefaultParagraphFont"/>
    <w:rsid w:val="00723DC0"/>
  </w:style>
  <w:style w:type="character" w:customStyle="1" w:styleId="rpl-text-icongroup">
    <w:name w:val="rpl-text-icon__group"/>
    <w:basedOn w:val="DefaultParagraphFont"/>
    <w:rsid w:val="0072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yingfor.vic.gov.au/staffing-services-contract" TargetMode="External"/><Relationship Id="rId18" Type="http://schemas.openxmlformats.org/officeDocument/2006/relationships/hyperlink" Target="https://www.buyingfor.vic.gov.au/marketing-services-register-buyers" TargetMode="External"/><Relationship Id="rId26" Type="http://schemas.openxmlformats.org/officeDocument/2006/relationships/hyperlink" Target="https://www.buyingfor.vic.gov.au/shared-service-provider" TargetMode="External"/><Relationship Id="rId39" Type="http://schemas.openxmlformats.org/officeDocument/2006/relationships/hyperlink" Target="https://www.buyingfor.vic.gov.au/supplier-code-conduct-buy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tf.vic.gov.au/financial-management-government/standing-directions-2018-under-financial-management-act-1994" TargetMode="External"/><Relationship Id="rId34" Type="http://schemas.openxmlformats.org/officeDocument/2006/relationships/hyperlink" Target="https://www.vic.gov.au/portable-long-service" TargetMode="External"/><Relationship Id="rId42" Type="http://schemas.openxmlformats.org/officeDocument/2006/relationships/hyperlink" Target="https://www.buyingfor.vic.gov.au/uniforms-and-personal-protective-equipment-buyers" TargetMode="External"/><Relationship Id="rId47" Type="http://schemas.openxmlformats.org/officeDocument/2006/relationships/hyperlink" Target="https://www.buyingfor.vic.gov.au/motor-vehicles-contract" TargetMode="Externa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vic.gov.au/administrative-guidelines-engaging-labour-hire-victorian-public-service" TargetMode="External"/><Relationship Id="rId17" Type="http://schemas.openxmlformats.org/officeDocument/2006/relationships/hyperlink" Target="https://www.buyingfor.vic.gov.au/eservices-buyers" TargetMode="External"/><Relationship Id="rId25" Type="http://schemas.openxmlformats.org/officeDocument/2006/relationships/hyperlink" Target="https://www.vic.gov.au/intellectual-property-policy" TargetMode="External"/><Relationship Id="rId33" Type="http://schemas.openxmlformats.org/officeDocument/2006/relationships/hyperlink" Target="https://www.dtf.vic.gov.au/financial-management-government/standing-directions-2018-under-financial-management-act-1994" TargetMode="External"/><Relationship Id="rId38" Type="http://schemas.openxmlformats.org/officeDocument/2006/relationships/hyperlink" Target="https://www.dtf.vic.gov.au/financial-management-government/standing-directions-2018-under-financial-management-act-1994" TargetMode="External"/><Relationship Id="rId46" Type="http://schemas.openxmlformats.org/officeDocument/2006/relationships/hyperlink" Target="https://www.dtf.vic.gov.au/state-financial-reports/financial-report-inc-quarterly-financial-report-no-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yingfor.vic.gov.au/legal-services-panel-contract" TargetMode="External"/><Relationship Id="rId20" Type="http://schemas.openxmlformats.org/officeDocument/2006/relationships/hyperlink" Target="https://www.data.vic.gov.au/datavic-access-policy" TargetMode="External"/><Relationship Id="rId29" Type="http://schemas.openxmlformats.org/officeDocument/2006/relationships/hyperlink" Target="https://www.buyingfor.vic.gov.au/covered-entities-international-agreements" TargetMode="External"/><Relationship Id="rId41" Type="http://schemas.openxmlformats.org/officeDocument/2006/relationships/hyperlink" Target="https://www.buyingfor.vic.gov.au/handling-non-compliance-supplier-code-conduct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jsir.vic.gov.au/what-we-do/employment-and-small-business/contracts-for-fair-payments" TargetMode="External"/><Relationship Id="rId32" Type="http://schemas.openxmlformats.org/officeDocument/2006/relationships/hyperlink" Target="https://localjobsfirst.vic.gov.au/" TargetMode="External"/><Relationship Id="rId37" Type="http://schemas.openxmlformats.org/officeDocument/2006/relationships/hyperlink" Target="https://www.buyingfor.vic.gov.au/social-procurement-framework-requirements-and-expectations" TargetMode="External"/><Relationship Id="rId40" Type="http://schemas.openxmlformats.org/officeDocument/2006/relationships/hyperlink" Target="https://www.dtf.vic.gov.au/financial-management-government/standing-directions-2018-under-financial-management-act-1994" TargetMode="External"/><Relationship Id="rId45" Type="http://schemas.openxmlformats.org/officeDocument/2006/relationships/hyperlink" Target="mailto:Uniforms&amp;PPEMonitor@dtf.vic.gov.au" TargetMode="Externa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uyingfor.vic.gov.au/professional-advisory-services-buyers" TargetMode="External"/><Relationship Id="rId23" Type="http://schemas.openxmlformats.org/officeDocument/2006/relationships/hyperlink" Target="https://www.buyingfor.vic.gov.au/fair-jobs-code" TargetMode="External"/><Relationship Id="rId28" Type="http://schemas.openxmlformats.org/officeDocument/2006/relationships/hyperlink" Target="https://www.buyingfor.vic.gov.au/international-agreements" TargetMode="External"/><Relationship Id="rId36" Type="http://schemas.openxmlformats.org/officeDocument/2006/relationships/hyperlink" Target="https://www.vic.gov.au/single-use-plastics" TargetMode="External"/><Relationship Id="rId49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buyingfor.vic.gov.au/call-centre-code" TargetMode="External"/><Relationship Id="rId31" Type="http://schemas.openxmlformats.org/officeDocument/2006/relationships/hyperlink" Target="https://register.labourhireauthority.vic.gov.au" TargetMode="External"/><Relationship Id="rId44" Type="http://schemas.openxmlformats.org/officeDocument/2006/relationships/hyperlink" Target="https://www.buyingfor.vic.gov.au/ethical-supplier-register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administrative-guidelines-engaging-professional-services-victorian-public-service" TargetMode="External"/><Relationship Id="rId22" Type="http://schemas.openxmlformats.org/officeDocument/2006/relationships/hyperlink" Target="https://www.data.vic.gov.au/datavic-access-policy-guidelines/developing-and-procuring-datasets" TargetMode="External"/><Relationship Id="rId27" Type="http://schemas.openxmlformats.org/officeDocument/2006/relationships/hyperlink" Target="https://www.buyingfor.vic.gov.au/shared-service-provider" TargetMode="External"/><Relationship Id="rId30" Type="http://schemas.openxmlformats.org/officeDocument/2006/relationships/hyperlink" Target="https://labourhireauthority.vic.gov.au/host/" TargetMode="External"/><Relationship Id="rId35" Type="http://schemas.openxmlformats.org/officeDocument/2006/relationships/hyperlink" Target="https://portal.plsa.vic.gov.au/Public/search/" TargetMode="External"/><Relationship Id="rId43" Type="http://schemas.openxmlformats.org/officeDocument/2006/relationships/hyperlink" Target="https://www.dtf.vic.gov.au/financial-management-government/standing-directions-2018-under-financial-management-act-1994" TargetMode="External"/><Relationship Id="rId48" Type="http://schemas.openxmlformats.org/officeDocument/2006/relationships/hyperlink" Target="https://www.buyingfor.vic.gov.au/fleet-disposals-contract" TargetMode="External"/><Relationship Id="rId8" Type="http://schemas.openxmlformats.org/officeDocument/2006/relationships/settings" Target="settings.xml"/><Relationship Id="rId5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d Victoria - Purple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500778"/>
      </a:accent1>
      <a:accent2>
        <a:srgbClr val="642667"/>
      </a:accent2>
      <a:accent3>
        <a:srgbClr val="87189D"/>
      </a:accent3>
      <a:accent4>
        <a:srgbClr val="A783BB"/>
      </a:accent4>
      <a:accent5>
        <a:srgbClr val="C1A8C2"/>
      </a:accent5>
      <a:accent6>
        <a:srgbClr val="E7D1E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6ceb4f-0e40-4a59-9e03-9dec53d274d7">
      <UserInfo>
        <DisplayName>Michael Golsworthy (DGS)</DisplayName>
        <AccountId>29</AccountId>
        <AccountType/>
      </UserInfo>
      <UserInfo>
        <DisplayName>Fiona Makedona (DGS)</DisplayName>
        <AccountId>11</AccountId>
        <AccountType/>
      </UserInfo>
      <UserInfo>
        <DisplayName>Matthew Taylor (DGS)</DisplayName>
        <AccountId>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FE44C6DE9F545A430B7A681A49892" ma:contentTypeVersion="12" ma:contentTypeDescription="Create a new document." ma:contentTypeScope="" ma:versionID="12b19232fd2919cc97b7ef33f495d32c">
  <xsd:schema xmlns:xsd="http://www.w3.org/2001/XMLSchema" xmlns:xs="http://www.w3.org/2001/XMLSchema" xmlns:p="http://schemas.microsoft.com/office/2006/metadata/properties" xmlns:ns2="12da2378-ae26-4d96-a7c5-90e56fcca493" xmlns:ns3="ea6ceb4f-0e40-4a59-9e03-9dec53d274d7" targetNamespace="http://schemas.microsoft.com/office/2006/metadata/properties" ma:root="true" ma:fieldsID="67da7b8274a1d0309ca0f1f636580acf" ns2:_="" ns3:_="">
    <xsd:import namespace="12da2378-ae26-4d96-a7c5-90e56fcca493"/>
    <xsd:import namespace="ea6ceb4f-0e40-4a59-9e03-9dec53d27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2378-ae26-4d96-a7c5-90e56fcca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eb4f-0e40-4a59-9e03-9dec53d27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F8A82C-BE71-4270-8C16-D5FAC054F8B9}">
  <ds:schemaRefs>
    <ds:schemaRef ds:uri="http://schemas.microsoft.com/office/2006/metadata/properties"/>
    <ds:schemaRef ds:uri="http://schemas.microsoft.com/office/infopath/2007/PartnerControls"/>
    <ds:schemaRef ds:uri="ea6ceb4f-0e40-4a59-9e03-9dec53d274d7"/>
  </ds:schemaRefs>
</ds:datastoreItem>
</file>

<file path=customXml/itemProps2.xml><?xml version="1.0" encoding="utf-8"?>
<ds:datastoreItem xmlns:ds="http://schemas.openxmlformats.org/officeDocument/2006/customXml" ds:itemID="{C5698F3B-A35D-4113-A29C-E921F836B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FB2803-1849-448D-AF50-C7ECFD342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BD8A1-C74F-4F39-9A15-1B38DE39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a2378-ae26-4d96-a7c5-90e56fcca493"/>
    <ds:schemaRef ds:uri="ea6ceb4f-0e40-4a59-9e03-9dec53d27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5C4921-E0D0-4F1C-8508-C7D54EDA35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Vanessa Coles (DTF)</dc:creator>
  <cp:keywords/>
  <dc:description/>
  <cp:lastModifiedBy>Vanessa Coles (DGS)</cp:lastModifiedBy>
  <cp:revision>6</cp:revision>
  <cp:lastPrinted>2019-06-15T12:15:00Z</cp:lastPrinted>
  <dcterms:created xsi:type="dcterms:W3CDTF">2024-02-14T22:25:00Z</dcterms:created>
  <dcterms:modified xsi:type="dcterms:W3CDTF">2025-04-03T05:01:00Z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6a5a938b-e8b7-4c8b-bb27-ad6e6b6c5ac7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ContentTypeId">
    <vt:lpwstr>0x010100401FE44C6DE9F545A430B7A681A49892</vt:lpwstr>
  </property>
  <property fmtid="{D5CDD505-2E9C-101B-9397-08002B2CF9AE}" pid="10" name="MSIP_Label_7158ebbd-6c5e-441f-bfc9-4eb8c11e3978_Enabled">
    <vt:lpwstr>true</vt:lpwstr>
  </property>
  <property fmtid="{D5CDD505-2E9C-101B-9397-08002B2CF9AE}" pid="11" name="MSIP_Label_7158ebbd-6c5e-441f-bfc9-4eb8c11e3978_SetDate">
    <vt:lpwstr>2023-09-22T03:33:16Z</vt:lpwstr>
  </property>
  <property fmtid="{D5CDD505-2E9C-101B-9397-08002B2CF9AE}" pid="12" name="MSIP_Label_7158ebbd-6c5e-441f-bfc9-4eb8c11e3978_Method">
    <vt:lpwstr>Privileged</vt:lpwstr>
  </property>
  <property fmtid="{D5CDD505-2E9C-101B-9397-08002B2CF9AE}" pid="13" name="MSIP_Label_7158ebbd-6c5e-441f-bfc9-4eb8c11e3978_Name">
    <vt:lpwstr>7158ebbd-6c5e-441f-bfc9-4eb8c11e3978</vt:lpwstr>
  </property>
  <property fmtid="{D5CDD505-2E9C-101B-9397-08002B2CF9AE}" pid="14" name="MSIP_Label_7158ebbd-6c5e-441f-bfc9-4eb8c11e3978_SiteId">
    <vt:lpwstr>722ea0be-3e1c-4b11-ad6f-9401d6856e24</vt:lpwstr>
  </property>
  <property fmtid="{D5CDD505-2E9C-101B-9397-08002B2CF9AE}" pid="15" name="MSIP_Label_7158ebbd-6c5e-441f-bfc9-4eb8c11e3978_ActionId">
    <vt:lpwstr>d8c96843-e776-4bde-bcd2-5cd98faed0e2</vt:lpwstr>
  </property>
  <property fmtid="{D5CDD505-2E9C-101B-9397-08002B2CF9AE}" pid="16" name="MSIP_Label_7158ebbd-6c5e-441f-bfc9-4eb8c11e3978_ContentBits">
    <vt:lpwstr>2</vt:lpwstr>
  </property>
</Properties>
</file>